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9.xml" ContentType="application/vnd.openxmlformats-officedocument.drawingml.chart+xml"/>
  <Override PartName="/word/charts/style8.xml" ContentType="application/vnd.ms-office.chartstyle+xml"/>
  <Override PartName="/word/charts/colors8.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374" w:rsidRPr="00CF4BB2" w:rsidRDefault="006B18EF">
      <w:pPr>
        <w:rPr>
          <w:rFonts w:cs="Times New Roman"/>
          <w:szCs w:val="24"/>
        </w:rPr>
      </w:pPr>
      <w:r w:rsidRPr="00E24034">
        <w:rPr>
          <w:color w:val="FF0000"/>
        </w:rPr>
        <w:t xml:space="preserve"> </w:t>
      </w:r>
      <w:r w:rsidR="002D7CC6" w:rsidRPr="00E24034">
        <w:rPr>
          <w:rFonts w:cs="Times New Roman"/>
          <w:b/>
          <w:noProof/>
          <w:color w:val="FF0000"/>
          <w:lang w:eastAsia="cs-CZ"/>
        </w:rPr>
        <w:drawing>
          <wp:inline distT="0" distB="0" distL="0" distR="0">
            <wp:extent cx="2171700" cy="542925"/>
            <wp:effectExtent l="0" t="0" r="0" b="9525"/>
            <wp:docPr id="1" name="Obrázek 1" descr="logoMD_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D_min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542925"/>
                    </a:xfrm>
                    <a:prstGeom prst="rect">
                      <a:avLst/>
                    </a:prstGeom>
                    <a:noFill/>
                    <a:ln>
                      <a:noFill/>
                    </a:ln>
                  </pic:spPr>
                </pic:pic>
              </a:graphicData>
            </a:graphic>
          </wp:inline>
        </w:drawing>
      </w:r>
      <w:r w:rsidR="002D7CC6" w:rsidRPr="00E24034">
        <w:rPr>
          <w:color w:val="FF0000"/>
        </w:rPr>
        <w:t xml:space="preserve"> </w:t>
      </w:r>
      <w:r w:rsidR="000339E1" w:rsidRPr="00E24034">
        <w:rPr>
          <w:color w:val="FF0000"/>
        </w:rPr>
        <w:tab/>
      </w:r>
      <w:r w:rsidR="000339E1" w:rsidRPr="00E24034">
        <w:rPr>
          <w:color w:val="FF0000"/>
        </w:rPr>
        <w:tab/>
      </w:r>
      <w:r w:rsidR="000339E1" w:rsidRPr="00E24034">
        <w:rPr>
          <w:color w:val="FF0000"/>
        </w:rPr>
        <w:tab/>
      </w:r>
      <w:r w:rsidR="000339E1" w:rsidRPr="00E24034">
        <w:rPr>
          <w:color w:val="FF0000"/>
        </w:rPr>
        <w:tab/>
      </w:r>
      <w:r w:rsidR="002D7CC6" w:rsidRPr="00E24034">
        <w:rPr>
          <w:rFonts w:cs="Times New Roman"/>
          <w:color w:val="FF0000"/>
          <w:szCs w:val="24"/>
        </w:rPr>
        <w:t xml:space="preserve"> </w:t>
      </w:r>
      <w:r w:rsidR="002D7CC6" w:rsidRPr="00CF4BB2">
        <w:rPr>
          <w:rFonts w:cs="Times New Roman"/>
          <w:szCs w:val="24"/>
        </w:rPr>
        <w:t xml:space="preserve">Č.j.:  </w:t>
      </w:r>
      <w:r w:rsidR="00CF4BB2" w:rsidRPr="00CF4BB2">
        <w:rPr>
          <w:rFonts w:cs="Times New Roman"/>
          <w:szCs w:val="24"/>
        </w:rPr>
        <w:t>143/2020</w:t>
      </w:r>
      <w:r w:rsidR="002D7CC6" w:rsidRPr="00CF4BB2">
        <w:rPr>
          <w:rFonts w:cs="Times New Roman"/>
          <w:szCs w:val="24"/>
        </w:rPr>
        <w:t>-410-ROPO</w:t>
      </w:r>
    </w:p>
    <w:p w:rsidR="00F3318F" w:rsidRPr="00E24034" w:rsidRDefault="00F3318F">
      <w:pPr>
        <w:rPr>
          <w:rFonts w:cs="Times New Roman"/>
          <w:color w:val="FF0000"/>
          <w:szCs w:val="24"/>
        </w:rPr>
      </w:pPr>
    </w:p>
    <w:p w:rsidR="00F3318F" w:rsidRPr="00E24034" w:rsidRDefault="00F3318F">
      <w:pPr>
        <w:rPr>
          <w:rFonts w:cs="Times New Roman"/>
          <w:color w:val="FF0000"/>
          <w:szCs w:val="24"/>
        </w:rPr>
      </w:pPr>
    </w:p>
    <w:p w:rsidR="00DA42E9" w:rsidRPr="00E24034" w:rsidRDefault="00DA42E9">
      <w:pPr>
        <w:rPr>
          <w:rFonts w:cs="Times New Roman"/>
          <w:color w:val="FF0000"/>
          <w:szCs w:val="24"/>
        </w:rPr>
      </w:pPr>
    </w:p>
    <w:p w:rsidR="00F3318F" w:rsidRPr="00E24034" w:rsidRDefault="00F3318F">
      <w:pPr>
        <w:rPr>
          <w:rFonts w:cs="Times New Roman"/>
          <w:color w:val="FF0000"/>
          <w:szCs w:val="24"/>
        </w:rPr>
      </w:pPr>
    </w:p>
    <w:p w:rsidR="00F3318F" w:rsidRPr="00E24034" w:rsidRDefault="00F3318F">
      <w:pPr>
        <w:rPr>
          <w:rFonts w:cs="Times New Roman"/>
          <w:color w:val="FF0000"/>
          <w:szCs w:val="24"/>
        </w:rPr>
      </w:pPr>
    </w:p>
    <w:p w:rsidR="0007574C" w:rsidRPr="00E24034" w:rsidRDefault="0007574C">
      <w:pPr>
        <w:rPr>
          <w:rFonts w:cs="Times New Roman"/>
          <w:color w:val="FF0000"/>
          <w:szCs w:val="24"/>
        </w:rPr>
      </w:pPr>
    </w:p>
    <w:p w:rsidR="0007574C" w:rsidRPr="00E24034" w:rsidRDefault="0007574C">
      <w:pPr>
        <w:rPr>
          <w:rFonts w:cs="Times New Roman"/>
          <w:color w:val="FF0000"/>
          <w:szCs w:val="24"/>
        </w:rPr>
      </w:pPr>
    </w:p>
    <w:p w:rsidR="000771EB" w:rsidRPr="00E24034" w:rsidRDefault="000771EB">
      <w:pPr>
        <w:rPr>
          <w:rFonts w:cs="Times New Roman"/>
          <w:color w:val="FF0000"/>
          <w:szCs w:val="24"/>
        </w:rPr>
      </w:pPr>
    </w:p>
    <w:p w:rsidR="00F3318F" w:rsidRPr="00E24034" w:rsidRDefault="00F3318F" w:rsidP="00F3318F">
      <w:pPr>
        <w:spacing w:line="240" w:lineRule="auto"/>
        <w:jc w:val="center"/>
        <w:rPr>
          <w:rFonts w:cs="Times New Roman"/>
          <w:b/>
          <w:sz w:val="28"/>
          <w:szCs w:val="28"/>
        </w:rPr>
      </w:pPr>
      <w:r w:rsidRPr="00E24034">
        <w:rPr>
          <w:rFonts w:cs="Times New Roman"/>
          <w:b/>
          <w:sz w:val="28"/>
          <w:szCs w:val="28"/>
        </w:rPr>
        <w:t xml:space="preserve">NÁVRH </w:t>
      </w:r>
    </w:p>
    <w:p w:rsidR="00F3318F" w:rsidRPr="00E24034" w:rsidRDefault="00E24034" w:rsidP="00F3318F">
      <w:pPr>
        <w:spacing w:line="240" w:lineRule="auto"/>
        <w:jc w:val="center"/>
        <w:rPr>
          <w:rFonts w:cs="Times New Roman"/>
          <w:b/>
          <w:sz w:val="28"/>
          <w:szCs w:val="28"/>
        </w:rPr>
      </w:pPr>
      <w:r w:rsidRPr="00E24034">
        <w:rPr>
          <w:rFonts w:cs="Times New Roman"/>
          <w:b/>
          <w:sz w:val="28"/>
          <w:szCs w:val="28"/>
        </w:rPr>
        <w:t>státního rozpočtu na rok 2021</w:t>
      </w:r>
    </w:p>
    <w:p w:rsidR="00F3318F" w:rsidRPr="00E24034" w:rsidRDefault="00F3318F" w:rsidP="00F3318F">
      <w:pPr>
        <w:spacing w:line="240" w:lineRule="auto"/>
        <w:jc w:val="center"/>
        <w:rPr>
          <w:rFonts w:cs="Times New Roman"/>
          <w:b/>
          <w:sz w:val="28"/>
          <w:szCs w:val="28"/>
        </w:rPr>
      </w:pPr>
      <w:r w:rsidRPr="00E24034">
        <w:rPr>
          <w:rFonts w:cs="Times New Roman"/>
          <w:b/>
          <w:sz w:val="28"/>
          <w:szCs w:val="28"/>
        </w:rPr>
        <w:t>za kapitolu 327 Ministerstvo dopravy</w:t>
      </w:r>
    </w:p>
    <w:p w:rsidR="00F3318F" w:rsidRPr="00406B5C" w:rsidRDefault="00053933" w:rsidP="00053933">
      <w:pPr>
        <w:spacing w:line="240" w:lineRule="auto"/>
        <w:jc w:val="center"/>
        <w:rPr>
          <w:sz w:val="26"/>
          <w:szCs w:val="26"/>
        </w:rPr>
      </w:pPr>
      <w:r w:rsidRPr="00406B5C">
        <w:rPr>
          <w:sz w:val="26"/>
          <w:szCs w:val="26"/>
        </w:rPr>
        <w:t>(novela zákona o státním rozpočtu na rok 2021 v souvislosti s COVID-19)</w:t>
      </w:r>
    </w:p>
    <w:p w:rsidR="00F3318F" w:rsidRPr="00E24034" w:rsidRDefault="00F3318F" w:rsidP="00F3318F">
      <w:pPr>
        <w:spacing w:line="240" w:lineRule="auto"/>
        <w:rPr>
          <w:color w:val="FF0000"/>
        </w:rPr>
      </w:pPr>
    </w:p>
    <w:p w:rsidR="00F3318F" w:rsidRPr="00E24034" w:rsidRDefault="00F3318F" w:rsidP="00F3318F">
      <w:pPr>
        <w:spacing w:line="240" w:lineRule="auto"/>
        <w:rPr>
          <w:color w:val="FF0000"/>
        </w:rPr>
      </w:pPr>
    </w:p>
    <w:p w:rsidR="00F3318F" w:rsidRPr="00E24034" w:rsidRDefault="00F3318F" w:rsidP="00F3318F">
      <w:pPr>
        <w:spacing w:line="240" w:lineRule="auto"/>
        <w:jc w:val="center"/>
        <w:rPr>
          <w:color w:val="FF0000"/>
        </w:rPr>
      </w:pPr>
      <w:r w:rsidRPr="00E24034">
        <w:rPr>
          <w:noProof/>
          <w:color w:val="FF0000"/>
          <w:lang w:eastAsia="cs-CZ"/>
        </w:rPr>
        <w:drawing>
          <wp:inline distT="0" distB="0" distL="0" distR="0">
            <wp:extent cx="1438275" cy="952500"/>
            <wp:effectExtent l="0" t="0" r="9525" b="0"/>
            <wp:docPr id="5" name="Obrázek 5" descr="letadl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adlo-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8275" cy="952500"/>
                    </a:xfrm>
                    <a:prstGeom prst="rect">
                      <a:avLst/>
                    </a:prstGeom>
                    <a:noFill/>
                    <a:ln>
                      <a:noFill/>
                    </a:ln>
                  </pic:spPr>
                </pic:pic>
              </a:graphicData>
            </a:graphic>
          </wp:inline>
        </w:drawing>
      </w:r>
      <w:r w:rsidRPr="00E24034">
        <w:rPr>
          <w:noProof/>
          <w:color w:val="FF0000"/>
          <w:lang w:eastAsia="cs-CZ"/>
        </w:rPr>
        <w:drawing>
          <wp:inline distT="0" distB="0" distL="0" distR="0">
            <wp:extent cx="1295400" cy="971550"/>
            <wp:effectExtent l="0" t="0" r="0" b="0"/>
            <wp:docPr id="4" name="Obrázek 4" descr="železn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železni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971550"/>
                    </a:xfrm>
                    <a:prstGeom prst="rect">
                      <a:avLst/>
                    </a:prstGeom>
                    <a:noFill/>
                    <a:ln>
                      <a:noFill/>
                    </a:ln>
                  </pic:spPr>
                </pic:pic>
              </a:graphicData>
            </a:graphic>
          </wp:inline>
        </w:drawing>
      </w:r>
      <w:r w:rsidRPr="00E24034">
        <w:rPr>
          <w:noProof/>
          <w:color w:val="FF0000"/>
          <w:lang w:eastAsia="cs-CZ"/>
        </w:rPr>
        <w:drawing>
          <wp:inline distT="0" distB="0" distL="0" distR="0">
            <wp:extent cx="1285875" cy="962025"/>
            <wp:effectExtent l="0" t="0" r="9525" b="9525"/>
            <wp:docPr id="3" name="Obrázek 3" descr="silnic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lnice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875" cy="962025"/>
                    </a:xfrm>
                    <a:prstGeom prst="rect">
                      <a:avLst/>
                    </a:prstGeom>
                    <a:noFill/>
                    <a:ln>
                      <a:noFill/>
                    </a:ln>
                  </pic:spPr>
                </pic:pic>
              </a:graphicData>
            </a:graphic>
          </wp:inline>
        </w:drawing>
      </w:r>
      <w:r w:rsidRPr="00E24034">
        <w:rPr>
          <w:noProof/>
          <w:color w:val="FF0000"/>
          <w:lang w:eastAsia="cs-CZ"/>
        </w:rPr>
        <w:drawing>
          <wp:inline distT="0" distB="0" distL="0" distR="0">
            <wp:extent cx="1514475" cy="962025"/>
            <wp:effectExtent l="0" t="0" r="9525" b="9525"/>
            <wp:docPr id="2" name="Obrázek 2" descr="vodní doprav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odní doprava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4475" cy="962025"/>
                    </a:xfrm>
                    <a:prstGeom prst="rect">
                      <a:avLst/>
                    </a:prstGeom>
                    <a:noFill/>
                    <a:ln>
                      <a:noFill/>
                    </a:ln>
                  </pic:spPr>
                </pic:pic>
              </a:graphicData>
            </a:graphic>
          </wp:inline>
        </w:drawing>
      </w:r>
    </w:p>
    <w:p w:rsidR="00F3318F" w:rsidRPr="00E24034" w:rsidRDefault="00F3318F" w:rsidP="00F3318F">
      <w:pPr>
        <w:spacing w:line="240" w:lineRule="auto"/>
        <w:rPr>
          <w:color w:val="FF0000"/>
        </w:rPr>
      </w:pPr>
    </w:p>
    <w:p w:rsidR="00F3318F" w:rsidRPr="00E24034" w:rsidRDefault="00F3318F" w:rsidP="00F3318F">
      <w:pPr>
        <w:spacing w:line="240" w:lineRule="auto"/>
        <w:rPr>
          <w:color w:val="FF0000"/>
        </w:rPr>
      </w:pPr>
    </w:p>
    <w:p w:rsidR="00F3318F" w:rsidRPr="00E24034" w:rsidRDefault="00F3318F" w:rsidP="00F3318F">
      <w:pPr>
        <w:spacing w:line="240" w:lineRule="auto"/>
        <w:rPr>
          <w:color w:val="FF0000"/>
        </w:rPr>
      </w:pPr>
    </w:p>
    <w:p w:rsidR="00F3318F" w:rsidRPr="00E24034" w:rsidRDefault="00F3318F" w:rsidP="00F3318F">
      <w:pPr>
        <w:spacing w:line="240" w:lineRule="auto"/>
        <w:rPr>
          <w:color w:val="FF0000"/>
        </w:rPr>
      </w:pPr>
    </w:p>
    <w:p w:rsidR="00F3318F" w:rsidRPr="00E24034" w:rsidRDefault="00F3318F" w:rsidP="00F3318F">
      <w:pPr>
        <w:spacing w:line="240" w:lineRule="auto"/>
        <w:rPr>
          <w:color w:val="FF0000"/>
        </w:rPr>
      </w:pPr>
    </w:p>
    <w:p w:rsidR="00F3318F" w:rsidRPr="00E24034" w:rsidRDefault="00F3318F" w:rsidP="00F3318F">
      <w:pPr>
        <w:spacing w:line="240" w:lineRule="auto"/>
        <w:rPr>
          <w:rFonts w:cs="Times New Roman"/>
          <w:b/>
          <w:szCs w:val="24"/>
        </w:rPr>
      </w:pPr>
      <w:r w:rsidRPr="00E24034">
        <w:rPr>
          <w:color w:val="FF0000"/>
        </w:rPr>
        <w:tab/>
      </w:r>
      <w:r w:rsidRPr="00E24034">
        <w:rPr>
          <w:color w:val="FF0000"/>
        </w:rPr>
        <w:tab/>
      </w:r>
      <w:r w:rsidRPr="00E24034">
        <w:rPr>
          <w:color w:val="FF0000"/>
        </w:rPr>
        <w:tab/>
      </w:r>
      <w:r w:rsidRPr="00E24034">
        <w:rPr>
          <w:color w:val="FF0000"/>
        </w:rPr>
        <w:tab/>
      </w:r>
      <w:r w:rsidRPr="00E24034">
        <w:rPr>
          <w:color w:val="FF0000"/>
        </w:rPr>
        <w:tab/>
      </w:r>
      <w:r w:rsidRPr="00E24034">
        <w:rPr>
          <w:color w:val="FF0000"/>
        </w:rPr>
        <w:tab/>
      </w:r>
      <w:r w:rsidRPr="00E24034">
        <w:rPr>
          <w:color w:val="FF0000"/>
        </w:rPr>
        <w:tab/>
      </w:r>
      <w:r w:rsidRPr="00E24034">
        <w:rPr>
          <w:color w:val="FF0000"/>
        </w:rPr>
        <w:tab/>
      </w:r>
      <w:r w:rsidRPr="00E24034">
        <w:tab/>
      </w:r>
      <w:r w:rsidRPr="00E24034">
        <w:rPr>
          <w:rFonts w:cs="Times New Roman"/>
          <w:b/>
          <w:szCs w:val="24"/>
        </w:rPr>
        <w:t>Obsah:</w:t>
      </w:r>
    </w:p>
    <w:p w:rsidR="00F3318F" w:rsidRPr="00E24034" w:rsidRDefault="00F3318F" w:rsidP="00F3318F">
      <w:pPr>
        <w:spacing w:line="240" w:lineRule="auto"/>
        <w:rPr>
          <w:rFonts w:cs="Times New Roman"/>
          <w:b/>
          <w:szCs w:val="24"/>
        </w:rPr>
      </w:pP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p>
    <w:p w:rsidR="00F3318F" w:rsidRPr="00E24034" w:rsidRDefault="00F3318F" w:rsidP="00F3318F">
      <w:pPr>
        <w:spacing w:line="240" w:lineRule="auto"/>
        <w:rPr>
          <w:rFonts w:cs="Times New Roman"/>
          <w:b/>
          <w:szCs w:val="24"/>
        </w:rPr>
      </w:pP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t>A. Zpráva</w:t>
      </w:r>
    </w:p>
    <w:p w:rsidR="00F3318F" w:rsidRPr="00E24034" w:rsidRDefault="00F3318F" w:rsidP="00F3318F">
      <w:pPr>
        <w:spacing w:line="240" w:lineRule="auto"/>
        <w:rPr>
          <w:rFonts w:cs="Times New Roman"/>
          <w:b/>
          <w:szCs w:val="24"/>
        </w:rPr>
      </w:pP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t>B. Tabulková část</w:t>
      </w:r>
    </w:p>
    <w:p w:rsidR="00F3318F" w:rsidRPr="00E24034" w:rsidRDefault="00B0044D" w:rsidP="00F3318F">
      <w:pPr>
        <w:spacing w:line="240" w:lineRule="auto"/>
        <w:rPr>
          <w:rFonts w:cs="Times New Roman"/>
          <w:b/>
          <w:szCs w:val="24"/>
        </w:rPr>
      </w:pP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Pr="00E24034">
        <w:rPr>
          <w:rFonts w:cs="Times New Roman"/>
          <w:b/>
          <w:szCs w:val="24"/>
        </w:rPr>
        <w:tab/>
      </w:r>
      <w:r w:rsidR="00CF4BB2">
        <w:rPr>
          <w:rFonts w:cs="Times New Roman"/>
          <w:b/>
          <w:szCs w:val="24"/>
        </w:rPr>
        <w:t>C. Přílohy</w:t>
      </w:r>
    </w:p>
    <w:p w:rsidR="00F3318F" w:rsidRPr="00E24034" w:rsidRDefault="00F3318F" w:rsidP="00F3318F">
      <w:pPr>
        <w:spacing w:line="240" w:lineRule="auto"/>
        <w:rPr>
          <w:rFonts w:cs="Times New Roman"/>
          <w:b/>
        </w:rPr>
      </w:pPr>
    </w:p>
    <w:p w:rsidR="00F3318F" w:rsidRPr="00E24034" w:rsidRDefault="00F3318F" w:rsidP="00F3318F">
      <w:pPr>
        <w:spacing w:line="240" w:lineRule="auto"/>
        <w:rPr>
          <w:rFonts w:cs="Times New Roman"/>
          <w:b/>
          <w:szCs w:val="24"/>
        </w:rPr>
      </w:pPr>
      <w:r w:rsidRPr="00E24034">
        <w:rPr>
          <w:rFonts w:cs="Times New Roman"/>
          <w:b/>
          <w:szCs w:val="24"/>
        </w:rPr>
        <w:t>Předkládá:</w:t>
      </w:r>
    </w:p>
    <w:p w:rsidR="00F3318F" w:rsidRPr="00E24034" w:rsidRDefault="00645EFB" w:rsidP="00F3318F">
      <w:pPr>
        <w:spacing w:line="240" w:lineRule="auto"/>
        <w:rPr>
          <w:rFonts w:cs="Times New Roman"/>
          <w:szCs w:val="24"/>
        </w:rPr>
      </w:pPr>
      <w:r w:rsidRPr="00E24034">
        <w:rPr>
          <w:rFonts w:cs="Times New Roman"/>
          <w:szCs w:val="24"/>
        </w:rPr>
        <w:t>doc. Ing. Karel Havlíček, Ph.D., MBA</w:t>
      </w:r>
      <w:r w:rsidR="00F3318F" w:rsidRPr="00E24034">
        <w:rPr>
          <w:rFonts w:cs="Times New Roman"/>
          <w:szCs w:val="24"/>
        </w:rPr>
        <w:tab/>
      </w:r>
      <w:r w:rsidR="00F3318F" w:rsidRPr="00E24034">
        <w:rPr>
          <w:rFonts w:cs="Times New Roman"/>
          <w:szCs w:val="24"/>
        </w:rPr>
        <w:tab/>
      </w:r>
    </w:p>
    <w:p w:rsidR="00645EFB" w:rsidRPr="00E24034" w:rsidRDefault="00645EFB" w:rsidP="00F3318F">
      <w:pPr>
        <w:spacing w:line="240" w:lineRule="auto"/>
        <w:rPr>
          <w:rFonts w:cs="Times New Roman"/>
          <w:szCs w:val="24"/>
        </w:rPr>
      </w:pPr>
      <w:r w:rsidRPr="00E24034">
        <w:rPr>
          <w:rFonts w:cs="Times New Roman"/>
          <w:szCs w:val="24"/>
        </w:rPr>
        <w:t>místopředseda vlády,</w:t>
      </w:r>
    </w:p>
    <w:p w:rsidR="00645EFB" w:rsidRPr="00E24034" w:rsidRDefault="00645EFB" w:rsidP="00F3318F">
      <w:pPr>
        <w:spacing w:line="240" w:lineRule="auto"/>
        <w:rPr>
          <w:rFonts w:cs="Times New Roman"/>
          <w:szCs w:val="24"/>
        </w:rPr>
      </w:pPr>
      <w:r w:rsidRPr="00E24034">
        <w:rPr>
          <w:rFonts w:cs="Times New Roman"/>
          <w:szCs w:val="24"/>
        </w:rPr>
        <w:t>ministr průmyslu a obchod</w:t>
      </w:r>
      <w:r w:rsidR="000531BB">
        <w:rPr>
          <w:rFonts w:cs="Times New Roman"/>
          <w:szCs w:val="24"/>
        </w:rPr>
        <w:t>u</w:t>
      </w:r>
      <w:r w:rsidRPr="00E24034">
        <w:rPr>
          <w:rFonts w:cs="Times New Roman"/>
          <w:szCs w:val="24"/>
        </w:rPr>
        <w:t>,</w:t>
      </w:r>
    </w:p>
    <w:p w:rsidR="00F3318F" w:rsidRPr="00E24034" w:rsidRDefault="00F3318F" w:rsidP="00F3318F">
      <w:pPr>
        <w:spacing w:line="240" w:lineRule="auto"/>
        <w:rPr>
          <w:rFonts w:cs="Times New Roman"/>
          <w:szCs w:val="24"/>
        </w:rPr>
      </w:pPr>
      <w:r w:rsidRPr="00E24034">
        <w:rPr>
          <w:rFonts w:cs="Times New Roman"/>
          <w:szCs w:val="24"/>
        </w:rPr>
        <w:t>ministr dopravy</w:t>
      </w:r>
    </w:p>
    <w:p w:rsidR="00F3318F" w:rsidRPr="00E24034" w:rsidRDefault="00F3318F" w:rsidP="00F3318F">
      <w:pPr>
        <w:spacing w:line="240" w:lineRule="auto"/>
        <w:rPr>
          <w:rFonts w:cs="Times New Roman"/>
          <w:color w:val="FF0000"/>
        </w:rPr>
      </w:pPr>
    </w:p>
    <w:p w:rsidR="00F3318F" w:rsidRPr="00E24034" w:rsidRDefault="00F3318F" w:rsidP="00F3318F">
      <w:pPr>
        <w:spacing w:line="240" w:lineRule="auto"/>
        <w:rPr>
          <w:color w:val="FF0000"/>
        </w:rPr>
      </w:pPr>
    </w:p>
    <w:p w:rsidR="00F3318F" w:rsidRPr="00E24034" w:rsidRDefault="00F3318F" w:rsidP="00F3318F">
      <w:pPr>
        <w:spacing w:line="240" w:lineRule="auto"/>
        <w:rPr>
          <w:color w:val="FF0000"/>
        </w:rPr>
      </w:pPr>
    </w:p>
    <w:p w:rsidR="00F3318F" w:rsidRPr="00E24034" w:rsidRDefault="00F3318F" w:rsidP="00F3318F">
      <w:pPr>
        <w:spacing w:line="240" w:lineRule="auto"/>
        <w:jc w:val="center"/>
        <w:rPr>
          <w:color w:val="FF0000"/>
        </w:rPr>
      </w:pPr>
    </w:p>
    <w:p w:rsidR="002F735C" w:rsidRPr="00E24034" w:rsidRDefault="002F735C" w:rsidP="00406B5C">
      <w:pPr>
        <w:pStyle w:val="Obsah1"/>
      </w:pPr>
    </w:p>
    <w:p w:rsidR="002F735C" w:rsidRPr="00E24034" w:rsidRDefault="002F735C" w:rsidP="00406B5C">
      <w:pPr>
        <w:pStyle w:val="Obsah1"/>
      </w:pPr>
    </w:p>
    <w:p w:rsidR="00AF5225" w:rsidRPr="00406B5C" w:rsidRDefault="00053933" w:rsidP="00406B5C">
      <w:pPr>
        <w:pStyle w:val="Obsah1"/>
      </w:pPr>
      <w:r w:rsidRPr="00406B5C">
        <w:t>Únor 2021</w:t>
      </w:r>
      <w:r w:rsidR="00AF5225" w:rsidRPr="00406B5C">
        <w:br w:type="page"/>
      </w:r>
    </w:p>
    <w:p w:rsidR="00110C1B" w:rsidRPr="00E24034" w:rsidRDefault="00110C1B" w:rsidP="009F7B53">
      <w:pPr>
        <w:jc w:val="center"/>
        <w:rPr>
          <w:rFonts w:eastAsia="Times New Roman" w:cs="Times New Roman"/>
          <w:noProof/>
          <w:color w:val="FF0000"/>
          <w:szCs w:val="24"/>
          <w:lang w:eastAsia="cs-CZ"/>
        </w:rPr>
      </w:pPr>
      <w:r w:rsidRPr="00E24034">
        <w:rPr>
          <w:color w:val="FF0000"/>
        </w:rPr>
        <w:lastRenderedPageBreak/>
        <w:br w:type="page"/>
      </w:r>
    </w:p>
    <w:sdt>
      <w:sdtPr>
        <w:rPr>
          <w:rFonts w:asciiTheme="minorHAnsi" w:eastAsiaTheme="minorHAnsi" w:hAnsiTheme="minorHAnsi" w:cstheme="minorBidi"/>
          <w:bCs/>
          <w:caps w:val="0"/>
          <w:noProof/>
          <w:color w:val="FF0000"/>
          <w:sz w:val="22"/>
          <w:szCs w:val="22"/>
          <w:lang w:eastAsia="en-US"/>
        </w:rPr>
        <w:id w:val="489529023"/>
        <w:docPartObj>
          <w:docPartGallery w:val="Table of Contents"/>
          <w:docPartUnique/>
        </w:docPartObj>
      </w:sdtPr>
      <w:sdtEndPr>
        <w:rPr>
          <w:rFonts w:ascii="Times New Roman" w:eastAsia="Times New Roman" w:hAnsi="Times New Roman" w:cs="Times New Roman"/>
          <w:color w:val="auto"/>
          <w:sz w:val="24"/>
          <w:szCs w:val="24"/>
          <w:lang w:eastAsia="cs-CZ"/>
        </w:rPr>
      </w:sdtEndPr>
      <w:sdtContent>
        <w:p w:rsidR="00CD5258" w:rsidRPr="00903C73" w:rsidRDefault="00DB5031" w:rsidP="00DB5031">
          <w:pPr>
            <w:pStyle w:val="Nadpisobsahu"/>
            <w:jc w:val="center"/>
            <w:rPr>
              <w:rFonts w:ascii="Times New Roman" w:hAnsi="Times New Roman" w:cs="Times New Roman"/>
              <w:b/>
              <w:color w:val="auto"/>
              <w:sz w:val="28"/>
              <w:szCs w:val="28"/>
              <w:u w:val="single"/>
            </w:rPr>
          </w:pPr>
          <w:r w:rsidRPr="00903C73">
            <w:rPr>
              <w:rFonts w:ascii="Times New Roman" w:hAnsi="Times New Roman" w:cs="Times New Roman"/>
              <w:b/>
              <w:color w:val="auto"/>
              <w:sz w:val="28"/>
              <w:szCs w:val="28"/>
            </w:rPr>
            <w:t xml:space="preserve">A. </w:t>
          </w:r>
          <w:r w:rsidRPr="00903C73">
            <w:rPr>
              <w:rFonts w:ascii="Times New Roman" w:hAnsi="Times New Roman" w:cs="Times New Roman"/>
              <w:b/>
              <w:color w:val="auto"/>
              <w:sz w:val="28"/>
              <w:szCs w:val="28"/>
              <w:u w:val="single"/>
            </w:rPr>
            <w:t>Z P R Á V A</w:t>
          </w:r>
        </w:p>
        <w:p w:rsidR="00DB5031" w:rsidRPr="00E24034" w:rsidRDefault="00DB5031" w:rsidP="00DB5031">
          <w:pPr>
            <w:rPr>
              <w:color w:val="FF0000"/>
              <w:lang w:eastAsia="cs-CZ"/>
            </w:rPr>
          </w:pPr>
        </w:p>
        <w:p w:rsidR="00E32A1E" w:rsidRPr="00053933" w:rsidRDefault="00CD5258" w:rsidP="00406B5C">
          <w:pPr>
            <w:pStyle w:val="Obsah1"/>
            <w:rPr>
              <w:rFonts w:asciiTheme="minorHAnsi" w:eastAsiaTheme="minorEastAsia" w:hAnsiTheme="minorHAnsi" w:cstheme="minorBidi"/>
              <w:sz w:val="22"/>
              <w:szCs w:val="22"/>
            </w:rPr>
          </w:pPr>
          <w:r w:rsidRPr="00053933">
            <w:fldChar w:fldCharType="begin"/>
          </w:r>
          <w:r w:rsidRPr="00053933">
            <w:instrText xml:space="preserve"> TOC \o "1-3" \h \z \u </w:instrText>
          </w:r>
          <w:r w:rsidRPr="00053933">
            <w:fldChar w:fldCharType="separate"/>
          </w:r>
          <w:hyperlink w:anchor="_Toc53750559" w:history="1">
            <w:r w:rsidR="00E32A1E" w:rsidRPr="00053933">
              <w:rPr>
                <w:rStyle w:val="Hypertextovodkaz"/>
                <w:b w:val="0"/>
                <w:bCs/>
                <w:smallCaps/>
                <w:color w:val="auto"/>
              </w:rPr>
              <w:t>1</w:t>
            </w:r>
            <w:r w:rsidR="00E32A1E" w:rsidRPr="00053933">
              <w:rPr>
                <w:rFonts w:asciiTheme="minorHAnsi" w:eastAsiaTheme="minorEastAsia" w:hAnsiTheme="minorHAnsi" w:cstheme="minorBidi"/>
                <w:sz w:val="22"/>
                <w:szCs w:val="22"/>
              </w:rPr>
              <w:tab/>
            </w:r>
            <w:r w:rsidR="009F43A7" w:rsidRPr="00053933">
              <w:rPr>
                <w:rStyle w:val="Hypertextovodkaz"/>
                <w:b w:val="0"/>
                <w:bCs/>
                <w:smallCaps/>
                <w:color w:val="auto"/>
              </w:rPr>
              <w:t>ÚVOD</w:t>
            </w:r>
            <w:r w:rsidR="00E32A1E" w:rsidRPr="00053933">
              <w:rPr>
                <w:webHidden/>
              </w:rPr>
              <w:tab/>
            </w:r>
            <w:r w:rsidR="00E32A1E" w:rsidRPr="00053933">
              <w:rPr>
                <w:webHidden/>
              </w:rPr>
              <w:fldChar w:fldCharType="begin"/>
            </w:r>
            <w:r w:rsidR="00E32A1E" w:rsidRPr="00053933">
              <w:rPr>
                <w:webHidden/>
              </w:rPr>
              <w:instrText xml:space="preserve"> PAGEREF _Toc53750559 \h </w:instrText>
            </w:r>
            <w:r w:rsidR="00E32A1E" w:rsidRPr="00053933">
              <w:rPr>
                <w:webHidden/>
              </w:rPr>
            </w:r>
            <w:r w:rsidR="00E32A1E" w:rsidRPr="00053933">
              <w:rPr>
                <w:webHidden/>
              </w:rPr>
              <w:fldChar w:fldCharType="separate"/>
            </w:r>
            <w:r w:rsidR="00B605E1" w:rsidRPr="00053933">
              <w:rPr>
                <w:webHidden/>
              </w:rPr>
              <w:t>1</w:t>
            </w:r>
            <w:r w:rsidR="00E32A1E" w:rsidRPr="00053933">
              <w:rPr>
                <w:webHidden/>
              </w:rPr>
              <w:fldChar w:fldCharType="end"/>
            </w:r>
          </w:hyperlink>
        </w:p>
        <w:p w:rsidR="00E32A1E" w:rsidRPr="00053933" w:rsidRDefault="00406B5C" w:rsidP="00406B5C">
          <w:pPr>
            <w:pStyle w:val="Obsah1"/>
            <w:rPr>
              <w:rFonts w:asciiTheme="minorHAnsi" w:eastAsiaTheme="minorEastAsia" w:hAnsiTheme="minorHAnsi" w:cstheme="minorBidi"/>
              <w:sz w:val="22"/>
              <w:szCs w:val="22"/>
            </w:rPr>
          </w:pPr>
          <w:hyperlink w:anchor="_Toc53750560" w:history="1">
            <w:r w:rsidR="00E32A1E" w:rsidRPr="00053933">
              <w:rPr>
                <w:rStyle w:val="Hypertextovodkaz"/>
                <w:b w:val="0"/>
                <w:color w:val="auto"/>
              </w:rPr>
              <w:t>2</w:t>
            </w:r>
            <w:r w:rsidR="00E32A1E" w:rsidRPr="00053933">
              <w:rPr>
                <w:rFonts w:asciiTheme="minorHAnsi" w:eastAsiaTheme="minorEastAsia" w:hAnsiTheme="minorHAnsi" w:cstheme="minorBidi"/>
                <w:sz w:val="22"/>
                <w:szCs w:val="22"/>
              </w:rPr>
              <w:tab/>
            </w:r>
            <w:r w:rsidR="00E32A1E" w:rsidRPr="00053933">
              <w:rPr>
                <w:rStyle w:val="Hypertextovodkaz"/>
                <w:b w:val="0"/>
                <w:color w:val="auto"/>
              </w:rPr>
              <w:t>ROZPOČET PŘÍJMŮ NA ROK 2021</w:t>
            </w:r>
            <w:r w:rsidR="00E32A1E" w:rsidRPr="00053933">
              <w:rPr>
                <w:webHidden/>
              </w:rPr>
              <w:tab/>
            </w:r>
            <w:r w:rsidR="00E32A1E" w:rsidRPr="00053933">
              <w:rPr>
                <w:webHidden/>
              </w:rPr>
              <w:fldChar w:fldCharType="begin"/>
            </w:r>
            <w:r w:rsidR="00E32A1E" w:rsidRPr="00053933">
              <w:rPr>
                <w:webHidden/>
              </w:rPr>
              <w:instrText xml:space="preserve"> PAGEREF _Toc53750560 \h </w:instrText>
            </w:r>
            <w:r w:rsidR="00E32A1E" w:rsidRPr="00053933">
              <w:rPr>
                <w:webHidden/>
              </w:rPr>
            </w:r>
            <w:r w:rsidR="00E32A1E" w:rsidRPr="00053933">
              <w:rPr>
                <w:webHidden/>
              </w:rPr>
              <w:fldChar w:fldCharType="separate"/>
            </w:r>
            <w:r w:rsidR="00B605E1" w:rsidRPr="00053933">
              <w:rPr>
                <w:webHidden/>
              </w:rPr>
              <w:t>3</w:t>
            </w:r>
            <w:r w:rsidR="00E32A1E" w:rsidRPr="00053933">
              <w:rPr>
                <w:webHidden/>
              </w:rPr>
              <w:fldChar w:fldCharType="end"/>
            </w:r>
          </w:hyperlink>
        </w:p>
        <w:p w:rsidR="00E32A1E" w:rsidRPr="00053933" w:rsidRDefault="00406B5C">
          <w:pPr>
            <w:pStyle w:val="Obsah2"/>
            <w:rPr>
              <w:rFonts w:asciiTheme="minorHAnsi" w:eastAsiaTheme="minorEastAsia" w:hAnsiTheme="minorHAnsi" w:cstheme="minorBidi"/>
              <w:bCs w:val="0"/>
              <w:sz w:val="22"/>
              <w:szCs w:val="22"/>
            </w:rPr>
          </w:pPr>
          <w:hyperlink w:anchor="_Toc53750561" w:history="1">
            <w:r w:rsidR="00E32A1E" w:rsidRPr="00053933">
              <w:rPr>
                <w:rStyle w:val="Hypertextovodkaz"/>
                <w:color w:val="auto"/>
              </w:rPr>
              <w:t>2.1</w:t>
            </w:r>
            <w:r w:rsidR="00E32A1E" w:rsidRPr="00053933">
              <w:rPr>
                <w:rFonts w:asciiTheme="minorHAnsi" w:eastAsiaTheme="minorEastAsia" w:hAnsiTheme="minorHAnsi" w:cstheme="minorBidi"/>
                <w:bCs w:val="0"/>
                <w:sz w:val="22"/>
                <w:szCs w:val="22"/>
              </w:rPr>
              <w:tab/>
            </w:r>
            <w:r w:rsidR="00E32A1E" w:rsidRPr="00053933">
              <w:rPr>
                <w:rStyle w:val="Hypertextovodkaz"/>
                <w:color w:val="auto"/>
              </w:rPr>
              <w:t>Specifické ukazatele – příjmy</w:t>
            </w:r>
            <w:r w:rsidR="00E32A1E" w:rsidRPr="00053933">
              <w:rPr>
                <w:webHidden/>
              </w:rPr>
              <w:tab/>
            </w:r>
            <w:r w:rsidR="00E32A1E" w:rsidRPr="00053933">
              <w:rPr>
                <w:webHidden/>
              </w:rPr>
              <w:fldChar w:fldCharType="begin"/>
            </w:r>
            <w:r w:rsidR="00E32A1E" w:rsidRPr="00053933">
              <w:rPr>
                <w:webHidden/>
              </w:rPr>
              <w:instrText xml:space="preserve"> PAGEREF _Toc53750561 \h </w:instrText>
            </w:r>
            <w:r w:rsidR="00E32A1E" w:rsidRPr="00053933">
              <w:rPr>
                <w:webHidden/>
              </w:rPr>
            </w:r>
            <w:r w:rsidR="00E32A1E" w:rsidRPr="00053933">
              <w:rPr>
                <w:webHidden/>
              </w:rPr>
              <w:fldChar w:fldCharType="separate"/>
            </w:r>
            <w:r w:rsidR="00B605E1" w:rsidRPr="00053933">
              <w:rPr>
                <w:webHidden/>
              </w:rPr>
              <w:t>3</w:t>
            </w:r>
            <w:r w:rsidR="00E32A1E" w:rsidRPr="00053933">
              <w:rPr>
                <w:webHidden/>
              </w:rPr>
              <w:fldChar w:fldCharType="end"/>
            </w:r>
          </w:hyperlink>
        </w:p>
        <w:p w:rsidR="00E32A1E" w:rsidRPr="00053933" w:rsidRDefault="00406B5C">
          <w:pPr>
            <w:pStyle w:val="Obsah2"/>
            <w:rPr>
              <w:rFonts w:asciiTheme="minorHAnsi" w:eastAsiaTheme="minorEastAsia" w:hAnsiTheme="minorHAnsi" w:cstheme="minorBidi"/>
              <w:bCs w:val="0"/>
              <w:sz w:val="22"/>
              <w:szCs w:val="22"/>
            </w:rPr>
          </w:pPr>
          <w:hyperlink w:anchor="_Toc53750562" w:history="1">
            <w:r w:rsidR="00E32A1E" w:rsidRPr="00053933">
              <w:rPr>
                <w:rStyle w:val="Hypertextovodkaz"/>
                <w:color w:val="auto"/>
              </w:rPr>
              <w:t>2.2</w:t>
            </w:r>
            <w:r w:rsidR="00E32A1E" w:rsidRPr="00053933">
              <w:rPr>
                <w:rFonts w:asciiTheme="minorHAnsi" w:eastAsiaTheme="minorEastAsia" w:hAnsiTheme="minorHAnsi" w:cstheme="minorBidi"/>
                <w:bCs w:val="0"/>
                <w:sz w:val="22"/>
                <w:szCs w:val="22"/>
              </w:rPr>
              <w:tab/>
            </w:r>
            <w:r w:rsidR="00E32A1E" w:rsidRPr="00053933">
              <w:rPr>
                <w:rStyle w:val="Hypertextovodkaz"/>
                <w:color w:val="auto"/>
              </w:rPr>
              <w:t>Druhové členění příjmů</w:t>
            </w:r>
            <w:r w:rsidR="00E32A1E" w:rsidRPr="00053933">
              <w:rPr>
                <w:webHidden/>
              </w:rPr>
              <w:tab/>
            </w:r>
            <w:r w:rsidR="00E32A1E" w:rsidRPr="00053933">
              <w:rPr>
                <w:webHidden/>
              </w:rPr>
              <w:fldChar w:fldCharType="begin"/>
            </w:r>
            <w:r w:rsidR="00E32A1E" w:rsidRPr="00053933">
              <w:rPr>
                <w:webHidden/>
              </w:rPr>
              <w:instrText xml:space="preserve"> PAGEREF _Toc53750562 \h </w:instrText>
            </w:r>
            <w:r w:rsidR="00E32A1E" w:rsidRPr="00053933">
              <w:rPr>
                <w:webHidden/>
              </w:rPr>
            </w:r>
            <w:r w:rsidR="00E32A1E" w:rsidRPr="00053933">
              <w:rPr>
                <w:webHidden/>
              </w:rPr>
              <w:fldChar w:fldCharType="separate"/>
            </w:r>
            <w:r w:rsidR="00B605E1" w:rsidRPr="00053933">
              <w:rPr>
                <w:webHidden/>
              </w:rPr>
              <w:t>3</w:t>
            </w:r>
            <w:r w:rsidR="00E32A1E" w:rsidRPr="00053933">
              <w:rPr>
                <w:webHidden/>
              </w:rPr>
              <w:fldChar w:fldCharType="end"/>
            </w:r>
          </w:hyperlink>
        </w:p>
        <w:p w:rsidR="00E32A1E" w:rsidRPr="00053933" w:rsidRDefault="00406B5C" w:rsidP="00406B5C">
          <w:pPr>
            <w:pStyle w:val="Obsah1"/>
            <w:rPr>
              <w:rFonts w:asciiTheme="minorHAnsi" w:eastAsiaTheme="minorEastAsia" w:hAnsiTheme="minorHAnsi" w:cstheme="minorBidi"/>
              <w:sz w:val="22"/>
              <w:szCs w:val="22"/>
            </w:rPr>
          </w:pPr>
          <w:hyperlink w:anchor="_Toc53750563" w:history="1">
            <w:r w:rsidR="00E32A1E" w:rsidRPr="00053933">
              <w:rPr>
                <w:rStyle w:val="Hypertextovodkaz"/>
                <w:b w:val="0"/>
                <w:color w:val="auto"/>
              </w:rPr>
              <w:t>3</w:t>
            </w:r>
            <w:r w:rsidR="00E32A1E" w:rsidRPr="00053933">
              <w:rPr>
                <w:rFonts w:asciiTheme="minorHAnsi" w:eastAsiaTheme="minorEastAsia" w:hAnsiTheme="minorHAnsi" w:cstheme="minorBidi"/>
                <w:sz w:val="22"/>
                <w:szCs w:val="22"/>
              </w:rPr>
              <w:tab/>
            </w:r>
            <w:r w:rsidR="00E32A1E" w:rsidRPr="00053933">
              <w:rPr>
                <w:rStyle w:val="Hypertextovodkaz"/>
                <w:b w:val="0"/>
                <w:color w:val="auto"/>
              </w:rPr>
              <w:t>ROZPOČET VÝDAJŮ NA ROK 2021</w:t>
            </w:r>
            <w:r w:rsidR="00E32A1E" w:rsidRPr="00053933">
              <w:rPr>
                <w:webHidden/>
              </w:rPr>
              <w:tab/>
            </w:r>
            <w:r w:rsidR="00E32A1E" w:rsidRPr="00053933">
              <w:rPr>
                <w:webHidden/>
              </w:rPr>
              <w:fldChar w:fldCharType="begin"/>
            </w:r>
            <w:r w:rsidR="00E32A1E" w:rsidRPr="00053933">
              <w:rPr>
                <w:webHidden/>
              </w:rPr>
              <w:instrText xml:space="preserve"> PAGEREF _Toc53750563 \h </w:instrText>
            </w:r>
            <w:r w:rsidR="00E32A1E" w:rsidRPr="00053933">
              <w:rPr>
                <w:webHidden/>
              </w:rPr>
            </w:r>
            <w:r w:rsidR="00E32A1E" w:rsidRPr="00053933">
              <w:rPr>
                <w:webHidden/>
              </w:rPr>
              <w:fldChar w:fldCharType="separate"/>
            </w:r>
            <w:r w:rsidR="00B605E1" w:rsidRPr="00053933">
              <w:rPr>
                <w:webHidden/>
              </w:rPr>
              <w:t>8</w:t>
            </w:r>
            <w:r w:rsidR="00E32A1E" w:rsidRPr="00053933">
              <w:rPr>
                <w:webHidden/>
              </w:rPr>
              <w:fldChar w:fldCharType="end"/>
            </w:r>
          </w:hyperlink>
        </w:p>
        <w:p w:rsidR="00E32A1E" w:rsidRPr="00053933" w:rsidRDefault="00406B5C">
          <w:pPr>
            <w:pStyle w:val="Obsah2"/>
            <w:rPr>
              <w:rFonts w:asciiTheme="minorHAnsi" w:eastAsiaTheme="minorEastAsia" w:hAnsiTheme="minorHAnsi" w:cstheme="minorBidi"/>
              <w:bCs w:val="0"/>
              <w:sz w:val="22"/>
              <w:szCs w:val="22"/>
            </w:rPr>
          </w:pPr>
          <w:hyperlink w:anchor="_Toc53750564" w:history="1">
            <w:r w:rsidR="00E32A1E" w:rsidRPr="00053933">
              <w:rPr>
                <w:rStyle w:val="Hypertextovodkaz"/>
                <w:color w:val="auto"/>
              </w:rPr>
              <w:t>3.1</w:t>
            </w:r>
            <w:r w:rsidR="00E32A1E" w:rsidRPr="00053933">
              <w:rPr>
                <w:rFonts w:asciiTheme="minorHAnsi" w:eastAsiaTheme="minorEastAsia" w:hAnsiTheme="minorHAnsi" w:cstheme="minorBidi"/>
                <w:bCs w:val="0"/>
                <w:sz w:val="22"/>
                <w:szCs w:val="22"/>
              </w:rPr>
              <w:tab/>
            </w:r>
            <w:r w:rsidR="00E32A1E" w:rsidRPr="00053933">
              <w:rPr>
                <w:rStyle w:val="Hypertextovodkaz"/>
                <w:color w:val="auto"/>
              </w:rPr>
              <w:t>Struktura výdajů</w:t>
            </w:r>
            <w:r w:rsidR="00E32A1E" w:rsidRPr="00053933">
              <w:rPr>
                <w:webHidden/>
              </w:rPr>
              <w:tab/>
            </w:r>
            <w:r w:rsidR="00E32A1E" w:rsidRPr="00053933">
              <w:rPr>
                <w:webHidden/>
              </w:rPr>
              <w:fldChar w:fldCharType="begin"/>
            </w:r>
            <w:r w:rsidR="00E32A1E" w:rsidRPr="00053933">
              <w:rPr>
                <w:webHidden/>
              </w:rPr>
              <w:instrText xml:space="preserve"> PAGEREF _Toc53750564 \h </w:instrText>
            </w:r>
            <w:r w:rsidR="00E32A1E" w:rsidRPr="00053933">
              <w:rPr>
                <w:webHidden/>
              </w:rPr>
            </w:r>
            <w:r w:rsidR="00E32A1E" w:rsidRPr="00053933">
              <w:rPr>
                <w:webHidden/>
              </w:rPr>
              <w:fldChar w:fldCharType="separate"/>
            </w:r>
            <w:r w:rsidR="00B605E1" w:rsidRPr="00053933">
              <w:rPr>
                <w:webHidden/>
              </w:rPr>
              <w:t>8</w:t>
            </w:r>
            <w:r w:rsidR="00E32A1E" w:rsidRPr="00053933">
              <w:rPr>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65" w:history="1">
            <w:r w:rsidR="00E32A1E" w:rsidRPr="00053933">
              <w:rPr>
                <w:rStyle w:val="Hypertextovodkaz"/>
                <w:noProof/>
                <w:color w:val="auto"/>
                <w14:scene3d>
                  <w14:camera w14:prst="orthographicFront"/>
                  <w14:lightRig w14:rig="threePt" w14:dir="t">
                    <w14:rot w14:lat="0" w14:lon="0" w14:rev="0"/>
                  </w14:lightRig>
                </w14:scene3d>
              </w:rPr>
              <w:t>3.1.1</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Specifické ukazatele</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_Toc53750565 \h </w:instrText>
            </w:r>
            <w:r w:rsidR="00E32A1E" w:rsidRPr="00053933">
              <w:rPr>
                <w:noProof/>
                <w:webHidden/>
              </w:rPr>
            </w:r>
            <w:r w:rsidR="00E32A1E" w:rsidRPr="00053933">
              <w:rPr>
                <w:noProof/>
                <w:webHidden/>
              </w:rPr>
              <w:fldChar w:fldCharType="separate"/>
            </w:r>
            <w:r w:rsidR="00B605E1" w:rsidRPr="00053933">
              <w:rPr>
                <w:noProof/>
                <w:webHidden/>
              </w:rPr>
              <w:t>10</w:t>
            </w:r>
            <w:r w:rsidR="00E32A1E" w:rsidRPr="00053933">
              <w:rPr>
                <w:noProof/>
                <w:webHidden/>
              </w:rPr>
              <w:fldChar w:fldCharType="end"/>
            </w:r>
          </w:hyperlink>
        </w:p>
        <w:p w:rsidR="00E32A1E" w:rsidRPr="00053933" w:rsidRDefault="00406B5C">
          <w:pPr>
            <w:pStyle w:val="Obsah2"/>
            <w:rPr>
              <w:rFonts w:asciiTheme="minorHAnsi" w:eastAsiaTheme="minorEastAsia" w:hAnsiTheme="minorHAnsi" w:cstheme="minorBidi"/>
              <w:bCs w:val="0"/>
              <w:sz w:val="22"/>
              <w:szCs w:val="22"/>
            </w:rPr>
          </w:pPr>
          <w:hyperlink w:anchor="_Toc53750566" w:history="1">
            <w:r w:rsidR="00E32A1E" w:rsidRPr="00053933">
              <w:rPr>
                <w:rStyle w:val="Hypertextovodkaz"/>
                <w:color w:val="auto"/>
              </w:rPr>
              <w:t>3.2</w:t>
            </w:r>
            <w:r w:rsidR="00E32A1E" w:rsidRPr="00053933">
              <w:rPr>
                <w:rFonts w:asciiTheme="minorHAnsi" w:eastAsiaTheme="minorEastAsia" w:hAnsiTheme="minorHAnsi" w:cstheme="minorBidi"/>
                <w:bCs w:val="0"/>
                <w:sz w:val="22"/>
                <w:szCs w:val="22"/>
              </w:rPr>
              <w:tab/>
            </w:r>
            <w:r w:rsidR="00E32A1E" w:rsidRPr="00053933">
              <w:rPr>
                <w:rStyle w:val="Hypertextovodkaz"/>
                <w:color w:val="auto"/>
              </w:rPr>
              <w:t>Běžné výdaje</w:t>
            </w:r>
            <w:r w:rsidR="00E32A1E" w:rsidRPr="00053933">
              <w:rPr>
                <w:webHidden/>
              </w:rPr>
              <w:tab/>
            </w:r>
            <w:r w:rsidR="00E32A1E" w:rsidRPr="00053933">
              <w:rPr>
                <w:webHidden/>
              </w:rPr>
              <w:fldChar w:fldCharType="begin"/>
            </w:r>
            <w:r w:rsidR="00E32A1E" w:rsidRPr="00053933">
              <w:rPr>
                <w:webHidden/>
              </w:rPr>
              <w:instrText xml:space="preserve"> PAGEREF _Toc53750566 \h </w:instrText>
            </w:r>
            <w:r w:rsidR="00E32A1E" w:rsidRPr="00053933">
              <w:rPr>
                <w:webHidden/>
              </w:rPr>
            </w:r>
            <w:r w:rsidR="00E32A1E" w:rsidRPr="00053933">
              <w:rPr>
                <w:webHidden/>
              </w:rPr>
              <w:fldChar w:fldCharType="separate"/>
            </w:r>
            <w:r w:rsidR="00B605E1" w:rsidRPr="00053933">
              <w:rPr>
                <w:webHidden/>
              </w:rPr>
              <w:t>13</w:t>
            </w:r>
            <w:r w:rsidR="00E32A1E" w:rsidRPr="00053933">
              <w:rPr>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67" w:history="1">
            <w:r w:rsidR="00E32A1E" w:rsidRPr="00053933">
              <w:rPr>
                <w:rStyle w:val="Hypertextovodkaz"/>
                <w:noProof/>
                <w:color w:val="auto"/>
                <w14:scene3d>
                  <w14:camera w14:prst="orthographicFront"/>
                  <w14:lightRig w14:rig="threePt" w14:dir="t">
                    <w14:rot w14:lat="0" w14:lon="0" w14:rev="0"/>
                  </w14:lightRig>
                </w14:scene3d>
              </w:rPr>
              <w:t>3.2.1</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Běžné výdaje organizačních složek státu bez podseskupení položek 521, 522, 531, 532, 533, 551, 553, 554, 561 a 5193</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_Toc53750567 \h </w:instrText>
            </w:r>
            <w:r w:rsidR="00E32A1E" w:rsidRPr="00053933">
              <w:rPr>
                <w:noProof/>
                <w:webHidden/>
              </w:rPr>
            </w:r>
            <w:r w:rsidR="00E32A1E" w:rsidRPr="00053933">
              <w:rPr>
                <w:noProof/>
                <w:webHidden/>
              </w:rPr>
              <w:fldChar w:fldCharType="separate"/>
            </w:r>
            <w:r w:rsidR="00B605E1" w:rsidRPr="00053933">
              <w:rPr>
                <w:noProof/>
                <w:webHidden/>
              </w:rPr>
              <w:t>14</w:t>
            </w:r>
            <w:r w:rsidR="00E32A1E" w:rsidRPr="00053933">
              <w:rPr>
                <w:noProof/>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68" w:history="1">
            <w:r w:rsidR="00E32A1E" w:rsidRPr="00053933">
              <w:rPr>
                <w:rStyle w:val="Hypertextovodkaz"/>
                <w:noProof/>
                <w:color w:val="auto"/>
                <w14:scene3d>
                  <w14:camera w14:prst="orthographicFront"/>
                  <w14:lightRig w14:rig="threePt" w14:dir="t">
                    <w14:rot w14:lat="0" w14:lon="0" w14:rev="0"/>
                  </w14:lightRig>
                </w14:scene3d>
              </w:rPr>
              <w:t>3.2.2</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Výdaje na platy a počty pracovníků za OSS a PO</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_Toc53750568 \h </w:instrText>
            </w:r>
            <w:r w:rsidR="00E32A1E" w:rsidRPr="00053933">
              <w:rPr>
                <w:noProof/>
                <w:webHidden/>
              </w:rPr>
            </w:r>
            <w:r w:rsidR="00E32A1E" w:rsidRPr="00053933">
              <w:rPr>
                <w:noProof/>
                <w:webHidden/>
              </w:rPr>
              <w:fldChar w:fldCharType="separate"/>
            </w:r>
            <w:r w:rsidR="00B605E1" w:rsidRPr="00053933">
              <w:rPr>
                <w:noProof/>
                <w:webHidden/>
              </w:rPr>
              <w:t>15</w:t>
            </w:r>
            <w:r w:rsidR="00E32A1E" w:rsidRPr="00053933">
              <w:rPr>
                <w:noProof/>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69" w:history="1">
            <w:r w:rsidR="00E32A1E" w:rsidRPr="00053933">
              <w:rPr>
                <w:rStyle w:val="Hypertextovodkaz"/>
                <w:noProof/>
                <w:color w:val="auto"/>
                <w14:scene3d>
                  <w14:camera w14:prst="orthographicFront"/>
                  <w14:lightRig w14:rig="threePt" w14:dir="t">
                    <w14:rot w14:lat="0" w14:lon="0" w14:rev="0"/>
                  </w14:lightRig>
                </w14:scene3d>
              </w:rPr>
              <w:t>3.2.3</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Organizační složky státu</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_Toc53750569 \h </w:instrText>
            </w:r>
            <w:r w:rsidR="00E32A1E" w:rsidRPr="00053933">
              <w:rPr>
                <w:noProof/>
                <w:webHidden/>
              </w:rPr>
            </w:r>
            <w:r w:rsidR="00E32A1E" w:rsidRPr="00053933">
              <w:rPr>
                <w:noProof/>
                <w:webHidden/>
              </w:rPr>
              <w:fldChar w:fldCharType="separate"/>
            </w:r>
            <w:r w:rsidR="00B605E1" w:rsidRPr="00053933">
              <w:rPr>
                <w:noProof/>
                <w:webHidden/>
              </w:rPr>
              <w:t>20</w:t>
            </w:r>
            <w:r w:rsidR="00E32A1E" w:rsidRPr="00053933">
              <w:rPr>
                <w:noProof/>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70" w:history="1">
            <w:r w:rsidR="00E32A1E" w:rsidRPr="00053933">
              <w:rPr>
                <w:rStyle w:val="Hypertextovodkaz"/>
                <w:noProof/>
                <w:color w:val="auto"/>
                <w14:scene3d>
                  <w14:camera w14:prst="orthographicFront"/>
                  <w14:lightRig w14:rig="threePt" w14:dir="t">
                    <w14:rot w14:lat="0" w14:lon="0" w14:rev="0"/>
                  </w14:lightRig>
                </w14:scene3d>
              </w:rPr>
              <w:t>3.2.4</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Příspěvkové organizace</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_Toc53750570 \h </w:instrText>
            </w:r>
            <w:r w:rsidR="00E32A1E" w:rsidRPr="00053933">
              <w:rPr>
                <w:noProof/>
                <w:webHidden/>
              </w:rPr>
            </w:r>
            <w:r w:rsidR="00E32A1E" w:rsidRPr="00053933">
              <w:rPr>
                <w:noProof/>
                <w:webHidden/>
              </w:rPr>
              <w:fldChar w:fldCharType="separate"/>
            </w:r>
            <w:r w:rsidR="00B605E1" w:rsidRPr="00053933">
              <w:rPr>
                <w:noProof/>
                <w:webHidden/>
              </w:rPr>
              <w:t>27</w:t>
            </w:r>
            <w:r w:rsidR="00E32A1E" w:rsidRPr="00053933">
              <w:rPr>
                <w:noProof/>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71" w:history="1">
            <w:r w:rsidR="00E32A1E" w:rsidRPr="00053933">
              <w:rPr>
                <w:rStyle w:val="Hypertextovodkaz"/>
                <w:noProof/>
                <w:color w:val="auto"/>
                <w14:scene3d>
                  <w14:camera w14:prst="orthographicFront"/>
                  <w14:lightRig w14:rig="threePt" w14:dir="t">
                    <w14:rot w14:lat="0" w14:lon="0" w14:rev="0"/>
                  </w14:lightRig>
                </w14:scene3d>
              </w:rPr>
              <w:t>3.2.5</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Neinvestiční transfery veřejným výzkumným institucím</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_Toc53750571 \h </w:instrText>
            </w:r>
            <w:r w:rsidR="00E32A1E" w:rsidRPr="00053933">
              <w:rPr>
                <w:noProof/>
                <w:webHidden/>
              </w:rPr>
            </w:r>
            <w:r w:rsidR="00E32A1E" w:rsidRPr="00053933">
              <w:rPr>
                <w:noProof/>
                <w:webHidden/>
              </w:rPr>
              <w:fldChar w:fldCharType="separate"/>
            </w:r>
            <w:r w:rsidR="00B605E1" w:rsidRPr="00053933">
              <w:rPr>
                <w:noProof/>
                <w:webHidden/>
              </w:rPr>
              <w:t>30</w:t>
            </w:r>
            <w:r w:rsidR="00E32A1E" w:rsidRPr="00053933">
              <w:rPr>
                <w:noProof/>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72" w:history="1">
            <w:r w:rsidR="00E32A1E" w:rsidRPr="00053933">
              <w:rPr>
                <w:rStyle w:val="Hypertextovodkaz"/>
                <w:noProof/>
                <w:color w:val="auto"/>
                <w14:scene3d>
                  <w14:camera w14:prst="orthographicFront"/>
                  <w14:lightRig w14:rig="threePt" w14:dir="t">
                    <w14:rot w14:lat="0" w14:lon="0" w14:rev="0"/>
                  </w14:lightRig>
                </w14:scene3d>
              </w:rPr>
              <w:t>3.2.6</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Neinvestiční transfery podnikatelským subjektům</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_Toc53750572 \h </w:instrText>
            </w:r>
            <w:r w:rsidR="00E32A1E" w:rsidRPr="00053933">
              <w:rPr>
                <w:noProof/>
                <w:webHidden/>
              </w:rPr>
            </w:r>
            <w:r w:rsidR="00E32A1E" w:rsidRPr="00053933">
              <w:rPr>
                <w:noProof/>
                <w:webHidden/>
              </w:rPr>
              <w:fldChar w:fldCharType="separate"/>
            </w:r>
            <w:r w:rsidR="00B605E1" w:rsidRPr="00053933">
              <w:rPr>
                <w:noProof/>
                <w:webHidden/>
              </w:rPr>
              <w:t>31</w:t>
            </w:r>
            <w:r w:rsidR="00E32A1E" w:rsidRPr="00053933">
              <w:rPr>
                <w:noProof/>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73" w:history="1">
            <w:r w:rsidR="00E32A1E" w:rsidRPr="00053933">
              <w:rPr>
                <w:rStyle w:val="Hypertextovodkaz"/>
                <w:noProof/>
                <w:color w:val="auto"/>
                <w14:scene3d>
                  <w14:camera w14:prst="orthographicFront"/>
                  <w14:lightRig w14:rig="threePt" w14:dir="t">
                    <w14:rot w14:lat="0" w14:lon="0" w14:rev="0"/>
                  </w14:lightRig>
                </w14:scene3d>
              </w:rPr>
              <w:t>3.2.7</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Neinvestiční transfery veřejným rozpočtům územní úrovně</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_Toc53750573 \h </w:instrText>
            </w:r>
            <w:r w:rsidR="00E32A1E" w:rsidRPr="00053933">
              <w:rPr>
                <w:noProof/>
                <w:webHidden/>
              </w:rPr>
            </w:r>
            <w:r w:rsidR="00E32A1E" w:rsidRPr="00053933">
              <w:rPr>
                <w:noProof/>
                <w:webHidden/>
              </w:rPr>
              <w:fldChar w:fldCharType="separate"/>
            </w:r>
            <w:r w:rsidR="00B605E1" w:rsidRPr="00053933">
              <w:rPr>
                <w:noProof/>
                <w:webHidden/>
              </w:rPr>
              <w:t>33</w:t>
            </w:r>
            <w:r w:rsidR="00E32A1E" w:rsidRPr="00053933">
              <w:rPr>
                <w:noProof/>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74" w:history="1">
            <w:r w:rsidR="00E32A1E" w:rsidRPr="00053933">
              <w:rPr>
                <w:rStyle w:val="Hypertextovodkaz"/>
                <w:noProof/>
                <w:color w:val="auto"/>
                <w14:scene3d>
                  <w14:camera w14:prst="orthographicFront"/>
                  <w14:lightRig w14:rig="threePt" w14:dir="t">
                    <w14:rot w14:lat="0" w14:lon="0" w14:rev="0"/>
                  </w14:lightRig>
                </w14:scene3d>
              </w:rPr>
              <w:t>3.2.8</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Neinvestiční transfery neziskovým a podobným organizacím</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_Toc53750574 \h </w:instrText>
            </w:r>
            <w:r w:rsidR="00E32A1E" w:rsidRPr="00053933">
              <w:rPr>
                <w:noProof/>
                <w:webHidden/>
              </w:rPr>
            </w:r>
            <w:r w:rsidR="00E32A1E" w:rsidRPr="00053933">
              <w:rPr>
                <w:noProof/>
                <w:webHidden/>
              </w:rPr>
              <w:fldChar w:fldCharType="separate"/>
            </w:r>
            <w:r w:rsidR="00B605E1" w:rsidRPr="00053933">
              <w:rPr>
                <w:noProof/>
                <w:webHidden/>
              </w:rPr>
              <w:t>34</w:t>
            </w:r>
            <w:r w:rsidR="00E32A1E" w:rsidRPr="00053933">
              <w:rPr>
                <w:noProof/>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75" w:history="1">
            <w:r w:rsidR="00E32A1E" w:rsidRPr="00053933">
              <w:rPr>
                <w:rStyle w:val="Hypertextovodkaz"/>
                <w:noProof/>
                <w:color w:val="auto"/>
                <w14:scene3d>
                  <w14:camera w14:prst="orthographicFront"/>
                  <w14:lightRig w14:rig="threePt" w14:dir="t">
                    <w14:rot w14:lat="0" w14:lon="0" w14:rev="0"/>
                  </w14:lightRig>
                </w14:scene3d>
              </w:rPr>
              <w:t>3.2.9</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Neinvestiční transfery do zahraničí</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_Toc53750575 \h </w:instrText>
            </w:r>
            <w:r w:rsidR="00E32A1E" w:rsidRPr="00053933">
              <w:rPr>
                <w:noProof/>
                <w:webHidden/>
              </w:rPr>
            </w:r>
            <w:r w:rsidR="00E32A1E" w:rsidRPr="00053933">
              <w:rPr>
                <w:noProof/>
                <w:webHidden/>
              </w:rPr>
              <w:fldChar w:fldCharType="separate"/>
            </w:r>
            <w:r w:rsidR="00B605E1" w:rsidRPr="00053933">
              <w:rPr>
                <w:noProof/>
                <w:webHidden/>
              </w:rPr>
              <w:t>35</w:t>
            </w:r>
            <w:r w:rsidR="00E32A1E" w:rsidRPr="00053933">
              <w:rPr>
                <w:noProof/>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76" w:history="1">
            <w:r w:rsidR="00E32A1E" w:rsidRPr="00053933">
              <w:rPr>
                <w:rStyle w:val="Hypertextovodkaz"/>
                <w:noProof/>
                <w:color w:val="auto"/>
                <w14:scene3d>
                  <w14:camera w14:prst="orthographicFront"/>
                  <w14:lightRig w14:rig="threePt" w14:dir="t">
                    <w14:rot w14:lat="0" w14:lon="0" w14:rev="0"/>
                  </w14:lightRig>
                </w14:scene3d>
              </w:rPr>
              <w:t>3.2.10</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Neinvestiční transfery státním fondům</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_Toc53750576 \h </w:instrText>
            </w:r>
            <w:r w:rsidR="00E32A1E" w:rsidRPr="00053933">
              <w:rPr>
                <w:noProof/>
                <w:webHidden/>
              </w:rPr>
            </w:r>
            <w:r w:rsidR="00E32A1E" w:rsidRPr="00053933">
              <w:rPr>
                <w:noProof/>
                <w:webHidden/>
              </w:rPr>
              <w:fldChar w:fldCharType="separate"/>
            </w:r>
            <w:r w:rsidR="00B605E1" w:rsidRPr="00053933">
              <w:rPr>
                <w:noProof/>
                <w:webHidden/>
              </w:rPr>
              <w:t>36</w:t>
            </w:r>
            <w:r w:rsidR="00E32A1E" w:rsidRPr="00053933">
              <w:rPr>
                <w:noProof/>
                <w:webHidden/>
              </w:rPr>
              <w:fldChar w:fldCharType="end"/>
            </w:r>
          </w:hyperlink>
        </w:p>
        <w:p w:rsidR="00E32A1E" w:rsidRPr="00053933" w:rsidRDefault="00406B5C">
          <w:pPr>
            <w:pStyle w:val="Obsah2"/>
            <w:rPr>
              <w:rFonts w:asciiTheme="minorHAnsi" w:eastAsiaTheme="minorEastAsia" w:hAnsiTheme="minorHAnsi" w:cstheme="minorBidi"/>
              <w:bCs w:val="0"/>
              <w:sz w:val="22"/>
              <w:szCs w:val="22"/>
            </w:rPr>
          </w:pPr>
          <w:hyperlink w:anchor="_Toc53750577" w:history="1">
            <w:r w:rsidR="00E32A1E" w:rsidRPr="00053933">
              <w:rPr>
                <w:rStyle w:val="Hypertextovodkaz"/>
                <w:color w:val="auto"/>
              </w:rPr>
              <w:t>3.3</w:t>
            </w:r>
            <w:r w:rsidR="00E32A1E" w:rsidRPr="00053933">
              <w:rPr>
                <w:rFonts w:asciiTheme="minorHAnsi" w:eastAsiaTheme="minorEastAsia" w:hAnsiTheme="minorHAnsi" w:cstheme="minorBidi"/>
                <w:bCs w:val="0"/>
                <w:sz w:val="22"/>
                <w:szCs w:val="22"/>
              </w:rPr>
              <w:tab/>
            </w:r>
            <w:r w:rsidR="00E32A1E" w:rsidRPr="00053933">
              <w:rPr>
                <w:rStyle w:val="Hypertextovodkaz"/>
                <w:color w:val="auto"/>
              </w:rPr>
              <w:t>Kapitálové výdaje</w:t>
            </w:r>
            <w:r w:rsidR="00E32A1E" w:rsidRPr="00053933">
              <w:rPr>
                <w:webHidden/>
              </w:rPr>
              <w:tab/>
            </w:r>
            <w:r w:rsidR="00E32A1E" w:rsidRPr="00053933">
              <w:rPr>
                <w:webHidden/>
              </w:rPr>
              <w:fldChar w:fldCharType="begin"/>
            </w:r>
            <w:r w:rsidR="00E32A1E" w:rsidRPr="00053933">
              <w:rPr>
                <w:webHidden/>
              </w:rPr>
              <w:instrText xml:space="preserve"> PAGEREF _Toc53750577 \h </w:instrText>
            </w:r>
            <w:r w:rsidR="00E32A1E" w:rsidRPr="00053933">
              <w:rPr>
                <w:webHidden/>
              </w:rPr>
            </w:r>
            <w:r w:rsidR="00E32A1E" w:rsidRPr="00053933">
              <w:rPr>
                <w:webHidden/>
              </w:rPr>
              <w:fldChar w:fldCharType="separate"/>
            </w:r>
            <w:r w:rsidR="00B605E1" w:rsidRPr="00053933">
              <w:rPr>
                <w:webHidden/>
              </w:rPr>
              <w:t>37</w:t>
            </w:r>
            <w:r w:rsidR="00E32A1E" w:rsidRPr="00053933">
              <w:rPr>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78" w:history="1">
            <w:r w:rsidR="00E32A1E" w:rsidRPr="00053933">
              <w:rPr>
                <w:rStyle w:val="Hypertextovodkaz"/>
                <w:noProof/>
                <w:color w:val="auto"/>
                <w14:scene3d>
                  <w14:camera w14:prst="orthographicFront"/>
                  <w14:lightRig w14:rig="threePt" w14:dir="t">
                    <w14:rot w14:lat="0" w14:lon="0" w14:rev="0"/>
                  </w14:lightRig>
                </w14:scene3d>
              </w:rPr>
              <w:t>3.3.1</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Investiční transfery veřejným výzkumným institucím</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_Toc53750578 \h </w:instrText>
            </w:r>
            <w:r w:rsidR="00E32A1E" w:rsidRPr="00053933">
              <w:rPr>
                <w:noProof/>
                <w:webHidden/>
              </w:rPr>
            </w:r>
            <w:r w:rsidR="00E32A1E" w:rsidRPr="00053933">
              <w:rPr>
                <w:noProof/>
                <w:webHidden/>
              </w:rPr>
              <w:fldChar w:fldCharType="separate"/>
            </w:r>
            <w:r w:rsidR="00B605E1" w:rsidRPr="00053933">
              <w:rPr>
                <w:noProof/>
                <w:webHidden/>
              </w:rPr>
              <w:t>38</w:t>
            </w:r>
            <w:r w:rsidR="00E32A1E" w:rsidRPr="00053933">
              <w:rPr>
                <w:noProof/>
                <w:webHidden/>
              </w:rPr>
              <w:fldChar w:fldCharType="end"/>
            </w:r>
          </w:hyperlink>
        </w:p>
        <w:p w:rsidR="00E32A1E" w:rsidRPr="00053933" w:rsidRDefault="00406B5C">
          <w:pPr>
            <w:pStyle w:val="Obsah2"/>
            <w:rPr>
              <w:rFonts w:asciiTheme="minorHAnsi" w:eastAsiaTheme="minorEastAsia" w:hAnsiTheme="minorHAnsi" w:cstheme="minorBidi"/>
              <w:bCs w:val="0"/>
              <w:sz w:val="22"/>
              <w:szCs w:val="22"/>
            </w:rPr>
          </w:pPr>
          <w:hyperlink w:anchor="_Toc53750579" w:history="1">
            <w:r w:rsidR="00E32A1E" w:rsidRPr="00053933">
              <w:rPr>
                <w:rStyle w:val="Hypertextovodkaz"/>
                <w:color w:val="auto"/>
              </w:rPr>
              <w:t>3.4</w:t>
            </w:r>
            <w:r w:rsidR="00E32A1E" w:rsidRPr="00053933">
              <w:rPr>
                <w:rFonts w:asciiTheme="minorHAnsi" w:eastAsiaTheme="minorEastAsia" w:hAnsiTheme="minorHAnsi" w:cstheme="minorBidi"/>
                <w:bCs w:val="0"/>
                <w:sz w:val="22"/>
                <w:szCs w:val="22"/>
              </w:rPr>
              <w:tab/>
            </w:r>
            <w:r w:rsidR="00E32A1E" w:rsidRPr="00053933">
              <w:rPr>
                <w:rStyle w:val="Hypertextovodkaz"/>
                <w:color w:val="auto"/>
              </w:rPr>
              <w:t>Výdaje vedené v informačním systému programového financování EDS/SMVS</w:t>
            </w:r>
            <w:r w:rsidR="00E32A1E" w:rsidRPr="00053933">
              <w:rPr>
                <w:webHidden/>
              </w:rPr>
              <w:tab/>
            </w:r>
            <w:r w:rsidR="00E32A1E" w:rsidRPr="00053933">
              <w:rPr>
                <w:webHidden/>
              </w:rPr>
              <w:fldChar w:fldCharType="begin"/>
            </w:r>
            <w:r w:rsidR="00E32A1E" w:rsidRPr="00053933">
              <w:rPr>
                <w:webHidden/>
              </w:rPr>
              <w:instrText xml:space="preserve"> PAGEREF _Toc53750579 \h </w:instrText>
            </w:r>
            <w:r w:rsidR="00E32A1E" w:rsidRPr="00053933">
              <w:rPr>
                <w:webHidden/>
              </w:rPr>
            </w:r>
            <w:r w:rsidR="00E32A1E" w:rsidRPr="00053933">
              <w:rPr>
                <w:webHidden/>
              </w:rPr>
              <w:fldChar w:fldCharType="separate"/>
            </w:r>
            <w:r w:rsidR="00B605E1" w:rsidRPr="00053933">
              <w:rPr>
                <w:webHidden/>
              </w:rPr>
              <w:t>39</w:t>
            </w:r>
            <w:r w:rsidR="00E32A1E" w:rsidRPr="00053933">
              <w:rPr>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80" w:history="1">
            <w:r w:rsidR="00E32A1E" w:rsidRPr="00053933">
              <w:rPr>
                <w:rStyle w:val="Hypertextovodkaz"/>
                <w:noProof/>
                <w:color w:val="auto"/>
                <w14:scene3d>
                  <w14:camera w14:prst="orthographicFront"/>
                  <w14:lightRig w14:rig="threePt" w14:dir="t">
                    <w14:rot w14:lat="0" w14:lon="0" w14:rev="0"/>
                  </w14:lightRig>
                </w14:scene3d>
              </w:rPr>
              <w:t>3.4.1</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Organizační složky státu</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_Toc53750580 \h </w:instrText>
            </w:r>
            <w:r w:rsidR="00E32A1E" w:rsidRPr="00053933">
              <w:rPr>
                <w:noProof/>
                <w:webHidden/>
              </w:rPr>
            </w:r>
            <w:r w:rsidR="00E32A1E" w:rsidRPr="00053933">
              <w:rPr>
                <w:noProof/>
                <w:webHidden/>
              </w:rPr>
              <w:fldChar w:fldCharType="separate"/>
            </w:r>
            <w:r w:rsidR="00B605E1" w:rsidRPr="00053933">
              <w:rPr>
                <w:noProof/>
                <w:webHidden/>
              </w:rPr>
              <w:t>39</w:t>
            </w:r>
            <w:r w:rsidR="00E32A1E" w:rsidRPr="00053933">
              <w:rPr>
                <w:noProof/>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81" w:history="1">
            <w:r w:rsidR="00E32A1E" w:rsidRPr="00053933">
              <w:rPr>
                <w:rStyle w:val="Hypertextovodkaz"/>
                <w:noProof/>
                <w:color w:val="auto"/>
                <w14:scene3d>
                  <w14:camera w14:prst="orthographicFront"/>
                  <w14:lightRig w14:rig="threePt" w14:dir="t">
                    <w14:rot w14:lat="0" w14:lon="0" w14:rev="0"/>
                  </w14:lightRig>
                </w14:scene3d>
              </w:rPr>
              <w:t>3.4.2</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Příspěvkové organizace</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_Toc53750581 \h </w:instrText>
            </w:r>
            <w:r w:rsidR="00E32A1E" w:rsidRPr="00053933">
              <w:rPr>
                <w:noProof/>
                <w:webHidden/>
              </w:rPr>
            </w:r>
            <w:r w:rsidR="00E32A1E" w:rsidRPr="00053933">
              <w:rPr>
                <w:noProof/>
                <w:webHidden/>
              </w:rPr>
              <w:fldChar w:fldCharType="separate"/>
            </w:r>
            <w:r w:rsidR="00B605E1" w:rsidRPr="00053933">
              <w:rPr>
                <w:noProof/>
                <w:webHidden/>
              </w:rPr>
              <w:t>43</w:t>
            </w:r>
            <w:r w:rsidR="00E32A1E" w:rsidRPr="00053933">
              <w:rPr>
                <w:noProof/>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82" w:history="1">
            <w:r w:rsidR="00E32A1E" w:rsidRPr="00053933">
              <w:rPr>
                <w:rStyle w:val="Hypertextovodkaz"/>
                <w:noProof/>
                <w:color w:val="auto"/>
                <w14:scene3d>
                  <w14:camera w14:prst="orthographicFront"/>
                  <w14:lightRig w14:rig="threePt" w14:dir="t">
                    <w14:rot w14:lat="0" w14:lon="0" w14:rev="0"/>
                  </w14:lightRig>
                </w14:scene3d>
              </w:rPr>
              <w:t>3.4.3</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Podnikatelské subjekty</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_Toc53750582 \h </w:instrText>
            </w:r>
            <w:r w:rsidR="00E32A1E" w:rsidRPr="00053933">
              <w:rPr>
                <w:noProof/>
                <w:webHidden/>
              </w:rPr>
            </w:r>
            <w:r w:rsidR="00E32A1E" w:rsidRPr="00053933">
              <w:rPr>
                <w:noProof/>
                <w:webHidden/>
              </w:rPr>
              <w:fldChar w:fldCharType="separate"/>
            </w:r>
            <w:r w:rsidR="00B605E1" w:rsidRPr="00053933">
              <w:rPr>
                <w:noProof/>
                <w:webHidden/>
              </w:rPr>
              <w:t>44</w:t>
            </w:r>
            <w:r w:rsidR="00E32A1E" w:rsidRPr="00053933">
              <w:rPr>
                <w:noProof/>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83" w:history="1">
            <w:r w:rsidR="00E32A1E" w:rsidRPr="00053933">
              <w:rPr>
                <w:rStyle w:val="Hypertextovodkaz"/>
                <w:noProof/>
                <w:color w:val="auto"/>
                <w14:scene3d>
                  <w14:camera w14:prst="orthographicFront"/>
                  <w14:lightRig w14:rig="threePt" w14:dir="t">
                    <w14:rot w14:lat="0" w14:lon="0" w14:rev="0"/>
                  </w14:lightRig>
                </w14:scene3d>
              </w:rPr>
              <w:t>3.4.4</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Státní fondy</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_Toc53750583 \h </w:instrText>
            </w:r>
            <w:r w:rsidR="00E32A1E" w:rsidRPr="00053933">
              <w:rPr>
                <w:noProof/>
                <w:webHidden/>
              </w:rPr>
            </w:r>
            <w:r w:rsidR="00E32A1E" w:rsidRPr="00053933">
              <w:rPr>
                <w:noProof/>
                <w:webHidden/>
              </w:rPr>
              <w:fldChar w:fldCharType="separate"/>
            </w:r>
            <w:r w:rsidR="00B605E1" w:rsidRPr="00053933">
              <w:rPr>
                <w:noProof/>
                <w:webHidden/>
              </w:rPr>
              <w:t>46</w:t>
            </w:r>
            <w:r w:rsidR="00E32A1E" w:rsidRPr="00053933">
              <w:rPr>
                <w:noProof/>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84" w:history="1">
            <w:r w:rsidR="00E32A1E" w:rsidRPr="00053933">
              <w:rPr>
                <w:rStyle w:val="Hypertextovodkaz"/>
                <w:noProof/>
                <w:color w:val="auto"/>
                <w14:scene3d>
                  <w14:camera w14:prst="orthographicFront"/>
                  <w14:lightRig w14:rig="threePt" w14:dir="t">
                    <w14:rot w14:lat="0" w14:lon="0" w14:rev="0"/>
                  </w14:lightRig>
                </w14:scene3d>
              </w:rPr>
              <w:t>3.4.5</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Neziskové a podobné organizace</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_Toc53750584 \h </w:instrText>
            </w:r>
            <w:r w:rsidR="00E32A1E" w:rsidRPr="00053933">
              <w:rPr>
                <w:noProof/>
                <w:webHidden/>
              </w:rPr>
            </w:r>
            <w:r w:rsidR="00E32A1E" w:rsidRPr="00053933">
              <w:rPr>
                <w:noProof/>
                <w:webHidden/>
              </w:rPr>
              <w:fldChar w:fldCharType="separate"/>
            </w:r>
            <w:r w:rsidR="00B605E1" w:rsidRPr="00053933">
              <w:rPr>
                <w:noProof/>
                <w:webHidden/>
              </w:rPr>
              <w:t>47</w:t>
            </w:r>
            <w:r w:rsidR="00E32A1E" w:rsidRPr="00053933">
              <w:rPr>
                <w:noProof/>
                <w:webHidden/>
              </w:rPr>
              <w:fldChar w:fldCharType="end"/>
            </w:r>
          </w:hyperlink>
        </w:p>
        <w:p w:rsidR="00E32A1E" w:rsidRPr="00053933" w:rsidRDefault="00406B5C">
          <w:pPr>
            <w:pStyle w:val="Obsah2"/>
            <w:rPr>
              <w:rFonts w:asciiTheme="minorHAnsi" w:eastAsiaTheme="minorEastAsia" w:hAnsiTheme="minorHAnsi" w:cstheme="minorBidi"/>
              <w:bCs w:val="0"/>
              <w:sz w:val="22"/>
              <w:szCs w:val="22"/>
            </w:rPr>
          </w:pPr>
          <w:hyperlink w:anchor="_Toc53750585" w:history="1">
            <w:r w:rsidR="00E32A1E" w:rsidRPr="00053933">
              <w:rPr>
                <w:rStyle w:val="Hypertextovodkaz"/>
                <w:color w:val="auto"/>
              </w:rPr>
              <w:t>3.5</w:t>
            </w:r>
            <w:r w:rsidR="00E32A1E" w:rsidRPr="00053933">
              <w:rPr>
                <w:rFonts w:asciiTheme="minorHAnsi" w:eastAsiaTheme="minorEastAsia" w:hAnsiTheme="minorHAnsi" w:cstheme="minorBidi"/>
                <w:bCs w:val="0"/>
                <w:sz w:val="22"/>
                <w:szCs w:val="22"/>
              </w:rPr>
              <w:tab/>
            </w:r>
            <w:r w:rsidR="00E32A1E" w:rsidRPr="00053933">
              <w:rPr>
                <w:rStyle w:val="Hypertextovodkaz"/>
                <w:color w:val="auto"/>
              </w:rPr>
              <w:t>Prostředky fondů Evropské unie</w:t>
            </w:r>
            <w:r w:rsidR="00E32A1E" w:rsidRPr="00053933">
              <w:rPr>
                <w:webHidden/>
              </w:rPr>
              <w:tab/>
            </w:r>
            <w:r w:rsidR="00E32A1E" w:rsidRPr="00053933">
              <w:rPr>
                <w:webHidden/>
              </w:rPr>
              <w:fldChar w:fldCharType="begin"/>
            </w:r>
            <w:r w:rsidR="00E32A1E" w:rsidRPr="00053933">
              <w:rPr>
                <w:webHidden/>
              </w:rPr>
              <w:instrText xml:space="preserve"> PAGEREF _Toc53750585 \h </w:instrText>
            </w:r>
            <w:r w:rsidR="00E32A1E" w:rsidRPr="00053933">
              <w:rPr>
                <w:webHidden/>
              </w:rPr>
            </w:r>
            <w:r w:rsidR="00E32A1E" w:rsidRPr="00053933">
              <w:rPr>
                <w:webHidden/>
              </w:rPr>
              <w:fldChar w:fldCharType="separate"/>
            </w:r>
            <w:r w:rsidR="00B605E1" w:rsidRPr="00053933">
              <w:rPr>
                <w:webHidden/>
              </w:rPr>
              <w:t>48</w:t>
            </w:r>
            <w:r w:rsidR="00E32A1E" w:rsidRPr="00053933">
              <w:rPr>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86" w:history="1">
            <w:r w:rsidR="00E32A1E" w:rsidRPr="00053933">
              <w:rPr>
                <w:rStyle w:val="Hypertextovodkaz"/>
                <w:noProof/>
                <w:color w:val="auto"/>
                <w14:scene3d>
                  <w14:camera w14:prst="orthographicFront"/>
                  <w14:lightRig w14:rig="threePt" w14:dir="t">
                    <w14:rot w14:lat="0" w14:lon="0" w14:rev="0"/>
                  </w14:lightRig>
                </w14:scene3d>
              </w:rPr>
              <w:t>3.5.1</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Facilita na podporu oživení a odolnosti</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_Toc53750586 \h </w:instrText>
            </w:r>
            <w:r w:rsidR="00E32A1E" w:rsidRPr="00053933">
              <w:rPr>
                <w:noProof/>
                <w:webHidden/>
              </w:rPr>
            </w:r>
            <w:r w:rsidR="00E32A1E" w:rsidRPr="00053933">
              <w:rPr>
                <w:noProof/>
                <w:webHidden/>
              </w:rPr>
              <w:fldChar w:fldCharType="separate"/>
            </w:r>
            <w:r w:rsidR="00B605E1" w:rsidRPr="00053933">
              <w:rPr>
                <w:noProof/>
                <w:webHidden/>
              </w:rPr>
              <w:t>48</w:t>
            </w:r>
            <w:r w:rsidR="00E32A1E" w:rsidRPr="00053933">
              <w:rPr>
                <w:noProof/>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87" w:history="1">
            <w:r w:rsidR="00E32A1E" w:rsidRPr="00053933">
              <w:rPr>
                <w:rStyle w:val="Hypertextovodkaz"/>
                <w:noProof/>
                <w:color w:val="auto"/>
                <w14:scene3d>
                  <w14:camera w14:prst="orthographicFront"/>
                  <w14:lightRig w14:rig="threePt" w14:dir="t">
                    <w14:rot w14:lat="0" w14:lon="0" w14:rev="0"/>
                  </w14:lightRig>
                </w14:scene3d>
              </w:rPr>
              <w:t>3.5.2</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Operační program Doprava – programové období 2014 – 2020</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_Toc53750587 \h </w:instrText>
            </w:r>
            <w:r w:rsidR="00E32A1E" w:rsidRPr="00053933">
              <w:rPr>
                <w:noProof/>
                <w:webHidden/>
              </w:rPr>
            </w:r>
            <w:r w:rsidR="00E32A1E" w:rsidRPr="00053933">
              <w:rPr>
                <w:noProof/>
                <w:webHidden/>
              </w:rPr>
              <w:fldChar w:fldCharType="separate"/>
            </w:r>
            <w:r w:rsidR="00B605E1" w:rsidRPr="00053933">
              <w:rPr>
                <w:noProof/>
                <w:webHidden/>
              </w:rPr>
              <w:t>49</w:t>
            </w:r>
            <w:r w:rsidR="00E32A1E" w:rsidRPr="00053933">
              <w:rPr>
                <w:noProof/>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88" w:history="1">
            <w:r w:rsidR="00E32A1E" w:rsidRPr="00053933">
              <w:rPr>
                <w:rStyle w:val="Hypertextovodkaz"/>
                <w:noProof/>
                <w:color w:val="auto"/>
                <w14:scene3d>
                  <w14:camera w14:prst="orthographicFront"/>
                  <w14:lightRig w14:rig="threePt" w14:dir="t">
                    <w14:rot w14:lat="0" w14:lon="0" w14:rev="0"/>
                  </w14:lightRig>
                </w14:scene3d>
              </w:rPr>
              <w:t>3.5.3</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Komunitární programy (TEN-T) – programové období 2014 – 2020</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_Toc53750588 \h </w:instrText>
            </w:r>
            <w:r w:rsidR="00E32A1E" w:rsidRPr="00053933">
              <w:rPr>
                <w:noProof/>
                <w:webHidden/>
              </w:rPr>
            </w:r>
            <w:r w:rsidR="00E32A1E" w:rsidRPr="00053933">
              <w:rPr>
                <w:noProof/>
                <w:webHidden/>
              </w:rPr>
              <w:fldChar w:fldCharType="separate"/>
            </w:r>
            <w:r w:rsidR="00B605E1" w:rsidRPr="00053933">
              <w:rPr>
                <w:noProof/>
                <w:webHidden/>
              </w:rPr>
              <w:t>51</w:t>
            </w:r>
            <w:r w:rsidR="00E32A1E" w:rsidRPr="00053933">
              <w:rPr>
                <w:noProof/>
                <w:webHidden/>
              </w:rPr>
              <w:fldChar w:fldCharType="end"/>
            </w:r>
          </w:hyperlink>
        </w:p>
        <w:p w:rsidR="00E32A1E" w:rsidRPr="00053933" w:rsidRDefault="00406B5C">
          <w:pPr>
            <w:pStyle w:val="Obsah3"/>
            <w:rPr>
              <w:rFonts w:asciiTheme="minorHAnsi" w:eastAsiaTheme="minorEastAsia" w:hAnsiTheme="minorHAnsi" w:cstheme="minorBidi"/>
              <w:noProof/>
              <w:sz w:val="22"/>
              <w:szCs w:val="22"/>
            </w:rPr>
          </w:pPr>
          <w:hyperlink w:anchor="_Toc53750589" w:history="1">
            <w:r w:rsidR="00E32A1E" w:rsidRPr="00053933">
              <w:rPr>
                <w:rStyle w:val="Hypertextovodkaz"/>
                <w:noProof/>
                <w:color w:val="auto"/>
                <w14:scene3d>
                  <w14:camera w14:prst="orthographicFront"/>
                  <w14:lightRig w14:rig="threePt" w14:dir="t">
                    <w14:rot w14:lat="0" w14:lon="0" w14:rev="0"/>
                  </w14:lightRig>
                </w14:scene3d>
              </w:rPr>
              <w:t>3.5.4</w:t>
            </w:r>
            <w:r w:rsidR="00E32A1E" w:rsidRPr="00053933">
              <w:rPr>
                <w:rFonts w:asciiTheme="minorHAnsi" w:eastAsiaTheme="minorEastAsia" w:hAnsiTheme="minorHAnsi" w:cstheme="minorBidi"/>
                <w:noProof/>
                <w:sz w:val="22"/>
                <w:szCs w:val="22"/>
              </w:rPr>
              <w:tab/>
            </w:r>
            <w:r w:rsidR="00E32A1E" w:rsidRPr="00053933">
              <w:rPr>
                <w:rStyle w:val="Hypertextovodkaz"/>
                <w:noProof/>
                <w:color w:val="auto"/>
              </w:rPr>
              <w:t>Rozdělení prostředků EU a podílu SR dle jednotlivých programů na rok 2021</w:t>
            </w:r>
            <w:r w:rsidR="00E32A1E" w:rsidRPr="00053933">
              <w:rPr>
                <w:noProof/>
                <w:webHidden/>
              </w:rPr>
              <w:tab/>
            </w:r>
            <w:r w:rsidR="00E32A1E" w:rsidRPr="00053933">
              <w:rPr>
                <w:noProof/>
                <w:webHidden/>
              </w:rPr>
              <w:fldChar w:fldCharType="begin"/>
            </w:r>
            <w:r w:rsidR="00E32A1E" w:rsidRPr="00053933">
              <w:rPr>
                <w:noProof/>
                <w:webHidden/>
              </w:rPr>
              <w:instrText xml:space="preserve"> PAGEREF _Toc53750589 \h </w:instrText>
            </w:r>
            <w:r w:rsidR="00E32A1E" w:rsidRPr="00053933">
              <w:rPr>
                <w:noProof/>
                <w:webHidden/>
              </w:rPr>
            </w:r>
            <w:r w:rsidR="00E32A1E" w:rsidRPr="00053933">
              <w:rPr>
                <w:noProof/>
                <w:webHidden/>
              </w:rPr>
              <w:fldChar w:fldCharType="separate"/>
            </w:r>
            <w:r w:rsidR="00B605E1" w:rsidRPr="00053933">
              <w:rPr>
                <w:noProof/>
                <w:webHidden/>
              </w:rPr>
              <w:t>59</w:t>
            </w:r>
            <w:r w:rsidR="00E32A1E" w:rsidRPr="00053933">
              <w:rPr>
                <w:noProof/>
                <w:webHidden/>
              </w:rPr>
              <w:fldChar w:fldCharType="end"/>
            </w:r>
          </w:hyperlink>
        </w:p>
        <w:p w:rsidR="00E32A1E" w:rsidRPr="00053933" w:rsidRDefault="00406B5C">
          <w:pPr>
            <w:pStyle w:val="Obsah2"/>
            <w:rPr>
              <w:rFonts w:asciiTheme="minorHAnsi" w:eastAsiaTheme="minorEastAsia" w:hAnsiTheme="minorHAnsi" w:cstheme="minorBidi"/>
              <w:bCs w:val="0"/>
              <w:sz w:val="22"/>
              <w:szCs w:val="22"/>
            </w:rPr>
          </w:pPr>
          <w:hyperlink w:anchor="_Toc53750590" w:history="1">
            <w:r w:rsidR="00E32A1E" w:rsidRPr="00053933">
              <w:rPr>
                <w:rStyle w:val="Hypertextovodkaz"/>
                <w:color w:val="auto"/>
              </w:rPr>
              <w:t>3.6</w:t>
            </w:r>
            <w:r w:rsidR="00E32A1E" w:rsidRPr="00053933">
              <w:rPr>
                <w:rFonts w:asciiTheme="minorHAnsi" w:eastAsiaTheme="minorEastAsia" w:hAnsiTheme="minorHAnsi" w:cstheme="minorBidi"/>
                <w:bCs w:val="0"/>
                <w:sz w:val="22"/>
                <w:szCs w:val="22"/>
              </w:rPr>
              <w:tab/>
            </w:r>
            <w:r w:rsidR="00E32A1E" w:rsidRPr="00053933">
              <w:rPr>
                <w:rStyle w:val="Hypertextovodkaz"/>
                <w:color w:val="auto"/>
              </w:rPr>
              <w:t>Výdaje na výzkum, vývoj a inovace</w:t>
            </w:r>
            <w:r w:rsidR="00E32A1E" w:rsidRPr="00053933">
              <w:rPr>
                <w:webHidden/>
              </w:rPr>
              <w:tab/>
            </w:r>
            <w:r w:rsidR="00E32A1E" w:rsidRPr="00053933">
              <w:rPr>
                <w:webHidden/>
              </w:rPr>
              <w:fldChar w:fldCharType="begin"/>
            </w:r>
            <w:r w:rsidR="00E32A1E" w:rsidRPr="00053933">
              <w:rPr>
                <w:webHidden/>
              </w:rPr>
              <w:instrText xml:space="preserve"> PAGEREF _Toc53750590 \h </w:instrText>
            </w:r>
            <w:r w:rsidR="00E32A1E" w:rsidRPr="00053933">
              <w:rPr>
                <w:webHidden/>
              </w:rPr>
            </w:r>
            <w:r w:rsidR="00E32A1E" w:rsidRPr="00053933">
              <w:rPr>
                <w:webHidden/>
              </w:rPr>
              <w:fldChar w:fldCharType="separate"/>
            </w:r>
            <w:r w:rsidR="00B605E1" w:rsidRPr="00053933">
              <w:rPr>
                <w:webHidden/>
              </w:rPr>
              <w:t>60</w:t>
            </w:r>
            <w:r w:rsidR="00E32A1E" w:rsidRPr="00053933">
              <w:rPr>
                <w:webHidden/>
              </w:rPr>
              <w:fldChar w:fldCharType="end"/>
            </w:r>
          </w:hyperlink>
        </w:p>
        <w:p w:rsidR="00E32A1E" w:rsidRPr="00053933" w:rsidRDefault="00406B5C">
          <w:pPr>
            <w:pStyle w:val="Obsah2"/>
            <w:rPr>
              <w:rFonts w:asciiTheme="minorHAnsi" w:eastAsiaTheme="minorEastAsia" w:hAnsiTheme="minorHAnsi" w:cstheme="minorBidi"/>
              <w:bCs w:val="0"/>
              <w:sz w:val="22"/>
              <w:szCs w:val="22"/>
            </w:rPr>
          </w:pPr>
          <w:hyperlink w:anchor="_Toc53750591" w:history="1">
            <w:r w:rsidR="00E32A1E" w:rsidRPr="00053933">
              <w:rPr>
                <w:rStyle w:val="Hypertextovodkaz"/>
                <w:color w:val="auto"/>
              </w:rPr>
              <w:t>3.7</w:t>
            </w:r>
            <w:r w:rsidR="00E32A1E" w:rsidRPr="00053933">
              <w:rPr>
                <w:rFonts w:asciiTheme="minorHAnsi" w:eastAsiaTheme="minorEastAsia" w:hAnsiTheme="minorHAnsi" w:cstheme="minorBidi"/>
                <w:bCs w:val="0"/>
                <w:sz w:val="22"/>
                <w:szCs w:val="22"/>
              </w:rPr>
              <w:tab/>
            </w:r>
            <w:r w:rsidR="00E32A1E" w:rsidRPr="00053933">
              <w:rPr>
                <w:rStyle w:val="Hypertextovodkaz"/>
                <w:color w:val="auto"/>
              </w:rPr>
              <w:t>Výdaje na významné veřejné zakázky</w:t>
            </w:r>
            <w:r w:rsidR="00E32A1E" w:rsidRPr="00053933">
              <w:rPr>
                <w:webHidden/>
              </w:rPr>
              <w:tab/>
            </w:r>
            <w:r w:rsidR="00E32A1E" w:rsidRPr="00053933">
              <w:rPr>
                <w:webHidden/>
              </w:rPr>
              <w:fldChar w:fldCharType="begin"/>
            </w:r>
            <w:r w:rsidR="00E32A1E" w:rsidRPr="00053933">
              <w:rPr>
                <w:webHidden/>
              </w:rPr>
              <w:instrText xml:space="preserve"> PAGEREF _Toc53750591 \h </w:instrText>
            </w:r>
            <w:r w:rsidR="00E32A1E" w:rsidRPr="00053933">
              <w:rPr>
                <w:webHidden/>
              </w:rPr>
            </w:r>
            <w:r w:rsidR="00E32A1E" w:rsidRPr="00053933">
              <w:rPr>
                <w:webHidden/>
              </w:rPr>
              <w:fldChar w:fldCharType="separate"/>
            </w:r>
            <w:r w:rsidR="00B605E1" w:rsidRPr="00053933">
              <w:rPr>
                <w:webHidden/>
              </w:rPr>
              <w:t>60</w:t>
            </w:r>
            <w:r w:rsidR="00E32A1E" w:rsidRPr="00053933">
              <w:rPr>
                <w:webHidden/>
              </w:rPr>
              <w:fldChar w:fldCharType="end"/>
            </w:r>
          </w:hyperlink>
        </w:p>
        <w:p w:rsidR="00CD5258" w:rsidRPr="00053933" w:rsidRDefault="00CD5258" w:rsidP="00CE76D0">
          <w:pPr>
            <w:pStyle w:val="Obsah2"/>
            <w:rPr>
              <w:rFonts w:cs="Times New Roman"/>
            </w:rPr>
          </w:pPr>
          <w:r w:rsidRPr="00053933">
            <w:rPr>
              <w:rFonts w:cs="Times New Roman"/>
              <w:bCs w:val="0"/>
            </w:rPr>
            <w:fldChar w:fldCharType="end"/>
          </w:r>
        </w:p>
      </w:sdtContent>
    </w:sdt>
    <w:p w:rsidR="00670C99" w:rsidRPr="00053933" w:rsidRDefault="00670C99" w:rsidP="00406B5C">
      <w:pPr>
        <w:pStyle w:val="Obsah1"/>
      </w:pPr>
    </w:p>
    <w:p w:rsidR="00670C99" w:rsidRPr="00053933" w:rsidRDefault="00670C99" w:rsidP="00406B5C">
      <w:pPr>
        <w:pStyle w:val="Obsah1"/>
      </w:pPr>
    </w:p>
    <w:p w:rsidR="00670C99" w:rsidRPr="00053933" w:rsidRDefault="00670C99" w:rsidP="00406B5C">
      <w:pPr>
        <w:pStyle w:val="Obsah1"/>
      </w:pPr>
    </w:p>
    <w:p w:rsidR="00670C99" w:rsidRPr="00053933" w:rsidRDefault="00670C99" w:rsidP="00406B5C">
      <w:pPr>
        <w:pStyle w:val="Obsah1"/>
      </w:pPr>
    </w:p>
    <w:p w:rsidR="00670C99" w:rsidRPr="00053933" w:rsidRDefault="00670C99" w:rsidP="00406B5C">
      <w:pPr>
        <w:pStyle w:val="Obsah1"/>
      </w:pPr>
    </w:p>
    <w:p w:rsidR="00670C99" w:rsidRPr="00053933" w:rsidRDefault="00670C99">
      <w:pPr>
        <w:rPr>
          <w:rFonts w:eastAsia="Times New Roman" w:cs="Times New Roman"/>
          <w:b/>
          <w:noProof/>
          <w:szCs w:val="24"/>
          <w:lang w:eastAsia="cs-CZ"/>
        </w:rPr>
      </w:pPr>
      <w:r w:rsidRPr="00053933">
        <w:br w:type="page"/>
      </w:r>
    </w:p>
    <w:p w:rsidR="00F3318F" w:rsidRPr="00053933" w:rsidRDefault="00DB5031" w:rsidP="00406B5C">
      <w:pPr>
        <w:pStyle w:val="Obsah1"/>
      </w:pPr>
      <w:r w:rsidRPr="00053933">
        <w:lastRenderedPageBreak/>
        <w:t>SEZNAM GRAFŮ</w:t>
      </w:r>
    </w:p>
    <w:p w:rsidR="00E01950" w:rsidRPr="00053933" w:rsidRDefault="00E01950" w:rsidP="00E01950">
      <w:pPr>
        <w:rPr>
          <w:lang w:eastAsia="cs-CZ"/>
        </w:rPr>
      </w:pPr>
    </w:p>
    <w:p w:rsidR="00E01950" w:rsidRPr="00053933" w:rsidRDefault="00E01950" w:rsidP="00E01950">
      <w:pPr>
        <w:rPr>
          <w:lang w:eastAsia="cs-CZ"/>
        </w:rPr>
      </w:pPr>
    </w:p>
    <w:p w:rsidR="00D63137" w:rsidRPr="00053933" w:rsidRDefault="00E55CA7">
      <w:pPr>
        <w:pStyle w:val="Seznamobrzk"/>
        <w:tabs>
          <w:tab w:val="right" w:leader="dot" w:pos="9060"/>
        </w:tabs>
        <w:rPr>
          <w:rFonts w:asciiTheme="minorHAnsi" w:eastAsiaTheme="minorEastAsia" w:hAnsiTheme="minorHAnsi" w:cstheme="minorBidi"/>
          <w:noProof/>
          <w:sz w:val="22"/>
          <w:szCs w:val="22"/>
        </w:rPr>
      </w:pPr>
      <w:r w:rsidRPr="00053933">
        <w:fldChar w:fldCharType="begin"/>
      </w:r>
      <w:r w:rsidRPr="00053933">
        <w:instrText xml:space="preserve"> TOC \h \z \c "Graf č." </w:instrText>
      </w:r>
      <w:r w:rsidRPr="00053933">
        <w:fldChar w:fldCharType="separate"/>
      </w:r>
      <w:hyperlink w:anchor="_Toc54190946" w:history="1">
        <w:r w:rsidR="00D63137" w:rsidRPr="00053933">
          <w:rPr>
            <w:rStyle w:val="Hypertextovodkaz"/>
            <w:noProof/>
            <w:color w:val="auto"/>
          </w:rPr>
          <w:t>Graf č. 1 Porovnání příjmů a výdajů v kapitole 327-MD (v tis. Kč)</w:t>
        </w:r>
        <w:r w:rsidR="00D63137" w:rsidRPr="00053933">
          <w:rPr>
            <w:noProof/>
            <w:webHidden/>
          </w:rPr>
          <w:tab/>
        </w:r>
        <w:r w:rsidR="00D63137" w:rsidRPr="00053933">
          <w:rPr>
            <w:noProof/>
            <w:webHidden/>
          </w:rPr>
          <w:fldChar w:fldCharType="begin"/>
        </w:r>
        <w:r w:rsidR="00D63137" w:rsidRPr="00053933">
          <w:rPr>
            <w:noProof/>
            <w:webHidden/>
          </w:rPr>
          <w:instrText xml:space="preserve"> PAGEREF _Toc54190946 \h </w:instrText>
        </w:r>
        <w:r w:rsidR="00D63137" w:rsidRPr="00053933">
          <w:rPr>
            <w:noProof/>
            <w:webHidden/>
          </w:rPr>
        </w:r>
        <w:r w:rsidR="00D63137" w:rsidRPr="00053933">
          <w:rPr>
            <w:noProof/>
            <w:webHidden/>
          </w:rPr>
          <w:fldChar w:fldCharType="separate"/>
        </w:r>
        <w:r w:rsidR="00B605E1" w:rsidRPr="00053933">
          <w:rPr>
            <w:noProof/>
            <w:webHidden/>
          </w:rPr>
          <w:t>1</w:t>
        </w:r>
        <w:r w:rsidR="00D63137" w:rsidRPr="00053933">
          <w:rPr>
            <w:noProof/>
            <w:webHidden/>
          </w:rPr>
          <w:fldChar w:fldCharType="end"/>
        </w:r>
      </w:hyperlink>
    </w:p>
    <w:p w:rsidR="00D63137" w:rsidRPr="00053933" w:rsidRDefault="00406B5C">
      <w:pPr>
        <w:pStyle w:val="Seznamobrzk"/>
        <w:tabs>
          <w:tab w:val="right" w:leader="dot" w:pos="9060"/>
        </w:tabs>
        <w:rPr>
          <w:rFonts w:asciiTheme="minorHAnsi" w:eastAsiaTheme="minorEastAsia" w:hAnsiTheme="minorHAnsi" w:cstheme="minorBidi"/>
          <w:noProof/>
          <w:sz w:val="22"/>
          <w:szCs w:val="22"/>
        </w:rPr>
      </w:pPr>
      <w:hyperlink w:anchor="_Toc54190947" w:history="1">
        <w:r w:rsidR="00D63137" w:rsidRPr="00053933">
          <w:rPr>
            <w:rStyle w:val="Hypertextovodkaz"/>
            <w:noProof/>
            <w:color w:val="auto"/>
          </w:rPr>
          <w:t>Graf č. 2 Porovnání transferů přijatých v kapitole 327-MD (v tis. Kč)</w:t>
        </w:r>
        <w:r w:rsidR="00D63137" w:rsidRPr="00053933">
          <w:rPr>
            <w:noProof/>
            <w:webHidden/>
          </w:rPr>
          <w:tab/>
        </w:r>
        <w:r w:rsidR="00D63137" w:rsidRPr="00053933">
          <w:rPr>
            <w:noProof/>
            <w:webHidden/>
          </w:rPr>
          <w:fldChar w:fldCharType="begin"/>
        </w:r>
        <w:r w:rsidR="00D63137" w:rsidRPr="00053933">
          <w:rPr>
            <w:noProof/>
            <w:webHidden/>
          </w:rPr>
          <w:instrText xml:space="preserve"> PAGEREF _Toc54190947 \h </w:instrText>
        </w:r>
        <w:r w:rsidR="00D63137" w:rsidRPr="00053933">
          <w:rPr>
            <w:noProof/>
            <w:webHidden/>
          </w:rPr>
        </w:r>
        <w:r w:rsidR="00D63137" w:rsidRPr="00053933">
          <w:rPr>
            <w:noProof/>
            <w:webHidden/>
          </w:rPr>
          <w:fldChar w:fldCharType="separate"/>
        </w:r>
        <w:r w:rsidR="00B605E1" w:rsidRPr="00053933">
          <w:rPr>
            <w:noProof/>
            <w:webHidden/>
          </w:rPr>
          <w:t>7</w:t>
        </w:r>
        <w:r w:rsidR="00D63137" w:rsidRPr="00053933">
          <w:rPr>
            <w:noProof/>
            <w:webHidden/>
          </w:rPr>
          <w:fldChar w:fldCharType="end"/>
        </w:r>
      </w:hyperlink>
    </w:p>
    <w:p w:rsidR="00D63137" w:rsidRPr="00053933" w:rsidRDefault="00406B5C">
      <w:pPr>
        <w:pStyle w:val="Seznamobrzk"/>
        <w:tabs>
          <w:tab w:val="right" w:leader="dot" w:pos="9060"/>
        </w:tabs>
        <w:rPr>
          <w:rFonts w:asciiTheme="minorHAnsi" w:eastAsiaTheme="minorEastAsia" w:hAnsiTheme="minorHAnsi" w:cstheme="minorBidi"/>
          <w:noProof/>
          <w:sz w:val="22"/>
          <w:szCs w:val="22"/>
        </w:rPr>
      </w:pPr>
      <w:hyperlink w:anchor="_Toc54190948" w:history="1">
        <w:r w:rsidR="00D63137" w:rsidRPr="00053933">
          <w:rPr>
            <w:rStyle w:val="Hypertextovodkaz"/>
            <w:noProof/>
            <w:color w:val="auto"/>
          </w:rPr>
          <w:t>Graf č. 3 Porovnání ostatních příjmů v kapitole 327-MD (v tis. Kč)</w:t>
        </w:r>
        <w:r w:rsidR="00D63137" w:rsidRPr="00053933">
          <w:rPr>
            <w:noProof/>
            <w:webHidden/>
          </w:rPr>
          <w:tab/>
        </w:r>
        <w:r w:rsidR="00D63137" w:rsidRPr="00053933">
          <w:rPr>
            <w:noProof/>
            <w:webHidden/>
          </w:rPr>
          <w:fldChar w:fldCharType="begin"/>
        </w:r>
        <w:r w:rsidR="00D63137" w:rsidRPr="00053933">
          <w:rPr>
            <w:noProof/>
            <w:webHidden/>
          </w:rPr>
          <w:instrText xml:space="preserve"> PAGEREF _Toc54190948 \h </w:instrText>
        </w:r>
        <w:r w:rsidR="00D63137" w:rsidRPr="00053933">
          <w:rPr>
            <w:noProof/>
            <w:webHidden/>
          </w:rPr>
        </w:r>
        <w:r w:rsidR="00D63137" w:rsidRPr="00053933">
          <w:rPr>
            <w:noProof/>
            <w:webHidden/>
          </w:rPr>
          <w:fldChar w:fldCharType="separate"/>
        </w:r>
        <w:r w:rsidR="00B605E1" w:rsidRPr="00053933">
          <w:rPr>
            <w:noProof/>
            <w:webHidden/>
          </w:rPr>
          <w:t>7</w:t>
        </w:r>
        <w:r w:rsidR="00D63137" w:rsidRPr="00053933">
          <w:rPr>
            <w:noProof/>
            <w:webHidden/>
          </w:rPr>
          <w:fldChar w:fldCharType="end"/>
        </w:r>
      </w:hyperlink>
    </w:p>
    <w:p w:rsidR="00D63137" w:rsidRPr="00053933" w:rsidRDefault="00406B5C">
      <w:pPr>
        <w:pStyle w:val="Seznamobrzk"/>
        <w:tabs>
          <w:tab w:val="right" w:leader="dot" w:pos="9060"/>
        </w:tabs>
        <w:rPr>
          <w:rFonts w:asciiTheme="minorHAnsi" w:eastAsiaTheme="minorEastAsia" w:hAnsiTheme="minorHAnsi" w:cstheme="minorBidi"/>
          <w:noProof/>
          <w:sz w:val="22"/>
          <w:szCs w:val="22"/>
        </w:rPr>
      </w:pPr>
      <w:hyperlink w:anchor="_Toc54190949" w:history="1">
        <w:r w:rsidR="00D63137" w:rsidRPr="00053933">
          <w:rPr>
            <w:rStyle w:val="Hypertextovodkaz"/>
            <w:noProof/>
            <w:color w:val="auto"/>
          </w:rPr>
          <w:t>Graf č. 4: Přehled specifických ukazatelů v kapitole 327</w:t>
        </w:r>
        <w:r w:rsidR="00D63137" w:rsidRPr="00053933">
          <w:rPr>
            <w:rStyle w:val="Hypertextovodkaz"/>
            <w:noProof/>
            <w:color w:val="auto"/>
          </w:rPr>
          <w:noBreakHyphen/>
          <w:t>MD (v tis. Kč)</w:t>
        </w:r>
        <w:r w:rsidR="00D63137" w:rsidRPr="00053933">
          <w:rPr>
            <w:noProof/>
            <w:webHidden/>
          </w:rPr>
          <w:tab/>
        </w:r>
        <w:r w:rsidR="00D63137" w:rsidRPr="00053933">
          <w:rPr>
            <w:noProof/>
            <w:webHidden/>
          </w:rPr>
          <w:fldChar w:fldCharType="begin"/>
        </w:r>
        <w:r w:rsidR="00D63137" w:rsidRPr="00053933">
          <w:rPr>
            <w:noProof/>
            <w:webHidden/>
          </w:rPr>
          <w:instrText xml:space="preserve"> PAGEREF _Toc54190949 \h </w:instrText>
        </w:r>
        <w:r w:rsidR="00D63137" w:rsidRPr="00053933">
          <w:rPr>
            <w:noProof/>
            <w:webHidden/>
          </w:rPr>
        </w:r>
        <w:r w:rsidR="00D63137" w:rsidRPr="00053933">
          <w:rPr>
            <w:noProof/>
            <w:webHidden/>
          </w:rPr>
          <w:fldChar w:fldCharType="separate"/>
        </w:r>
        <w:r w:rsidR="00B605E1" w:rsidRPr="00053933">
          <w:rPr>
            <w:noProof/>
            <w:webHidden/>
          </w:rPr>
          <w:t>10</w:t>
        </w:r>
        <w:r w:rsidR="00D63137" w:rsidRPr="00053933">
          <w:rPr>
            <w:noProof/>
            <w:webHidden/>
          </w:rPr>
          <w:fldChar w:fldCharType="end"/>
        </w:r>
      </w:hyperlink>
    </w:p>
    <w:p w:rsidR="00D63137" w:rsidRPr="00053933" w:rsidRDefault="00406B5C">
      <w:pPr>
        <w:pStyle w:val="Seznamobrzk"/>
        <w:tabs>
          <w:tab w:val="right" w:leader="dot" w:pos="9060"/>
        </w:tabs>
        <w:rPr>
          <w:rFonts w:asciiTheme="minorHAnsi" w:eastAsiaTheme="minorEastAsia" w:hAnsiTheme="minorHAnsi" w:cstheme="minorBidi"/>
          <w:noProof/>
          <w:sz w:val="22"/>
          <w:szCs w:val="22"/>
        </w:rPr>
      </w:pPr>
      <w:hyperlink w:anchor="_Toc54190950" w:history="1">
        <w:r w:rsidR="00D63137" w:rsidRPr="00053933">
          <w:rPr>
            <w:rStyle w:val="Hypertextovodkaz"/>
            <w:noProof/>
            <w:color w:val="auto"/>
          </w:rPr>
          <w:t>Graf č. 5: Členění běžných výdajů 2021</w:t>
        </w:r>
        <w:r w:rsidR="00D63137" w:rsidRPr="00053933">
          <w:rPr>
            <w:noProof/>
            <w:webHidden/>
          </w:rPr>
          <w:tab/>
        </w:r>
        <w:r w:rsidR="00D63137" w:rsidRPr="00053933">
          <w:rPr>
            <w:noProof/>
            <w:webHidden/>
          </w:rPr>
          <w:fldChar w:fldCharType="begin"/>
        </w:r>
        <w:r w:rsidR="00D63137" w:rsidRPr="00053933">
          <w:rPr>
            <w:noProof/>
            <w:webHidden/>
          </w:rPr>
          <w:instrText xml:space="preserve"> PAGEREF _Toc54190950 \h </w:instrText>
        </w:r>
        <w:r w:rsidR="00D63137" w:rsidRPr="00053933">
          <w:rPr>
            <w:noProof/>
            <w:webHidden/>
          </w:rPr>
        </w:r>
        <w:r w:rsidR="00D63137" w:rsidRPr="00053933">
          <w:rPr>
            <w:noProof/>
            <w:webHidden/>
          </w:rPr>
          <w:fldChar w:fldCharType="separate"/>
        </w:r>
        <w:r w:rsidR="00B605E1" w:rsidRPr="00053933">
          <w:rPr>
            <w:noProof/>
            <w:webHidden/>
          </w:rPr>
          <w:t>14</w:t>
        </w:r>
        <w:r w:rsidR="00D63137" w:rsidRPr="00053933">
          <w:rPr>
            <w:noProof/>
            <w:webHidden/>
          </w:rPr>
          <w:fldChar w:fldCharType="end"/>
        </w:r>
      </w:hyperlink>
    </w:p>
    <w:p w:rsidR="00D63137" w:rsidRPr="00053933" w:rsidRDefault="00406B5C">
      <w:pPr>
        <w:pStyle w:val="Seznamobrzk"/>
        <w:tabs>
          <w:tab w:val="right" w:leader="dot" w:pos="9060"/>
        </w:tabs>
        <w:rPr>
          <w:rFonts w:asciiTheme="minorHAnsi" w:eastAsiaTheme="minorEastAsia" w:hAnsiTheme="minorHAnsi" w:cstheme="minorBidi"/>
          <w:noProof/>
          <w:sz w:val="22"/>
          <w:szCs w:val="22"/>
        </w:rPr>
      </w:pPr>
      <w:hyperlink w:anchor="_Toc54190951" w:history="1">
        <w:r w:rsidR="00D63137" w:rsidRPr="00053933">
          <w:rPr>
            <w:rStyle w:val="Hypertextovodkaz"/>
            <w:bCs/>
            <w:noProof/>
            <w:color w:val="auto"/>
          </w:rPr>
          <w:t>Graf č. 6: Neinvestiční transfery podnikatelským subjektům</w:t>
        </w:r>
        <w:r w:rsidR="00D63137" w:rsidRPr="00053933">
          <w:rPr>
            <w:noProof/>
            <w:webHidden/>
          </w:rPr>
          <w:tab/>
        </w:r>
        <w:r w:rsidR="00D63137" w:rsidRPr="00053933">
          <w:rPr>
            <w:noProof/>
            <w:webHidden/>
          </w:rPr>
          <w:fldChar w:fldCharType="begin"/>
        </w:r>
        <w:r w:rsidR="00D63137" w:rsidRPr="00053933">
          <w:rPr>
            <w:noProof/>
            <w:webHidden/>
          </w:rPr>
          <w:instrText xml:space="preserve"> PAGEREF _Toc54190951 \h </w:instrText>
        </w:r>
        <w:r w:rsidR="00D63137" w:rsidRPr="00053933">
          <w:rPr>
            <w:noProof/>
            <w:webHidden/>
          </w:rPr>
        </w:r>
        <w:r w:rsidR="00D63137" w:rsidRPr="00053933">
          <w:rPr>
            <w:noProof/>
            <w:webHidden/>
          </w:rPr>
          <w:fldChar w:fldCharType="separate"/>
        </w:r>
        <w:r w:rsidR="00B605E1" w:rsidRPr="00053933">
          <w:rPr>
            <w:noProof/>
            <w:webHidden/>
          </w:rPr>
          <w:t>32</w:t>
        </w:r>
        <w:r w:rsidR="00D63137" w:rsidRPr="00053933">
          <w:rPr>
            <w:noProof/>
            <w:webHidden/>
          </w:rPr>
          <w:fldChar w:fldCharType="end"/>
        </w:r>
      </w:hyperlink>
    </w:p>
    <w:p w:rsidR="00D63137" w:rsidRPr="00053933" w:rsidRDefault="00406B5C">
      <w:pPr>
        <w:pStyle w:val="Seznamobrzk"/>
        <w:tabs>
          <w:tab w:val="right" w:leader="dot" w:pos="9060"/>
        </w:tabs>
        <w:rPr>
          <w:rFonts w:asciiTheme="minorHAnsi" w:eastAsiaTheme="minorEastAsia" w:hAnsiTheme="minorHAnsi" w:cstheme="minorBidi"/>
          <w:noProof/>
          <w:sz w:val="22"/>
          <w:szCs w:val="22"/>
        </w:rPr>
      </w:pPr>
      <w:hyperlink w:anchor="_Toc54190952" w:history="1">
        <w:r w:rsidR="00D63137" w:rsidRPr="00053933">
          <w:rPr>
            <w:rStyle w:val="Hypertextovodkaz"/>
            <w:bCs/>
            <w:noProof/>
            <w:color w:val="auto"/>
          </w:rPr>
          <w:t>Graf č. 7: Neinvestiční transfery veřejným rozpočtům územní úrovně (v tis. Kč)</w:t>
        </w:r>
        <w:r w:rsidR="00D63137" w:rsidRPr="00053933">
          <w:rPr>
            <w:noProof/>
            <w:webHidden/>
          </w:rPr>
          <w:tab/>
        </w:r>
        <w:r w:rsidR="00D63137" w:rsidRPr="00053933">
          <w:rPr>
            <w:noProof/>
            <w:webHidden/>
          </w:rPr>
          <w:fldChar w:fldCharType="begin"/>
        </w:r>
        <w:r w:rsidR="00D63137" w:rsidRPr="00053933">
          <w:rPr>
            <w:noProof/>
            <w:webHidden/>
          </w:rPr>
          <w:instrText xml:space="preserve"> PAGEREF _Toc54190952 \h </w:instrText>
        </w:r>
        <w:r w:rsidR="00D63137" w:rsidRPr="00053933">
          <w:rPr>
            <w:noProof/>
            <w:webHidden/>
          </w:rPr>
        </w:r>
        <w:r w:rsidR="00D63137" w:rsidRPr="00053933">
          <w:rPr>
            <w:noProof/>
            <w:webHidden/>
          </w:rPr>
          <w:fldChar w:fldCharType="separate"/>
        </w:r>
        <w:r w:rsidR="00B605E1" w:rsidRPr="00053933">
          <w:rPr>
            <w:noProof/>
            <w:webHidden/>
          </w:rPr>
          <w:t>34</w:t>
        </w:r>
        <w:r w:rsidR="00D63137" w:rsidRPr="00053933">
          <w:rPr>
            <w:noProof/>
            <w:webHidden/>
          </w:rPr>
          <w:fldChar w:fldCharType="end"/>
        </w:r>
      </w:hyperlink>
    </w:p>
    <w:p w:rsidR="00D63137" w:rsidRPr="00053933" w:rsidRDefault="00406B5C">
      <w:pPr>
        <w:pStyle w:val="Seznamobrzk"/>
        <w:tabs>
          <w:tab w:val="right" w:leader="dot" w:pos="9060"/>
        </w:tabs>
        <w:rPr>
          <w:rFonts w:asciiTheme="minorHAnsi" w:eastAsiaTheme="minorEastAsia" w:hAnsiTheme="minorHAnsi" w:cstheme="minorBidi"/>
          <w:noProof/>
          <w:sz w:val="22"/>
          <w:szCs w:val="22"/>
        </w:rPr>
      </w:pPr>
      <w:hyperlink w:anchor="_Toc54190953" w:history="1">
        <w:r w:rsidR="00D63137" w:rsidRPr="00053933">
          <w:rPr>
            <w:rStyle w:val="Hypertextovodkaz"/>
            <w:noProof/>
            <w:color w:val="auto"/>
          </w:rPr>
          <w:t>Graf č. 8 Členění kapitálových výdajů</w:t>
        </w:r>
        <w:r w:rsidR="00D63137" w:rsidRPr="00053933">
          <w:rPr>
            <w:noProof/>
            <w:webHidden/>
          </w:rPr>
          <w:tab/>
        </w:r>
        <w:r w:rsidR="00D63137" w:rsidRPr="00053933">
          <w:rPr>
            <w:noProof/>
            <w:webHidden/>
          </w:rPr>
          <w:fldChar w:fldCharType="begin"/>
        </w:r>
        <w:r w:rsidR="00D63137" w:rsidRPr="00053933">
          <w:rPr>
            <w:noProof/>
            <w:webHidden/>
          </w:rPr>
          <w:instrText xml:space="preserve"> PAGEREF _Toc54190953 \h </w:instrText>
        </w:r>
        <w:r w:rsidR="00D63137" w:rsidRPr="00053933">
          <w:rPr>
            <w:noProof/>
            <w:webHidden/>
          </w:rPr>
        </w:r>
        <w:r w:rsidR="00D63137" w:rsidRPr="00053933">
          <w:rPr>
            <w:noProof/>
            <w:webHidden/>
          </w:rPr>
          <w:fldChar w:fldCharType="separate"/>
        </w:r>
        <w:r w:rsidR="00B605E1" w:rsidRPr="00053933">
          <w:rPr>
            <w:noProof/>
            <w:webHidden/>
          </w:rPr>
          <w:t>38</w:t>
        </w:r>
        <w:r w:rsidR="00D63137" w:rsidRPr="00053933">
          <w:rPr>
            <w:noProof/>
            <w:webHidden/>
          </w:rPr>
          <w:fldChar w:fldCharType="end"/>
        </w:r>
      </w:hyperlink>
    </w:p>
    <w:p w:rsidR="00D63137" w:rsidRPr="00053933" w:rsidRDefault="00406B5C">
      <w:pPr>
        <w:pStyle w:val="Seznamobrzk"/>
        <w:tabs>
          <w:tab w:val="right" w:leader="dot" w:pos="9060"/>
        </w:tabs>
        <w:rPr>
          <w:rFonts w:asciiTheme="minorHAnsi" w:eastAsiaTheme="minorEastAsia" w:hAnsiTheme="minorHAnsi" w:cstheme="minorBidi"/>
          <w:noProof/>
          <w:sz w:val="22"/>
          <w:szCs w:val="22"/>
        </w:rPr>
      </w:pPr>
      <w:hyperlink w:anchor="_Toc54190954" w:history="1">
        <w:r w:rsidR="00D63137" w:rsidRPr="00053933">
          <w:rPr>
            <w:rStyle w:val="Hypertextovodkaz"/>
            <w:noProof/>
            <w:color w:val="auto"/>
          </w:rPr>
          <w:t>Graf č. 9</w:t>
        </w:r>
        <w:r w:rsidR="00D63137" w:rsidRPr="00053933">
          <w:rPr>
            <w:rStyle w:val="Hypertextovodkaz"/>
            <w:bCs/>
            <w:noProof/>
            <w:color w:val="auto"/>
          </w:rPr>
          <w:t xml:space="preserve"> Rozdělení prostředků z rozpočtu EU dle programů</w:t>
        </w:r>
        <w:r w:rsidR="00D63137" w:rsidRPr="00053933">
          <w:rPr>
            <w:noProof/>
            <w:webHidden/>
          </w:rPr>
          <w:tab/>
        </w:r>
        <w:r w:rsidR="00D63137" w:rsidRPr="00053933">
          <w:rPr>
            <w:noProof/>
            <w:webHidden/>
          </w:rPr>
          <w:fldChar w:fldCharType="begin"/>
        </w:r>
        <w:r w:rsidR="00D63137" w:rsidRPr="00053933">
          <w:rPr>
            <w:noProof/>
            <w:webHidden/>
          </w:rPr>
          <w:instrText xml:space="preserve"> PAGEREF _Toc54190954 \h </w:instrText>
        </w:r>
        <w:r w:rsidR="00D63137" w:rsidRPr="00053933">
          <w:rPr>
            <w:noProof/>
            <w:webHidden/>
          </w:rPr>
        </w:r>
        <w:r w:rsidR="00D63137" w:rsidRPr="00053933">
          <w:rPr>
            <w:noProof/>
            <w:webHidden/>
          </w:rPr>
          <w:fldChar w:fldCharType="separate"/>
        </w:r>
        <w:r w:rsidR="00B605E1" w:rsidRPr="00053933">
          <w:rPr>
            <w:noProof/>
            <w:webHidden/>
          </w:rPr>
          <w:t>59</w:t>
        </w:r>
        <w:r w:rsidR="00D63137" w:rsidRPr="00053933">
          <w:rPr>
            <w:noProof/>
            <w:webHidden/>
          </w:rPr>
          <w:fldChar w:fldCharType="end"/>
        </w:r>
      </w:hyperlink>
    </w:p>
    <w:p w:rsidR="00670C99" w:rsidRPr="00E24034" w:rsidRDefault="00E55CA7">
      <w:pPr>
        <w:rPr>
          <w:rFonts w:cs="Times New Roman"/>
          <w:color w:val="FF0000"/>
          <w:szCs w:val="24"/>
        </w:rPr>
      </w:pPr>
      <w:r w:rsidRPr="00053933">
        <w:rPr>
          <w:rFonts w:cs="Times New Roman"/>
          <w:szCs w:val="24"/>
        </w:rPr>
        <w:fldChar w:fldCharType="end"/>
      </w:r>
    </w:p>
    <w:p w:rsidR="0002708E" w:rsidRPr="00E24034" w:rsidRDefault="00670C99">
      <w:pPr>
        <w:rPr>
          <w:rFonts w:cs="Times New Roman"/>
          <w:color w:val="FF0000"/>
          <w:szCs w:val="24"/>
        </w:rPr>
        <w:sectPr w:rsidR="0002708E" w:rsidRPr="00E24034" w:rsidSect="0002708E">
          <w:headerReference w:type="default" r:id="rId13"/>
          <w:footerReference w:type="default" r:id="rId14"/>
          <w:pgSz w:w="11906" w:h="16838" w:code="9"/>
          <w:pgMar w:top="1418" w:right="1418" w:bottom="993" w:left="1418" w:header="709" w:footer="709" w:gutter="0"/>
          <w:pgNumType w:start="1"/>
          <w:cols w:space="708"/>
          <w:titlePg/>
          <w:docGrid w:linePitch="360"/>
        </w:sectPr>
      </w:pPr>
      <w:r w:rsidRPr="00E24034">
        <w:rPr>
          <w:rFonts w:cs="Times New Roman"/>
          <w:color w:val="FF0000"/>
          <w:szCs w:val="24"/>
        </w:rPr>
        <w:br w:type="page"/>
      </w:r>
    </w:p>
    <w:p w:rsidR="00F3318F" w:rsidRPr="0047075B" w:rsidRDefault="00F3318F" w:rsidP="00CD5258">
      <w:pPr>
        <w:pStyle w:val="Nadpis1"/>
        <w:rPr>
          <w:bCs/>
          <w:smallCaps/>
          <w:szCs w:val="28"/>
        </w:rPr>
      </w:pPr>
      <w:bookmarkStart w:id="0" w:name="_Toc462314382"/>
      <w:bookmarkStart w:id="1" w:name="_Toc53750559"/>
      <w:r w:rsidRPr="0047075B">
        <w:rPr>
          <w:bCs/>
          <w:smallCaps/>
          <w:szCs w:val="28"/>
        </w:rPr>
        <w:lastRenderedPageBreak/>
        <w:t>Úvod</w:t>
      </w:r>
      <w:bookmarkEnd w:id="0"/>
      <w:bookmarkEnd w:id="1"/>
    </w:p>
    <w:p w:rsidR="00CF4BB2" w:rsidRPr="00423CD3" w:rsidRDefault="00CF4BB2" w:rsidP="00CF4BB2">
      <w:pPr>
        <w:pStyle w:val="Styl1"/>
      </w:pPr>
      <w:r w:rsidRPr="00E11E61">
        <w:t xml:space="preserve">Návrh rozpočtu kapitoly 327 Ministerstvo dopravy na rok 2021 byl vypracován v souladu </w:t>
      </w:r>
      <w:r w:rsidRPr="00E11E61">
        <w:br/>
        <w:t>s usnesením vlády České republiky ze dne</w:t>
      </w:r>
      <w:r w:rsidR="00423CD3">
        <w:rPr>
          <w:color w:val="FF0000"/>
        </w:rPr>
        <w:t xml:space="preserve"> </w:t>
      </w:r>
      <w:r w:rsidR="00423CD3" w:rsidRPr="00423CD3">
        <w:t>19. října 2020 č. 1 054</w:t>
      </w:r>
      <w:r w:rsidRPr="00423CD3">
        <w:t>, k  návrhu zákona o státním rozp</w:t>
      </w:r>
      <w:r w:rsidR="00AF2F16" w:rsidRPr="00423CD3">
        <w:t>očtu České republiky na rok 2021</w:t>
      </w:r>
      <w:r w:rsidRPr="00423CD3">
        <w:t xml:space="preserve"> a střednědobého výhledu státního rozpo</w:t>
      </w:r>
      <w:r w:rsidR="00AF2F16" w:rsidRPr="00423CD3">
        <w:t>čtu České republiky na léta 2022 a 2023</w:t>
      </w:r>
      <w:r w:rsidRPr="00423CD3">
        <w:t xml:space="preserve">. </w:t>
      </w:r>
    </w:p>
    <w:p w:rsidR="00CF4BB2" w:rsidRPr="00E11E61" w:rsidRDefault="00CF4BB2" w:rsidP="00CF4BB2">
      <w:pPr>
        <w:pStyle w:val="Styl1"/>
      </w:pPr>
      <w:r w:rsidRPr="00E11E61">
        <w:t xml:space="preserve">Ministerstvo dopravy je ústředním orgánem státní správy ve věcech dopravy a odpovídá </w:t>
      </w:r>
      <w:r w:rsidRPr="00E11E61">
        <w:br/>
        <w:t xml:space="preserve">za tvorbu a uskutečňování státní politiky v oblasti dopravy v  rozsahu své působnosti. </w:t>
      </w:r>
    </w:p>
    <w:p w:rsidR="00CF4BB2" w:rsidRPr="00E11E61" w:rsidRDefault="00CF4BB2" w:rsidP="00CF4BB2">
      <w:pPr>
        <w:pStyle w:val="Styl1"/>
        <w:spacing w:before="60" w:after="60"/>
      </w:pPr>
      <w:r w:rsidRPr="00E11E61">
        <w:t>Mezi hlavní výdajové priority rozpočtu kapitoly MD jsou pro rok 2021 zařazeny:</w:t>
      </w:r>
    </w:p>
    <w:p w:rsidR="00CF4BB2" w:rsidRPr="00E11E61" w:rsidRDefault="00CF4BB2" w:rsidP="00CF4BB2">
      <w:pPr>
        <w:pStyle w:val="Styl1"/>
        <w:numPr>
          <w:ilvl w:val="0"/>
          <w:numId w:val="22"/>
        </w:numPr>
        <w:spacing w:before="0" w:after="0"/>
        <w:ind w:left="567" w:hanging="283"/>
      </w:pPr>
      <w:r w:rsidRPr="00E11E61">
        <w:t>Výdaje na financování společných programů EU a ČR;</w:t>
      </w:r>
    </w:p>
    <w:p w:rsidR="00CF4BB2" w:rsidRPr="00E11E61" w:rsidRDefault="00CF4BB2" w:rsidP="00CF4BB2">
      <w:pPr>
        <w:pStyle w:val="Styl1"/>
        <w:numPr>
          <w:ilvl w:val="0"/>
          <w:numId w:val="22"/>
        </w:numPr>
        <w:spacing w:before="0" w:after="0"/>
        <w:ind w:left="567" w:hanging="283"/>
      </w:pPr>
      <w:r w:rsidRPr="00E11E61">
        <w:t>Úhrada ztráty ze závazku veřejné služby ve veřejné drážní osobní dopravě;</w:t>
      </w:r>
    </w:p>
    <w:p w:rsidR="00CF4BB2" w:rsidRPr="00E11E61" w:rsidRDefault="00CF4BB2" w:rsidP="00CF4BB2">
      <w:pPr>
        <w:pStyle w:val="Styl1"/>
        <w:numPr>
          <w:ilvl w:val="0"/>
          <w:numId w:val="22"/>
        </w:numPr>
        <w:spacing w:before="0" w:after="0"/>
        <w:ind w:left="567" w:hanging="283"/>
      </w:pPr>
      <w:r w:rsidRPr="00E11E61">
        <w:t>Dotace Státnímu fondu dopravní infrastruktury;</w:t>
      </w:r>
    </w:p>
    <w:p w:rsidR="00CF4BB2" w:rsidRPr="00E11E61" w:rsidRDefault="00CF4BB2" w:rsidP="00CF4BB2">
      <w:pPr>
        <w:pStyle w:val="Styl1"/>
        <w:numPr>
          <w:ilvl w:val="0"/>
          <w:numId w:val="22"/>
        </w:numPr>
        <w:spacing w:before="0" w:after="0"/>
        <w:ind w:left="567" w:hanging="283"/>
      </w:pPr>
      <w:r w:rsidRPr="00E11E61">
        <w:t>Příspěvky na volitelné programy ESA;</w:t>
      </w:r>
    </w:p>
    <w:p w:rsidR="00CF4BB2" w:rsidRPr="00E11E61" w:rsidRDefault="00CF4BB2" w:rsidP="00CF4BB2">
      <w:pPr>
        <w:pStyle w:val="Styl1"/>
        <w:numPr>
          <w:ilvl w:val="0"/>
          <w:numId w:val="22"/>
        </w:numPr>
        <w:spacing w:before="0" w:after="0"/>
        <w:ind w:left="567" w:hanging="283"/>
      </w:pPr>
      <w:r w:rsidRPr="00E11E61">
        <w:t>Kompenzace slev jízdného;</w:t>
      </w:r>
    </w:p>
    <w:p w:rsidR="00CF4BB2" w:rsidRPr="00E11E61" w:rsidRDefault="00CF4BB2" w:rsidP="00CF4BB2">
      <w:pPr>
        <w:pStyle w:val="Styl1"/>
        <w:numPr>
          <w:ilvl w:val="0"/>
          <w:numId w:val="22"/>
        </w:numPr>
        <w:spacing w:before="0" w:after="0"/>
        <w:ind w:left="567" w:hanging="283"/>
        <w:rPr>
          <w:color w:val="FF0000"/>
        </w:rPr>
      </w:pPr>
      <w:r w:rsidRPr="00E11E61">
        <w:t xml:space="preserve">Výdaje na zabezpečení činností orgánů státní </w:t>
      </w:r>
      <w:r w:rsidRPr="00AF2F16">
        <w:t>správy.</w:t>
      </w:r>
    </w:p>
    <w:p w:rsidR="00CF4BB2" w:rsidRPr="00E11E61" w:rsidRDefault="00CF4BB2" w:rsidP="00CF4BB2">
      <w:pPr>
        <w:pStyle w:val="Styl1"/>
      </w:pPr>
      <w:r w:rsidRPr="00E11E61">
        <w:t>Vztah kapitoly Ministerstvo dopravy ke státnímu rozpočtu České republiky na rok 2021 je dán souhrnnými ukazateli:</w:t>
      </w:r>
    </w:p>
    <w:p w:rsidR="00CF4BB2" w:rsidRPr="00E11E61" w:rsidRDefault="00CF4BB2" w:rsidP="00CF4BB2">
      <w:pPr>
        <w:numPr>
          <w:ilvl w:val="0"/>
          <w:numId w:val="1"/>
        </w:numPr>
        <w:spacing w:line="240" w:lineRule="auto"/>
        <w:ind w:left="567" w:hanging="283"/>
        <w:rPr>
          <w:rFonts w:eastAsia="Times New Roman" w:cs="Times New Roman"/>
          <w:b/>
          <w:bCs/>
          <w:szCs w:val="24"/>
          <w:lang w:eastAsia="cs-CZ"/>
        </w:rPr>
      </w:pPr>
      <w:r w:rsidRPr="00E11E61">
        <w:rPr>
          <w:rFonts w:eastAsia="Times New Roman" w:cs="Times New Roman"/>
          <w:b/>
          <w:bCs/>
          <w:szCs w:val="24"/>
          <w:lang w:eastAsia="cs-CZ"/>
        </w:rPr>
        <w:t xml:space="preserve">Příjmy celkem       </w:t>
      </w:r>
      <w:r w:rsidRPr="00E11E61">
        <w:rPr>
          <w:rFonts w:eastAsia="Times New Roman" w:cs="Times New Roman"/>
          <w:b/>
          <w:bCs/>
          <w:color w:val="FF0000"/>
          <w:szCs w:val="24"/>
          <w:lang w:eastAsia="cs-CZ"/>
        </w:rPr>
        <w:tab/>
      </w:r>
      <w:r w:rsidRPr="00E11E61">
        <w:rPr>
          <w:rFonts w:eastAsia="Times New Roman" w:cs="Times New Roman"/>
          <w:b/>
          <w:bCs/>
          <w:color w:val="FF0000"/>
          <w:szCs w:val="24"/>
          <w:lang w:eastAsia="cs-CZ"/>
        </w:rPr>
        <w:tab/>
      </w:r>
      <w:r w:rsidRPr="00E11E61">
        <w:rPr>
          <w:rFonts w:eastAsia="Times New Roman" w:cs="Times New Roman"/>
          <w:b/>
          <w:bCs/>
          <w:color w:val="FF0000"/>
          <w:szCs w:val="24"/>
          <w:lang w:eastAsia="cs-CZ"/>
        </w:rPr>
        <w:tab/>
      </w:r>
      <w:r w:rsidRPr="00E11E61">
        <w:rPr>
          <w:rFonts w:eastAsia="Times New Roman" w:cs="Times New Roman"/>
          <w:b/>
          <w:bCs/>
          <w:color w:val="FF0000"/>
          <w:szCs w:val="24"/>
          <w:lang w:eastAsia="cs-CZ"/>
        </w:rPr>
        <w:tab/>
      </w:r>
      <w:r w:rsidRPr="00E11E61">
        <w:rPr>
          <w:rFonts w:eastAsia="Times New Roman" w:cs="Times New Roman"/>
          <w:b/>
          <w:bCs/>
          <w:color w:val="FF0000"/>
          <w:szCs w:val="24"/>
          <w:lang w:eastAsia="cs-CZ"/>
        </w:rPr>
        <w:tab/>
      </w:r>
      <w:r w:rsidRPr="00E11E61">
        <w:rPr>
          <w:rFonts w:eastAsia="Times New Roman" w:cs="Times New Roman"/>
          <w:b/>
          <w:bCs/>
          <w:color w:val="FF0000"/>
          <w:szCs w:val="24"/>
          <w:lang w:eastAsia="cs-CZ"/>
        </w:rPr>
        <w:tab/>
      </w:r>
      <w:r w:rsidRPr="00E11E61">
        <w:rPr>
          <w:rFonts w:eastAsia="Times New Roman" w:cs="Times New Roman"/>
          <w:b/>
          <w:bCs/>
          <w:color w:val="FF0000"/>
          <w:szCs w:val="24"/>
          <w:lang w:eastAsia="cs-CZ"/>
        </w:rPr>
        <w:tab/>
        <w:t xml:space="preserve">   </w:t>
      </w:r>
      <w:r w:rsidR="00EA3EB9" w:rsidRPr="00406B5C">
        <w:rPr>
          <w:rFonts w:eastAsia="Times New Roman" w:cs="Times New Roman"/>
          <w:b/>
          <w:bCs/>
          <w:szCs w:val="24"/>
          <w:lang w:eastAsia="cs-CZ"/>
        </w:rPr>
        <w:t>39</w:t>
      </w:r>
      <w:r w:rsidRPr="00406B5C">
        <w:rPr>
          <w:rFonts w:eastAsia="Times New Roman" w:cs="Times New Roman"/>
          <w:b/>
          <w:bCs/>
          <w:szCs w:val="24"/>
          <w:lang w:eastAsia="cs-CZ"/>
        </w:rPr>
        <w:t> </w:t>
      </w:r>
      <w:r w:rsidR="00EA3EB9" w:rsidRPr="00406B5C">
        <w:rPr>
          <w:rFonts w:eastAsia="Times New Roman" w:cs="Times New Roman"/>
          <w:b/>
          <w:bCs/>
          <w:szCs w:val="24"/>
          <w:lang w:eastAsia="cs-CZ"/>
        </w:rPr>
        <w:t>927</w:t>
      </w:r>
      <w:r w:rsidRPr="00406B5C">
        <w:rPr>
          <w:rFonts w:eastAsia="Times New Roman" w:cs="Times New Roman"/>
          <w:b/>
          <w:bCs/>
          <w:szCs w:val="24"/>
          <w:lang w:eastAsia="cs-CZ"/>
        </w:rPr>
        <w:t xml:space="preserve"> 023 tis. </w:t>
      </w:r>
      <w:r w:rsidRPr="00EA3EB9">
        <w:rPr>
          <w:rFonts w:eastAsia="Times New Roman" w:cs="Times New Roman"/>
          <w:b/>
          <w:bCs/>
          <w:szCs w:val="24"/>
          <w:lang w:eastAsia="cs-CZ"/>
        </w:rPr>
        <w:t>Kč</w:t>
      </w:r>
    </w:p>
    <w:p w:rsidR="00CF4BB2" w:rsidRPr="00E11E61" w:rsidRDefault="00CF4BB2" w:rsidP="00CF4BB2">
      <w:pPr>
        <w:numPr>
          <w:ilvl w:val="0"/>
          <w:numId w:val="1"/>
        </w:numPr>
        <w:spacing w:line="240" w:lineRule="auto"/>
        <w:ind w:left="567" w:hanging="283"/>
        <w:rPr>
          <w:rFonts w:eastAsia="Times New Roman" w:cs="Times New Roman"/>
          <w:b/>
          <w:bCs/>
          <w:color w:val="FF0000"/>
          <w:szCs w:val="24"/>
          <w:lang w:eastAsia="cs-CZ"/>
        </w:rPr>
      </w:pPr>
      <w:r w:rsidRPr="00E11E61">
        <w:rPr>
          <w:rFonts w:eastAsia="Times New Roman" w:cs="Times New Roman"/>
          <w:b/>
          <w:bCs/>
          <w:szCs w:val="24"/>
          <w:lang w:eastAsia="cs-CZ"/>
        </w:rPr>
        <w:t xml:space="preserve">Výdaje celkem </w:t>
      </w:r>
      <w:r w:rsidRPr="00E11E61">
        <w:rPr>
          <w:rFonts w:eastAsia="Times New Roman" w:cs="Times New Roman"/>
          <w:b/>
          <w:bCs/>
          <w:color w:val="FF0000"/>
          <w:szCs w:val="24"/>
          <w:lang w:eastAsia="cs-CZ"/>
        </w:rPr>
        <w:tab/>
      </w:r>
      <w:r w:rsidRPr="00E11E61">
        <w:rPr>
          <w:rFonts w:eastAsia="Times New Roman" w:cs="Times New Roman"/>
          <w:b/>
          <w:bCs/>
          <w:color w:val="FF0000"/>
          <w:szCs w:val="24"/>
          <w:lang w:eastAsia="cs-CZ"/>
        </w:rPr>
        <w:tab/>
      </w:r>
      <w:r w:rsidRPr="00E11E61">
        <w:rPr>
          <w:rFonts w:eastAsia="Times New Roman" w:cs="Times New Roman"/>
          <w:b/>
          <w:bCs/>
          <w:color w:val="FF0000"/>
          <w:szCs w:val="24"/>
          <w:lang w:eastAsia="cs-CZ"/>
        </w:rPr>
        <w:tab/>
      </w:r>
      <w:r w:rsidRPr="00E11E61">
        <w:rPr>
          <w:rFonts w:eastAsia="Times New Roman" w:cs="Times New Roman"/>
          <w:b/>
          <w:bCs/>
          <w:color w:val="FF0000"/>
          <w:szCs w:val="24"/>
          <w:lang w:eastAsia="cs-CZ"/>
        </w:rPr>
        <w:tab/>
      </w:r>
      <w:r w:rsidRPr="00E11E61">
        <w:rPr>
          <w:rFonts w:eastAsia="Times New Roman" w:cs="Times New Roman"/>
          <w:b/>
          <w:bCs/>
          <w:color w:val="FF0000"/>
          <w:szCs w:val="24"/>
          <w:lang w:eastAsia="cs-CZ"/>
        </w:rPr>
        <w:tab/>
      </w:r>
      <w:r w:rsidRPr="00E11E61">
        <w:rPr>
          <w:rFonts w:eastAsia="Times New Roman" w:cs="Times New Roman"/>
          <w:b/>
          <w:bCs/>
          <w:color w:val="FF0000"/>
          <w:szCs w:val="24"/>
          <w:lang w:eastAsia="cs-CZ"/>
        </w:rPr>
        <w:tab/>
      </w:r>
      <w:r w:rsidRPr="00E11E61">
        <w:rPr>
          <w:rFonts w:eastAsia="Times New Roman" w:cs="Times New Roman"/>
          <w:b/>
          <w:bCs/>
          <w:color w:val="FF0000"/>
          <w:szCs w:val="24"/>
          <w:lang w:eastAsia="cs-CZ"/>
        </w:rPr>
        <w:tab/>
      </w:r>
      <w:r w:rsidR="00E07733">
        <w:rPr>
          <w:rFonts w:eastAsia="Times New Roman" w:cs="Times New Roman"/>
          <w:b/>
          <w:bCs/>
          <w:color w:val="FF0000"/>
          <w:szCs w:val="24"/>
          <w:lang w:eastAsia="cs-CZ"/>
        </w:rPr>
        <w:t xml:space="preserve"> </w:t>
      </w:r>
      <w:r w:rsidR="00E07733" w:rsidRPr="00E07733">
        <w:rPr>
          <w:rFonts w:eastAsia="Times New Roman" w:cs="Times New Roman"/>
          <w:b/>
          <w:bCs/>
          <w:szCs w:val="24"/>
          <w:lang w:eastAsia="cs-CZ"/>
        </w:rPr>
        <w:t xml:space="preserve">115 997 438 </w:t>
      </w:r>
      <w:r w:rsidRPr="00E07733">
        <w:rPr>
          <w:rFonts w:eastAsia="Times New Roman" w:cs="Times New Roman"/>
          <w:b/>
          <w:bCs/>
          <w:szCs w:val="24"/>
          <w:lang w:eastAsia="cs-CZ"/>
        </w:rPr>
        <w:t>tis. Kč</w:t>
      </w:r>
    </w:p>
    <w:p w:rsidR="00CF4BB2" w:rsidRPr="00E11E61" w:rsidRDefault="00CF4BB2" w:rsidP="00CF4BB2">
      <w:pPr>
        <w:ind w:left="567"/>
        <w:rPr>
          <w:rFonts w:eastAsia="Times New Roman" w:cs="Times New Roman"/>
          <w:szCs w:val="24"/>
          <w:lang w:eastAsia="cs-CZ"/>
        </w:rPr>
      </w:pPr>
      <w:r w:rsidRPr="00E11E61">
        <w:rPr>
          <w:rFonts w:eastAsia="Times New Roman" w:cs="Times New Roman"/>
          <w:szCs w:val="24"/>
          <w:lang w:eastAsia="cs-CZ"/>
        </w:rPr>
        <w:t>v tom:</w:t>
      </w:r>
    </w:p>
    <w:p w:rsidR="00CF4BB2" w:rsidRPr="00E11E61" w:rsidRDefault="00CF4BB2" w:rsidP="00CF4BB2">
      <w:pPr>
        <w:ind w:left="567"/>
        <w:rPr>
          <w:rFonts w:eastAsia="Times New Roman" w:cs="Times New Roman"/>
          <w:color w:val="FF0000"/>
          <w:szCs w:val="24"/>
          <w:lang w:eastAsia="cs-CZ"/>
        </w:rPr>
      </w:pPr>
      <w:r w:rsidRPr="00E11E61">
        <w:rPr>
          <w:rFonts w:eastAsia="Times New Roman" w:cs="Times New Roman"/>
          <w:szCs w:val="24"/>
          <w:lang w:eastAsia="cs-CZ"/>
        </w:rPr>
        <w:t>běžné výdaje</w:t>
      </w:r>
      <w:r w:rsidRPr="00E11E61">
        <w:rPr>
          <w:rFonts w:eastAsia="Times New Roman" w:cs="Times New Roman"/>
          <w:szCs w:val="24"/>
          <w:lang w:eastAsia="cs-CZ"/>
        </w:rPr>
        <w:tab/>
      </w:r>
      <w:r w:rsidRPr="00E11E61">
        <w:rPr>
          <w:rFonts w:eastAsia="Times New Roman" w:cs="Times New Roman"/>
          <w:color w:val="FF0000"/>
          <w:szCs w:val="24"/>
          <w:lang w:eastAsia="cs-CZ"/>
        </w:rPr>
        <w:tab/>
      </w:r>
      <w:r w:rsidRPr="00E11E61">
        <w:rPr>
          <w:rFonts w:eastAsia="Times New Roman" w:cs="Times New Roman"/>
          <w:color w:val="FF0000"/>
          <w:szCs w:val="24"/>
          <w:lang w:eastAsia="cs-CZ"/>
        </w:rPr>
        <w:tab/>
      </w:r>
      <w:r w:rsidRPr="00E11E61">
        <w:rPr>
          <w:rFonts w:eastAsia="Times New Roman" w:cs="Times New Roman"/>
          <w:color w:val="FF0000"/>
          <w:szCs w:val="24"/>
          <w:lang w:eastAsia="cs-CZ"/>
        </w:rPr>
        <w:tab/>
      </w:r>
      <w:r w:rsidRPr="00E11E61">
        <w:rPr>
          <w:rFonts w:eastAsia="Times New Roman" w:cs="Times New Roman"/>
          <w:color w:val="FF0000"/>
          <w:szCs w:val="24"/>
          <w:lang w:eastAsia="cs-CZ"/>
        </w:rPr>
        <w:tab/>
      </w:r>
      <w:r w:rsidRPr="00E11E61">
        <w:rPr>
          <w:rFonts w:eastAsia="Times New Roman" w:cs="Times New Roman"/>
          <w:color w:val="FF0000"/>
          <w:szCs w:val="24"/>
          <w:lang w:eastAsia="cs-CZ"/>
        </w:rPr>
        <w:tab/>
      </w:r>
      <w:r w:rsidRPr="00E11E61">
        <w:rPr>
          <w:rFonts w:eastAsia="Times New Roman" w:cs="Times New Roman"/>
          <w:color w:val="FF0000"/>
          <w:szCs w:val="24"/>
          <w:lang w:eastAsia="cs-CZ"/>
        </w:rPr>
        <w:tab/>
      </w:r>
      <w:r w:rsidRPr="00E11E61">
        <w:rPr>
          <w:rFonts w:eastAsia="Times New Roman" w:cs="Times New Roman"/>
          <w:color w:val="FF0000"/>
          <w:szCs w:val="24"/>
          <w:lang w:eastAsia="cs-CZ"/>
        </w:rPr>
        <w:tab/>
        <w:t xml:space="preserve">   </w:t>
      </w:r>
      <w:r w:rsidR="00E07733" w:rsidRPr="00E07733">
        <w:rPr>
          <w:rFonts w:eastAsia="Times New Roman" w:cs="Times New Roman"/>
          <w:szCs w:val="24"/>
          <w:lang w:eastAsia="cs-CZ"/>
        </w:rPr>
        <w:t xml:space="preserve">32 811 358 </w:t>
      </w:r>
      <w:r w:rsidRPr="00E07733">
        <w:rPr>
          <w:rFonts w:eastAsia="Times New Roman" w:cs="Times New Roman"/>
          <w:szCs w:val="24"/>
          <w:lang w:eastAsia="cs-CZ"/>
        </w:rPr>
        <w:t>tis. Kč</w:t>
      </w:r>
    </w:p>
    <w:p w:rsidR="00CF4BB2" w:rsidRPr="00E11E61" w:rsidRDefault="00CF4BB2" w:rsidP="00CF4BB2">
      <w:pPr>
        <w:tabs>
          <w:tab w:val="left" w:pos="7200"/>
        </w:tabs>
        <w:spacing w:after="240"/>
        <w:ind w:left="567"/>
        <w:rPr>
          <w:rFonts w:eastAsia="Times New Roman" w:cs="Times New Roman"/>
          <w:color w:val="FF0000"/>
          <w:szCs w:val="24"/>
          <w:lang w:eastAsia="cs-CZ"/>
        </w:rPr>
      </w:pPr>
      <w:r w:rsidRPr="00E11E61">
        <w:rPr>
          <w:rFonts w:eastAsia="Times New Roman" w:cs="Times New Roman"/>
          <w:szCs w:val="24"/>
          <w:lang w:eastAsia="cs-CZ"/>
        </w:rPr>
        <w:t>kapitálové výdaje</w:t>
      </w:r>
      <w:r w:rsidRPr="00B130AF">
        <w:rPr>
          <w:rFonts w:eastAsia="Times New Roman" w:cs="Times New Roman"/>
          <w:szCs w:val="24"/>
          <w:lang w:eastAsia="cs-CZ"/>
        </w:rPr>
        <w:tab/>
      </w:r>
      <w:r w:rsidR="00E07733">
        <w:rPr>
          <w:rFonts w:eastAsia="Times New Roman" w:cs="Times New Roman"/>
          <w:color w:val="FF0000"/>
          <w:szCs w:val="24"/>
          <w:lang w:eastAsia="cs-CZ"/>
        </w:rPr>
        <w:t xml:space="preserve"> </w:t>
      </w:r>
      <w:r w:rsidR="00E07733" w:rsidRPr="00E07733">
        <w:rPr>
          <w:rFonts w:eastAsia="Times New Roman" w:cs="Times New Roman"/>
          <w:szCs w:val="24"/>
          <w:lang w:eastAsia="cs-CZ"/>
        </w:rPr>
        <w:t>83 186 080</w:t>
      </w:r>
      <w:r w:rsidRPr="00E07733">
        <w:rPr>
          <w:rFonts w:eastAsia="Times New Roman" w:cs="Times New Roman"/>
          <w:szCs w:val="24"/>
          <w:lang w:eastAsia="cs-CZ"/>
        </w:rPr>
        <w:t> tis. Kč</w:t>
      </w:r>
    </w:p>
    <w:p w:rsidR="00CF4BB2" w:rsidRPr="00E07733" w:rsidRDefault="00CF4BB2" w:rsidP="00CF4BB2">
      <w:pPr>
        <w:pStyle w:val="Titulek"/>
        <w:keepNext/>
      </w:pPr>
      <w:bookmarkStart w:id="2" w:name="_Toc49763345"/>
      <w:bookmarkStart w:id="3" w:name="_Toc54190946"/>
      <w:r w:rsidRPr="00E07733">
        <w:t xml:space="preserve">Graf č. </w:t>
      </w:r>
      <w:fldSimple w:instr=" SEQ Graf_č. \* ARABIC ">
        <w:r w:rsidR="006076E7">
          <w:rPr>
            <w:noProof/>
          </w:rPr>
          <w:t>1</w:t>
        </w:r>
      </w:fldSimple>
      <w:r w:rsidRPr="00E07733">
        <w:t xml:space="preserve"> Porovnání příjmů a výdajů v kapitole 327-MD (v tis. Kč)</w:t>
      </w:r>
      <w:bookmarkEnd w:id="2"/>
      <w:bookmarkEnd w:id="3"/>
    </w:p>
    <w:p w:rsidR="00CF4BB2" w:rsidRPr="00576843" w:rsidRDefault="00CF4BB2" w:rsidP="00CF4BB2">
      <w:pPr>
        <w:pStyle w:val="obyctext"/>
        <w:keepNext/>
        <w:ind w:firstLine="0"/>
        <w:rPr>
          <w:noProof/>
          <w:color w:val="FF0000"/>
        </w:rPr>
      </w:pPr>
      <w:r w:rsidRPr="00576843">
        <w:rPr>
          <w:noProof/>
          <w:color w:val="FF0000"/>
        </w:rPr>
        <w:drawing>
          <wp:inline distT="0" distB="0" distL="0" distR="0" wp14:anchorId="3E91BBBC" wp14:editId="77DBE938">
            <wp:extent cx="5759450" cy="2519680"/>
            <wp:effectExtent l="0" t="0" r="12700" b="1397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A3EB9" w:rsidRPr="00406B5C" w:rsidRDefault="00EA3EB9" w:rsidP="00CF4BB2">
      <w:pPr>
        <w:pStyle w:val="Styl1"/>
      </w:pPr>
      <w:r w:rsidRPr="00406B5C">
        <w:t xml:space="preserve">V únoru 2021 byl schválen zákon č. 92/2021 Sb., kterým se mění zákon č. 600/2020 Sb., </w:t>
      </w:r>
      <w:r w:rsidR="00792CE1" w:rsidRPr="00406B5C">
        <w:br/>
      </w:r>
      <w:r w:rsidRPr="00406B5C">
        <w:t>o státním rozpočtu České republiky na rok 2021. V rámci kapitoly 327-MD došlo ke snížení příjmů ve výši 25 043 000 tis. Kč.</w:t>
      </w:r>
    </w:p>
    <w:p w:rsidR="00CF4BB2" w:rsidRPr="00406B5C" w:rsidRDefault="00CF4BB2" w:rsidP="00CF4BB2">
      <w:pPr>
        <w:pStyle w:val="Styl1"/>
      </w:pPr>
      <w:r w:rsidRPr="00FD71A6">
        <w:lastRenderedPageBreak/>
        <w:t xml:space="preserve">Příjmy kapitoly 327 Ministerstvo dopravy v návrhu rozpočtu na rok 2021 </w:t>
      </w:r>
      <w:r w:rsidRPr="00406B5C">
        <w:t>(</w:t>
      </w:r>
      <w:r w:rsidR="00EA3EB9" w:rsidRPr="00406B5C">
        <w:t xml:space="preserve">39 927 </w:t>
      </w:r>
      <w:r w:rsidRPr="00406B5C">
        <w:t xml:space="preserve">023 tis. Kč) jsou oproti schválenému rozpočtu roku 2020 (13 847 511 tis. Kč) o </w:t>
      </w:r>
      <w:r w:rsidR="00EA3EB9" w:rsidRPr="00406B5C">
        <w:t>26 079</w:t>
      </w:r>
      <w:r w:rsidRPr="00406B5C">
        <w:t xml:space="preserve"> 512 tis. Kč vyšší, tj. </w:t>
      </w:r>
      <w:r w:rsidR="0047075B" w:rsidRPr="00406B5C">
        <w:t xml:space="preserve">o </w:t>
      </w:r>
      <w:r w:rsidR="00EA3EB9" w:rsidRPr="00406B5C">
        <w:t>288,33</w:t>
      </w:r>
      <w:r w:rsidRPr="00406B5C">
        <w:t xml:space="preserve"> %. Důvodem jsou především vyšší rozpočtované příjmy z EU.</w:t>
      </w:r>
    </w:p>
    <w:p w:rsidR="00CF4BB2" w:rsidRPr="00E11E61" w:rsidRDefault="00CF4BB2" w:rsidP="00CF4BB2">
      <w:pPr>
        <w:pStyle w:val="Styl1"/>
        <w:rPr>
          <w:color w:val="FF0000"/>
        </w:rPr>
      </w:pPr>
      <w:r w:rsidRPr="0079349A">
        <w:t>Výdaje kapitoly 327-MD v návrhu rozpočtu na rok 2021</w:t>
      </w:r>
      <w:r w:rsidR="0079349A">
        <w:rPr>
          <w:color w:val="FF0000"/>
        </w:rPr>
        <w:t xml:space="preserve"> </w:t>
      </w:r>
      <w:r w:rsidR="0079349A" w:rsidRPr="0079349A">
        <w:t>(115 997 438</w:t>
      </w:r>
      <w:r w:rsidRPr="0079349A">
        <w:t xml:space="preserve"> tis. Kč) jsou v porovnání se schváleným rozpočtem na rok 2020 (90 472 681 tis. Kč) o </w:t>
      </w:r>
      <w:r w:rsidR="0079349A" w:rsidRPr="0079349A">
        <w:t>25 524 757</w:t>
      </w:r>
      <w:r w:rsidRPr="0079349A">
        <w:t xml:space="preserve"> tis. Kč</w:t>
      </w:r>
      <w:r w:rsidR="0079349A">
        <w:rPr>
          <w:color w:val="FF0000"/>
        </w:rPr>
        <w:t xml:space="preserve"> </w:t>
      </w:r>
      <w:r w:rsidR="0079349A" w:rsidRPr="0079349A">
        <w:t>vyšší</w:t>
      </w:r>
      <w:r w:rsidRPr="0079349A">
        <w:t xml:space="preserve">, tj. </w:t>
      </w:r>
      <w:r w:rsidR="0079349A">
        <w:rPr>
          <w:color w:val="FF0000"/>
        </w:rPr>
        <w:br/>
      </w:r>
      <w:r w:rsidR="0079349A" w:rsidRPr="0079349A">
        <w:t>o 28,21</w:t>
      </w:r>
      <w:r w:rsidRPr="0079349A">
        <w:t xml:space="preserve"> %. Důvodem je především </w:t>
      </w:r>
      <w:r w:rsidR="0079349A" w:rsidRPr="0079349A">
        <w:t>zvýšení</w:t>
      </w:r>
      <w:r w:rsidRPr="0079349A">
        <w:t xml:space="preserve"> dotace pro Státní fond dopravní infrastruktury </w:t>
      </w:r>
      <w:r w:rsidR="0079349A">
        <w:rPr>
          <w:color w:val="FF0000"/>
        </w:rPr>
        <w:br/>
      </w:r>
      <w:r w:rsidR="0079349A" w:rsidRPr="005D3F44">
        <w:t xml:space="preserve">z finančních prostředků </w:t>
      </w:r>
      <w:r w:rsidR="005D3F44" w:rsidRPr="005D3F44">
        <w:t>EU</w:t>
      </w:r>
      <w:r w:rsidR="0047075B">
        <w:t xml:space="preserve"> </w:t>
      </w:r>
      <w:r w:rsidR="0047075B" w:rsidRPr="00911780">
        <w:t xml:space="preserve">o </w:t>
      </w:r>
      <w:r w:rsidR="00911780" w:rsidRPr="00911780">
        <w:t xml:space="preserve">23 957 </w:t>
      </w:r>
      <w:r w:rsidR="00911780">
        <w:t>465</w:t>
      </w:r>
      <w:r w:rsidR="005D3F44">
        <w:t xml:space="preserve"> tis. Kč.</w:t>
      </w:r>
    </w:p>
    <w:p w:rsidR="00CF4BB2" w:rsidRPr="00732A5C" w:rsidRDefault="00CF4BB2" w:rsidP="00AF2F16">
      <w:pPr>
        <w:pStyle w:val="Styl1"/>
      </w:pPr>
      <w:r w:rsidRPr="005D3F44">
        <w:t>Výdaje určené pro vlastní Ministerstvo dopravy a jím zřízené organizační složky státu, příspěvkové organizace a veřejnou výzkumnou organizaci jsou zvýšeny oproti roku</w:t>
      </w:r>
      <w:r w:rsidRPr="005D3F44">
        <w:rPr>
          <w:color w:val="FF0000"/>
        </w:rPr>
        <w:t xml:space="preserve"> </w:t>
      </w:r>
      <w:r w:rsidRPr="005D3F44">
        <w:t xml:space="preserve">2020 </w:t>
      </w:r>
      <w:r w:rsidRPr="005D3F44">
        <w:br/>
        <w:t xml:space="preserve">o </w:t>
      </w:r>
      <w:r w:rsidR="00A958FB">
        <w:t>1 924 284</w:t>
      </w:r>
      <w:r w:rsidRPr="00825BD2">
        <w:t xml:space="preserve"> tis. Kč, </w:t>
      </w:r>
      <w:r w:rsidRPr="00732A5C">
        <w:t>zejména z důvodu navýš</w:t>
      </w:r>
      <w:r w:rsidR="00E32497">
        <w:t xml:space="preserve">ení kompenzace slev z jízdného </w:t>
      </w:r>
      <w:r w:rsidR="00E32497">
        <w:br/>
      </w:r>
      <w:r w:rsidRPr="00732A5C">
        <w:t xml:space="preserve">o 2 000 000 tis. Kč. </w:t>
      </w:r>
      <w:r w:rsidRPr="00F60261">
        <w:t>Výdaje určené na transfery podnikatelským subjektům jsou oproti roku 2020 navýšeny o</w:t>
      </w:r>
      <w:r w:rsidR="007F4210" w:rsidRPr="00F60261">
        <w:t xml:space="preserve"> 2 224 254</w:t>
      </w:r>
      <w:r w:rsidR="00825BD2" w:rsidRPr="00F60261">
        <w:t xml:space="preserve"> tis. Kč, a to </w:t>
      </w:r>
      <w:r w:rsidR="007F4210" w:rsidRPr="00F60261">
        <w:t xml:space="preserve">především </w:t>
      </w:r>
      <w:r w:rsidR="00825BD2" w:rsidRPr="00F60261">
        <w:t xml:space="preserve">z </w:t>
      </w:r>
      <w:r w:rsidRPr="00F60261">
        <w:t>důvodu nárokování investičních prostředků EU v rámci programu 127 65 „Pořízení a modernizace železničních kolejových vozid</w:t>
      </w:r>
      <w:r w:rsidR="007F4210" w:rsidRPr="00F60261">
        <w:t xml:space="preserve">el“ </w:t>
      </w:r>
      <w:r w:rsidR="007F4210" w:rsidRPr="00F60261">
        <w:br/>
        <w:t>ve výši 1 162 910 tis. Kč,</w:t>
      </w:r>
      <w:r w:rsidRPr="00F60261">
        <w:t xml:space="preserve"> 127 77</w:t>
      </w:r>
      <w:r w:rsidR="00A05CB5">
        <w:t xml:space="preserve"> „Podpora financování dopravy“ rozvoj čisté mobility v ČR</w:t>
      </w:r>
      <w:r w:rsidRPr="00F60261">
        <w:t xml:space="preserve"> ve výši 900 000 tis. Kč</w:t>
      </w:r>
      <w:r w:rsidR="007F4210" w:rsidRPr="00F60261">
        <w:t xml:space="preserve"> a </w:t>
      </w:r>
      <w:r w:rsidR="00A05CB5">
        <w:t>z</w:t>
      </w:r>
      <w:r w:rsidR="00F60261" w:rsidRPr="00F60261">
        <w:t>ajištění interoperability v železniční dopravě 433 108 tis. Kč</w:t>
      </w:r>
      <w:r w:rsidRPr="00F60261">
        <w:t>. Výdaje</w:t>
      </w:r>
      <w:r w:rsidRPr="00732A5C">
        <w:t xml:space="preserve"> na volitelné programy</w:t>
      </w:r>
      <w:r w:rsidR="00F60261">
        <w:t xml:space="preserve"> ESA zůstávají ve stejné výši, </w:t>
      </w:r>
      <w:r w:rsidRPr="00732A5C">
        <w:t>tj. 1 205 000 tis. Kč.</w:t>
      </w:r>
    </w:p>
    <w:p w:rsidR="00CF4BB2" w:rsidRPr="007F4210" w:rsidRDefault="00CF4BB2" w:rsidP="00CF4BB2">
      <w:pPr>
        <w:pStyle w:val="Styl1"/>
        <w:rPr>
          <w:color w:val="FF0000"/>
        </w:rPr>
      </w:pPr>
      <w:r w:rsidRPr="00022587">
        <w:t>Z celkového objemu výdajů kapitoly Ministerstva dopravy jsou do rozpočtové sféry (organizační složky státu) určeny prostředky v </w:t>
      </w:r>
      <w:r w:rsidRPr="00345FE1">
        <w:t xml:space="preserve">objemu </w:t>
      </w:r>
      <w:r w:rsidR="00602E93">
        <w:t>7 72</w:t>
      </w:r>
      <w:r w:rsidR="00022587" w:rsidRPr="00345FE1">
        <w:t>6 23</w:t>
      </w:r>
      <w:r w:rsidR="00CE6C9C">
        <w:t>1</w:t>
      </w:r>
      <w:r w:rsidRPr="00345FE1">
        <w:t xml:space="preserve"> tis. Kč, tj. </w:t>
      </w:r>
      <w:r w:rsidR="00022587" w:rsidRPr="00345FE1">
        <w:t>6,66</w:t>
      </w:r>
      <w:r w:rsidRPr="00345FE1">
        <w:t xml:space="preserve"> % celkových</w:t>
      </w:r>
      <w:r w:rsidRPr="00022587">
        <w:t xml:space="preserve"> výdajů, v tom běžné </w:t>
      </w:r>
      <w:r w:rsidRPr="00345FE1">
        <w:t>výdaje 7</w:t>
      </w:r>
      <w:r w:rsidR="00022587" w:rsidRPr="00345FE1">
        <w:t> 653 055</w:t>
      </w:r>
      <w:r w:rsidRPr="00345FE1">
        <w:t xml:space="preserve"> ti</w:t>
      </w:r>
      <w:r w:rsidR="00022587" w:rsidRPr="00345FE1">
        <w:t>s. Kč, kapitálové</w:t>
      </w:r>
      <w:r w:rsidR="00022587" w:rsidRPr="00022587">
        <w:t xml:space="preserve"> </w:t>
      </w:r>
      <w:r w:rsidR="00022587" w:rsidRPr="007F4210">
        <w:t xml:space="preserve">výdaje </w:t>
      </w:r>
      <w:r w:rsidR="00602E93" w:rsidRPr="00911780">
        <w:t>7</w:t>
      </w:r>
      <w:r w:rsidR="00022587" w:rsidRPr="00911780">
        <w:t xml:space="preserve">3 176 </w:t>
      </w:r>
      <w:r w:rsidRPr="00911780">
        <w:t>tis. Kč.</w:t>
      </w:r>
      <w:r w:rsidRPr="007F4210">
        <w:t xml:space="preserve"> </w:t>
      </w:r>
    </w:p>
    <w:p w:rsidR="00CF4BB2" w:rsidRPr="00072CDE" w:rsidRDefault="00CF4BB2" w:rsidP="00CF4BB2">
      <w:pPr>
        <w:pStyle w:val="Styl1"/>
        <w:rPr>
          <w:color w:val="FF0000"/>
        </w:rPr>
      </w:pPr>
      <w:r w:rsidRPr="007F4210">
        <w:t xml:space="preserve">Do příspěvkové sféry, zahrnující zřízené státní příspěvkové organizace Ředitelství silnic </w:t>
      </w:r>
      <w:r w:rsidRPr="007F4210">
        <w:br/>
        <w:t>a dálnic ČR a Centrum služeb pro silniční dopravu</w:t>
      </w:r>
      <w:r w:rsidR="00CE6C9C">
        <w:t>,</w:t>
      </w:r>
      <w:r w:rsidRPr="007F4210">
        <w:t xml:space="preserve"> a dále veřejnou výzkumnou instituci Centrum dopravního výzkumu, jsou rozpočtovány prostředky v objemu </w:t>
      </w:r>
      <w:r w:rsidR="00345FE1" w:rsidRPr="007F4210">
        <w:t>306</w:t>
      </w:r>
      <w:r w:rsidRPr="007F4210">
        <w:t xml:space="preserve"> 645 tis. Kč, </w:t>
      </w:r>
      <w:r w:rsidR="001A76C5" w:rsidRPr="007F4210">
        <w:rPr>
          <w:color w:val="FF0000"/>
        </w:rPr>
        <w:br/>
      </w:r>
      <w:r w:rsidR="001A76C5" w:rsidRPr="007F4210">
        <w:t>tj. 0,26</w:t>
      </w:r>
      <w:r w:rsidRPr="007F4210">
        <w:t xml:space="preserve"> % celkových výdajů, v tom běžné výdaje </w:t>
      </w:r>
      <w:r w:rsidR="00345FE1" w:rsidRPr="007F4210">
        <w:t>259</w:t>
      </w:r>
      <w:r w:rsidRPr="007F4210">
        <w:t xml:space="preserve"> 065 tis. Kč, kapitálové výdaje </w:t>
      </w:r>
      <w:r w:rsidRPr="007F4210">
        <w:br/>
        <w:t>47 580 tis. Kč.</w:t>
      </w:r>
    </w:p>
    <w:p w:rsidR="00CF4BB2" w:rsidRPr="005D3F44" w:rsidRDefault="00CF4BB2" w:rsidP="00CF4BB2">
      <w:pPr>
        <w:pStyle w:val="Styl1"/>
        <w:rPr>
          <w:rFonts w:eastAsiaTheme="minorHAnsi" w:cstheme="minorBidi"/>
          <w:lang w:eastAsia="en-US"/>
        </w:rPr>
      </w:pPr>
      <w:r w:rsidRPr="007F4210">
        <w:t xml:space="preserve">Na transfery do podnikatelské sféry jsou určeny prostředky ve výši </w:t>
      </w:r>
      <w:r w:rsidR="00022587" w:rsidRPr="007F4210">
        <w:t>7 873 476</w:t>
      </w:r>
      <w:r w:rsidRPr="007F4210">
        <w:t xml:space="preserve"> tis. Kč, </w:t>
      </w:r>
      <w:r w:rsidRPr="007F4210">
        <w:rPr>
          <w:color w:val="FF0000"/>
        </w:rPr>
        <w:br/>
      </w:r>
      <w:r w:rsidRPr="007F4210">
        <w:t xml:space="preserve">tj. </w:t>
      </w:r>
      <w:r w:rsidR="005D3F44" w:rsidRPr="007F4210">
        <w:t>6,</w:t>
      </w:r>
      <w:r w:rsidR="00345FE1" w:rsidRPr="007F4210">
        <w:t>79</w:t>
      </w:r>
      <w:r w:rsidRPr="007F4210">
        <w:t xml:space="preserve"> % celkových výdajů kapitoly, v tom běžné výdaje </w:t>
      </w:r>
      <w:r w:rsidR="00022587" w:rsidRPr="007F4210">
        <w:rPr>
          <w:rFonts w:eastAsiaTheme="minorHAnsi" w:cstheme="minorBidi"/>
          <w:szCs w:val="22"/>
          <w:lang w:eastAsia="en-US"/>
        </w:rPr>
        <w:t>5 246 855</w:t>
      </w:r>
      <w:r w:rsidRPr="007F4210">
        <w:rPr>
          <w:rFonts w:eastAsiaTheme="minorHAnsi" w:cstheme="minorBidi"/>
          <w:szCs w:val="22"/>
          <w:lang w:eastAsia="en-US"/>
        </w:rPr>
        <w:t xml:space="preserve"> </w:t>
      </w:r>
      <w:r w:rsidRPr="007F4210">
        <w:t xml:space="preserve">tis. Kč, kapitálové výdaje </w:t>
      </w:r>
      <w:r w:rsidRPr="007F4210">
        <w:rPr>
          <w:rFonts w:eastAsiaTheme="minorHAnsi" w:cstheme="minorBidi"/>
          <w:lang w:eastAsia="en-US"/>
        </w:rPr>
        <w:t>2 626 621</w:t>
      </w:r>
      <w:r w:rsidRPr="005D3F44">
        <w:rPr>
          <w:rFonts w:eastAsiaTheme="minorHAnsi" w:cstheme="minorBidi"/>
          <w:lang w:eastAsia="en-US"/>
        </w:rPr>
        <w:t xml:space="preserve"> tis. Kč. Podnikatelskou sféru představují zejména České dráhy, a.s. a </w:t>
      </w:r>
      <w:r w:rsidR="00115862">
        <w:rPr>
          <w:rFonts w:eastAsiaTheme="minorHAnsi" w:cstheme="minorBidi"/>
          <w:lang w:eastAsia="en-US"/>
        </w:rPr>
        <w:t>příjemci (právnické osoby) jednotlivých podpor OPD.</w:t>
      </w:r>
    </w:p>
    <w:p w:rsidR="00CF4BB2" w:rsidRPr="00732A5C" w:rsidRDefault="00CF4BB2" w:rsidP="00CF4BB2">
      <w:pPr>
        <w:pStyle w:val="Styl1"/>
      </w:pPr>
      <w:r w:rsidRPr="007F4210">
        <w:t xml:space="preserve">Transfer Státnímu fondu dopravní infrastruktury v objemu </w:t>
      </w:r>
      <w:r w:rsidR="00732A5C" w:rsidRPr="007F4210">
        <w:t>95 502 257</w:t>
      </w:r>
      <w:r w:rsidRPr="007F4210">
        <w:t xml:space="preserve"> tis. Kč tvoří </w:t>
      </w:r>
      <w:r w:rsidR="00732A5C" w:rsidRPr="007F4210">
        <w:rPr>
          <w:color w:val="FF0000"/>
        </w:rPr>
        <w:br/>
      </w:r>
      <w:r w:rsidR="00732A5C" w:rsidRPr="007F4210">
        <w:t>82,33</w:t>
      </w:r>
      <w:r w:rsidRPr="007F4210">
        <w:t xml:space="preserve"> % celkových výdajů kapitoly, v tom výdaje na společné programy (projekty) EU </w:t>
      </w:r>
      <w:r w:rsidRPr="007F4210">
        <w:br/>
        <w:t>a ČR</w:t>
      </w:r>
      <w:r w:rsidRPr="007F4210">
        <w:rPr>
          <w:color w:val="FF0000"/>
        </w:rPr>
        <w:t xml:space="preserve"> </w:t>
      </w:r>
      <w:r w:rsidR="00732A5C" w:rsidRPr="007F4210">
        <w:t xml:space="preserve">36 977 257 </w:t>
      </w:r>
      <w:r w:rsidRPr="007F4210">
        <w:t xml:space="preserve">tis. Kč, výdaje na projekty spolufinancované z EIB 1 801 390 tis. Kč a ostatní výdaje, tj. dotace na vyrovnání deficitu rozpočtu, </w:t>
      </w:r>
      <w:r w:rsidR="00732A5C" w:rsidRPr="007F4210">
        <w:t>56 723 610</w:t>
      </w:r>
      <w:r w:rsidRPr="007F4210">
        <w:t xml:space="preserve"> tis. Kč. Z celkové výše prostředků pro SFDI činí neinvestiční transfer 15 063 554 tis. Kč a inve</w:t>
      </w:r>
      <w:r w:rsidR="00732A5C" w:rsidRPr="007F4210">
        <w:t xml:space="preserve">stiční transfer činí </w:t>
      </w:r>
      <w:r w:rsidR="00732A5C" w:rsidRPr="007F4210">
        <w:rPr>
          <w:color w:val="FF0000"/>
        </w:rPr>
        <w:br/>
      </w:r>
      <w:r w:rsidR="00732A5C" w:rsidRPr="007F4210">
        <w:t>80 438 703</w:t>
      </w:r>
      <w:r w:rsidRPr="007F4210">
        <w:t xml:space="preserve"> tis. Kč.</w:t>
      </w:r>
    </w:p>
    <w:p w:rsidR="00CF4BB2" w:rsidRPr="00072CDE" w:rsidRDefault="00CF4BB2" w:rsidP="00CF4BB2">
      <w:pPr>
        <w:pStyle w:val="Styl1"/>
        <w:rPr>
          <w:color w:val="FF0000"/>
        </w:rPr>
      </w:pPr>
      <w:r w:rsidRPr="00903C73">
        <w:t xml:space="preserve">Transfery obcím a krajům jsou rozpočtovány ve výši </w:t>
      </w:r>
      <w:r w:rsidR="0013742A" w:rsidRPr="00903C73">
        <w:t>3 355 495</w:t>
      </w:r>
      <w:r w:rsidRPr="00903C73">
        <w:t xml:space="preserve"> tis. Kč, tj. </w:t>
      </w:r>
      <w:r w:rsidR="0013742A" w:rsidRPr="00903C73">
        <w:t>2,89</w:t>
      </w:r>
      <w:r w:rsidRPr="00903C73">
        <w:t xml:space="preserve"> % z celkových</w:t>
      </w:r>
      <w:r w:rsidRPr="0013742A">
        <w:t xml:space="preserve"> výdajů kapitoly. Tyto neinvestiční transfery jsou určeny k doplnění chybějících finančních zdrojů krajů a hl. m. Prahy na úhradu ztráty ze závazku veřejné služby ve veřejné drážní osobní dopravě ve </w:t>
      </w:r>
      <w:r w:rsidRPr="00345FE1">
        <w:t>výši</w:t>
      </w:r>
      <w:r w:rsidR="0013742A" w:rsidRPr="00345FE1">
        <w:rPr>
          <w:color w:val="FF0000"/>
        </w:rPr>
        <w:t xml:space="preserve"> </w:t>
      </w:r>
      <w:r w:rsidR="0013742A" w:rsidRPr="00345FE1">
        <w:t>3 352 995</w:t>
      </w:r>
      <w:r w:rsidRPr="00345FE1">
        <w:t xml:space="preserve"> tis. Kč</w:t>
      </w:r>
      <w:r w:rsidRPr="0013742A">
        <w:t xml:space="preserve"> a na zvýšení ochrany měkkých cílů dle usnesení vlády </w:t>
      </w:r>
      <w:r w:rsidRPr="0013742A">
        <w:br/>
        <w:t xml:space="preserve">č. 527/2017 ve výši 2 500 tis. Kč. </w:t>
      </w:r>
    </w:p>
    <w:p w:rsidR="00CF4BB2" w:rsidRPr="00A12547" w:rsidRDefault="00CF4BB2" w:rsidP="00CF4AED">
      <w:pPr>
        <w:pStyle w:val="Styl1"/>
      </w:pPr>
      <w:r w:rsidRPr="001A76C5">
        <w:lastRenderedPageBreak/>
        <w:t xml:space="preserve">Výdaje ve výši 1 224 436 tis. Kč, tj. </w:t>
      </w:r>
      <w:r w:rsidR="005D3F44" w:rsidRPr="001A76C5">
        <w:t>1,06</w:t>
      </w:r>
      <w:r w:rsidRPr="001A76C5">
        <w:t xml:space="preserve"> % z celkových výdajů, jsou určeny na neinvestiční transfery do zahraničí</w:t>
      </w:r>
      <w:r w:rsidR="004B388C">
        <w:t>. Z</w:t>
      </w:r>
      <w:r w:rsidRPr="001A76C5">
        <w:t>bývající část výdajů ve výši 8 900 tis. Kč, tj. 0,01 % z celkových výdajů, je určena na neinvestiční transfery spolkům.</w:t>
      </w:r>
    </w:p>
    <w:p w:rsidR="00CF4BB2" w:rsidRPr="00576843" w:rsidRDefault="00CF4BB2" w:rsidP="00CF4BB2">
      <w:pPr>
        <w:pStyle w:val="Nadpis1"/>
        <w:pageBreakBefore/>
        <w:ind w:left="432" w:hanging="432"/>
      </w:pPr>
      <w:bookmarkStart w:id="4" w:name="_Toc462314383"/>
      <w:bookmarkStart w:id="5" w:name="_Toc49761893"/>
      <w:bookmarkStart w:id="6" w:name="_Toc53750560"/>
      <w:r w:rsidRPr="005A2650">
        <w:lastRenderedPageBreak/>
        <w:t>ROZPOČET PŘÍJMŮ NA ROK 20</w:t>
      </w:r>
      <w:bookmarkEnd w:id="4"/>
      <w:r w:rsidRPr="005A2650">
        <w:t>21</w:t>
      </w:r>
      <w:bookmarkEnd w:id="5"/>
      <w:bookmarkEnd w:id="6"/>
    </w:p>
    <w:p w:rsidR="00CF4BB2" w:rsidRPr="00406B5C" w:rsidRDefault="00CF4BB2" w:rsidP="00CF4BB2">
      <w:pPr>
        <w:pStyle w:val="Styl1"/>
      </w:pPr>
      <w:r w:rsidRPr="005A2650">
        <w:t xml:space="preserve">Souhrnný ukazatel rozpočtu kapitoly MD </w:t>
      </w:r>
      <w:r w:rsidRPr="005A2650">
        <w:rPr>
          <w:b/>
        </w:rPr>
        <w:t>„Příjmy celkem“</w:t>
      </w:r>
      <w:r w:rsidRPr="005A2650">
        <w:t xml:space="preserve"> je </w:t>
      </w:r>
      <w:r w:rsidRPr="005A2650">
        <w:rPr>
          <w:bCs/>
        </w:rPr>
        <w:t>navržený ve výši</w:t>
      </w:r>
      <w:r w:rsidRPr="005A2650">
        <w:rPr>
          <w:b/>
          <w:bCs/>
        </w:rPr>
        <w:t xml:space="preserve"> </w:t>
      </w:r>
      <w:r>
        <w:rPr>
          <w:b/>
          <w:bCs/>
          <w:color w:val="FF0000"/>
        </w:rPr>
        <w:br/>
      </w:r>
      <w:r w:rsidR="00221DEB" w:rsidRPr="00406B5C">
        <w:rPr>
          <w:b/>
          <w:bCs/>
        </w:rPr>
        <w:t>39</w:t>
      </w:r>
      <w:r w:rsidRPr="00406B5C">
        <w:rPr>
          <w:b/>
          <w:bCs/>
        </w:rPr>
        <w:t> </w:t>
      </w:r>
      <w:r w:rsidR="00221DEB" w:rsidRPr="00406B5C">
        <w:rPr>
          <w:b/>
          <w:bCs/>
        </w:rPr>
        <w:t>927</w:t>
      </w:r>
      <w:r w:rsidRPr="00406B5C">
        <w:rPr>
          <w:b/>
          <w:bCs/>
        </w:rPr>
        <w:t xml:space="preserve"> 023 tis. Kč</w:t>
      </w:r>
      <w:r w:rsidRPr="00406B5C">
        <w:t>.</w:t>
      </w:r>
    </w:p>
    <w:p w:rsidR="00423CD3" w:rsidRPr="00406B5C" w:rsidRDefault="00423CD3" w:rsidP="00423CD3">
      <w:pPr>
        <w:pStyle w:val="Titulek"/>
        <w:keepNext/>
      </w:pPr>
      <w:r w:rsidRPr="00406B5C">
        <w:t xml:space="preserve">Tabulka č. </w:t>
      </w:r>
      <w:fldSimple w:instr=" SEQ Tabulka \* ARABIC ">
        <w:r w:rsidR="006076E7" w:rsidRPr="00406B5C">
          <w:rPr>
            <w:noProof/>
          </w:rPr>
          <w:t>1</w:t>
        </w:r>
      </w:fldSimple>
      <w:r w:rsidRPr="00406B5C">
        <w:t xml:space="preserve"> Přehled celkových příjmů v rámci kapitoly 327 MD (v tis. Kč)</w:t>
      </w:r>
    </w:p>
    <w:tbl>
      <w:tblPr>
        <w:tblStyle w:val="Svtltabulkasmkou1"/>
        <w:tblW w:w="9346"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1691"/>
        <w:gridCol w:w="1275"/>
        <w:gridCol w:w="1276"/>
        <w:gridCol w:w="1276"/>
        <w:gridCol w:w="1276"/>
        <w:gridCol w:w="1276"/>
        <w:gridCol w:w="1276"/>
      </w:tblGrid>
      <w:tr w:rsidR="00406B5C" w:rsidRPr="00406B5C" w:rsidTr="00905890">
        <w:tc>
          <w:tcPr>
            <w:tcW w:w="1691" w:type="dxa"/>
            <w:vMerge w:val="restart"/>
            <w:tcBorders>
              <w:top w:val="single" w:sz="8" w:space="0" w:color="7F7F7F" w:themeColor="text1" w:themeTint="80"/>
            </w:tcBorders>
            <w:shd w:val="thinReverseDiagStripe" w:color="D9D9D9" w:themeColor="background1" w:themeShade="D9" w:fill="FFFFFF" w:themeFill="background1"/>
            <w:vAlign w:val="center"/>
          </w:tcPr>
          <w:p w:rsidR="00423CD3" w:rsidRPr="00406B5C" w:rsidRDefault="00423CD3" w:rsidP="00905890">
            <w:pPr>
              <w:pStyle w:val="Zkladntext"/>
              <w:jc w:val="center"/>
              <w:rPr>
                <w:b/>
                <w:sz w:val="22"/>
                <w:szCs w:val="22"/>
              </w:rPr>
            </w:pPr>
            <w:r w:rsidRPr="00406B5C">
              <w:rPr>
                <w:b/>
                <w:sz w:val="22"/>
                <w:szCs w:val="22"/>
              </w:rPr>
              <w:t>Příjmy celkem</w:t>
            </w:r>
          </w:p>
        </w:tc>
        <w:tc>
          <w:tcPr>
            <w:tcW w:w="1275"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423CD3" w:rsidRPr="00406B5C" w:rsidRDefault="00423CD3" w:rsidP="00905890">
            <w:pPr>
              <w:jc w:val="center"/>
              <w:rPr>
                <w:rFonts w:cs="Times New Roman"/>
                <w:b/>
                <w:sz w:val="22"/>
              </w:rPr>
            </w:pPr>
            <w:r w:rsidRPr="00406B5C">
              <w:rPr>
                <w:rFonts w:cs="Times New Roman"/>
                <w:b/>
                <w:sz w:val="22"/>
              </w:rPr>
              <w:t>Skutečnost 2016</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423CD3" w:rsidRPr="00406B5C" w:rsidRDefault="00423CD3" w:rsidP="00905890">
            <w:pPr>
              <w:jc w:val="center"/>
              <w:rPr>
                <w:rFonts w:cs="Times New Roman"/>
                <w:b/>
                <w:sz w:val="22"/>
              </w:rPr>
            </w:pPr>
            <w:r w:rsidRPr="00406B5C">
              <w:rPr>
                <w:rFonts w:cs="Times New Roman"/>
                <w:b/>
                <w:sz w:val="22"/>
              </w:rPr>
              <w:t>Skutečnost 2017</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423CD3" w:rsidRPr="00406B5C" w:rsidRDefault="00423CD3" w:rsidP="00905890">
            <w:pPr>
              <w:jc w:val="center"/>
              <w:rPr>
                <w:rFonts w:cs="Times New Roman"/>
                <w:b/>
                <w:sz w:val="22"/>
              </w:rPr>
            </w:pPr>
            <w:r w:rsidRPr="00406B5C">
              <w:rPr>
                <w:rFonts w:cs="Times New Roman"/>
                <w:b/>
                <w:sz w:val="22"/>
              </w:rPr>
              <w:t>Skutečnost 2018</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423CD3" w:rsidRPr="00406B5C" w:rsidRDefault="00423CD3" w:rsidP="00905890">
            <w:pPr>
              <w:jc w:val="center"/>
              <w:rPr>
                <w:rFonts w:cs="Times New Roman"/>
                <w:b/>
                <w:sz w:val="22"/>
              </w:rPr>
            </w:pPr>
            <w:r w:rsidRPr="00406B5C">
              <w:rPr>
                <w:rFonts w:cs="Times New Roman"/>
                <w:b/>
                <w:sz w:val="22"/>
              </w:rPr>
              <w:t>Skutečnost 2019</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423CD3" w:rsidRPr="00406B5C" w:rsidRDefault="00423CD3" w:rsidP="00905890">
            <w:pPr>
              <w:jc w:val="center"/>
              <w:rPr>
                <w:rFonts w:cs="Times New Roman"/>
                <w:b/>
                <w:sz w:val="22"/>
              </w:rPr>
            </w:pPr>
            <w:r w:rsidRPr="00406B5C">
              <w:rPr>
                <w:rFonts w:cs="Times New Roman"/>
                <w:b/>
                <w:sz w:val="22"/>
              </w:rPr>
              <w:t>Schválený rozpočet 2020</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423CD3" w:rsidRPr="00406B5C" w:rsidRDefault="00423CD3" w:rsidP="00905890">
            <w:pPr>
              <w:jc w:val="center"/>
              <w:rPr>
                <w:rFonts w:cs="Times New Roman"/>
                <w:b/>
                <w:sz w:val="22"/>
              </w:rPr>
            </w:pPr>
            <w:r w:rsidRPr="00406B5C">
              <w:rPr>
                <w:rFonts w:cs="Times New Roman"/>
                <w:b/>
                <w:sz w:val="22"/>
              </w:rPr>
              <w:t>Návrh rozpočtu 2021</w:t>
            </w:r>
          </w:p>
        </w:tc>
      </w:tr>
      <w:tr w:rsidR="00406B5C" w:rsidRPr="00406B5C" w:rsidTr="000130A4">
        <w:trPr>
          <w:trHeight w:val="379"/>
        </w:trPr>
        <w:tc>
          <w:tcPr>
            <w:tcW w:w="1691" w:type="dxa"/>
            <w:vMerge/>
            <w:tcBorders>
              <w:bottom w:val="single" w:sz="8" w:space="0" w:color="7F7F7F" w:themeColor="text1" w:themeTint="80"/>
            </w:tcBorders>
          </w:tcPr>
          <w:p w:rsidR="00423CD3" w:rsidRPr="00406B5C" w:rsidRDefault="00423CD3" w:rsidP="00905890">
            <w:pPr>
              <w:rPr>
                <w:rFonts w:cs="Times New Roman"/>
                <w:b/>
                <w:szCs w:val="24"/>
              </w:rPr>
            </w:pPr>
          </w:p>
        </w:tc>
        <w:tc>
          <w:tcPr>
            <w:tcW w:w="1275" w:type="dxa"/>
            <w:tcBorders>
              <w:top w:val="single" w:sz="8" w:space="0" w:color="7F7F7F" w:themeColor="text1" w:themeTint="80"/>
              <w:bottom w:val="single" w:sz="8" w:space="0" w:color="7F7F7F" w:themeColor="text1" w:themeTint="80"/>
            </w:tcBorders>
            <w:vAlign w:val="center"/>
          </w:tcPr>
          <w:p w:rsidR="00423CD3" w:rsidRPr="00406B5C" w:rsidRDefault="00423CD3" w:rsidP="000130A4">
            <w:pPr>
              <w:pStyle w:val="Zkladntext"/>
              <w:spacing w:before="120"/>
              <w:jc w:val="right"/>
              <w:rPr>
                <w:bCs w:val="0"/>
                <w:sz w:val="22"/>
                <w:szCs w:val="22"/>
              </w:rPr>
            </w:pPr>
            <w:r w:rsidRPr="00406B5C">
              <w:rPr>
                <w:bCs w:val="0"/>
                <w:sz w:val="22"/>
                <w:szCs w:val="22"/>
              </w:rPr>
              <w:t>51 159 149</w:t>
            </w:r>
          </w:p>
        </w:tc>
        <w:tc>
          <w:tcPr>
            <w:tcW w:w="1276" w:type="dxa"/>
            <w:tcBorders>
              <w:top w:val="single" w:sz="8" w:space="0" w:color="7F7F7F" w:themeColor="text1" w:themeTint="80"/>
              <w:bottom w:val="single" w:sz="8" w:space="0" w:color="7F7F7F" w:themeColor="text1" w:themeTint="80"/>
            </w:tcBorders>
            <w:vAlign w:val="center"/>
          </w:tcPr>
          <w:p w:rsidR="00423CD3" w:rsidRPr="00406B5C" w:rsidRDefault="00423CD3" w:rsidP="000130A4">
            <w:pPr>
              <w:pStyle w:val="Zkladntext"/>
              <w:spacing w:before="120"/>
              <w:jc w:val="right"/>
              <w:rPr>
                <w:bCs w:val="0"/>
                <w:sz w:val="22"/>
                <w:szCs w:val="22"/>
              </w:rPr>
            </w:pPr>
            <w:r w:rsidRPr="00406B5C">
              <w:rPr>
                <w:bCs w:val="0"/>
                <w:sz w:val="22"/>
                <w:szCs w:val="22"/>
              </w:rPr>
              <w:t>18 205 514</w:t>
            </w:r>
          </w:p>
        </w:tc>
        <w:tc>
          <w:tcPr>
            <w:tcW w:w="1276" w:type="dxa"/>
            <w:tcBorders>
              <w:top w:val="single" w:sz="8" w:space="0" w:color="7F7F7F" w:themeColor="text1" w:themeTint="80"/>
              <w:bottom w:val="single" w:sz="8" w:space="0" w:color="7F7F7F" w:themeColor="text1" w:themeTint="80"/>
            </w:tcBorders>
            <w:vAlign w:val="center"/>
          </w:tcPr>
          <w:p w:rsidR="00423CD3" w:rsidRPr="00406B5C" w:rsidRDefault="00423CD3" w:rsidP="000130A4">
            <w:pPr>
              <w:pStyle w:val="Zkladntext"/>
              <w:spacing w:before="120"/>
              <w:jc w:val="right"/>
              <w:rPr>
                <w:bCs w:val="0"/>
                <w:sz w:val="22"/>
                <w:szCs w:val="22"/>
              </w:rPr>
            </w:pPr>
            <w:r w:rsidRPr="00406B5C">
              <w:rPr>
                <w:bCs w:val="0"/>
                <w:sz w:val="22"/>
                <w:szCs w:val="22"/>
              </w:rPr>
              <w:t>22 958 912</w:t>
            </w:r>
          </w:p>
        </w:tc>
        <w:tc>
          <w:tcPr>
            <w:tcW w:w="1276" w:type="dxa"/>
            <w:tcBorders>
              <w:top w:val="single" w:sz="8" w:space="0" w:color="7F7F7F" w:themeColor="text1" w:themeTint="80"/>
              <w:bottom w:val="single" w:sz="8" w:space="0" w:color="7F7F7F" w:themeColor="text1" w:themeTint="80"/>
            </w:tcBorders>
            <w:vAlign w:val="center"/>
          </w:tcPr>
          <w:p w:rsidR="00423CD3" w:rsidRPr="00406B5C" w:rsidRDefault="00423CD3" w:rsidP="000130A4">
            <w:pPr>
              <w:pStyle w:val="Zkladntext"/>
              <w:spacing w:before="120"/>
              <w:jc w:val="right"/>
              <w:rPr>
                <w:bCs w:val="0"/>
                <w:sz w:val="22"/>
                <w:szCs w:val="22"/>
              </w:rPr>
            </w:pPr>
            <w:r w:rsidRPr="00406B5C">
              <w:rPr>
                <w:bCs w:val="0"/>
                <w:sz w:val="22"/>
                <w:szCs w:val="22"/>
              </w:rPr>
              <w:t>17 449 764</w:t>
            </w:r>
          </w:p>
        </w:tc>
        <w:tc>
          <w:tcPr>
            <w:tcW w:w="1276" w:type="dxa"/>
            <w:tcBorders>
              <w:top w:val="single" w:sz="8" w:space="0" w:color="7F7F7F" w:themeColor="text1" w:themeTint="80"/>
              <w:bottom w:val="single" w:sz="8" w:space="0" w:color="7F7F7F" w:themeColor="text1" w:themeTint="80"/>
            </w:tcBorders>
            <w:vAlign w:val="center"/>
          </w:tcPr>
          <w:p w:rsidR="00423CD3" w:rsidRPr="00406B5C" w:rsidRDefault="00423CD3" w:rsidP="000130A4">
            <w:pPr>
              <w:pStyle w:val="Zkladntext"/>
              <w:spacing w:before="120"/>
              <w:jc w:val="right"/>
              <w:rPr>
                <w:bCs w:val="0"/>
                <w:sz w:val="22"/>
                <w:szCs w:val="22"/>
              </w:rPr>
            </w:pPr>
            <w:r w:rsidRPr="00406B5C">
              <w:rPr>
                <w:bCs w:val="0"/>
                <w:sz w:val="22"/>
                <w:szCs w:val="22"/>
              </w:rPr>
              <w:t>13 847 511</w:t>
            </w:r>
          </w:p>
        </w:tc>
        <w:tc>
          <w:tcPr>
            <w:tcW w:w="1276" w:type="dxa"/>
            <w:tcBorders>
              <w:top w:val="single" w:sz="8" w:space="0" w:color="7F7F7F" w:themeColor="text1" w:themeTint="80"/>
              <w:bottom w:val="single" w:sz="8" w:space="0" w:color="7F7F7F" w:themeColor="text1" w:themeTint="80"/>
            </w:tcBorders>
            <w:vAlign w:val="center"/>
          </w:tcPr>
          <w:p w:rsidR="00423CD3" w:rsidRPr="00406B5C" w:rsidRDefault="00221DEB" w:rsidP="000130A4">
            <w:pPr>
              <w:pStyle w:val="Zkladntext"/>
              <w:spacing w:before="120"/>
              <w:jc w:val="right"/>
              <w:rPr>
                <w:bCs w:val="0"/>
                <w:sz w:val="22"/>
                <w:szCs w:val="22"/>
              </w:rPr>
            </w:pPr>
            <w:r w:rsidRPr="00406B5C">
              <w:rPr>
                <w:bCs w:val="0"/>
                <w:sz w:val="22"/>
                <w:szCs w:val="22"/>
              </w:rPr>
              <w:t>39 927</w:t>
            </w:r>
            <w:r w:rsidR="00423CD3" w:rsidRPr="00406B5C">
              <w:rPr>
                <w:bCs w:val="0"/>
                <w:sz w:val="22"/>
                <w:szCs w:val="22"/>
              </w:rPr>
              <w:t xml:space="preserve"> 023</w:t>
            </w:r>
          </w:p>
        </w:tc>
      </w:tr>
    </w:tbl>
    <w:p w:rsidR="00CF4BB2" w:rsidRPr="002111D1" w:rsidRDefault="00CF4BB2" w:rsidP="00CF4BB2">
      <w:pPr>
        <w:pStyle w:val="Titulek"/>
        <w:keepNext/>
      </w:pPr>
      <w:r w:rsidRPr="002111D1">
        <w:t xml:space="preserve">Tabulka č. </w:t>
      </w:r>
      <w:fldSimple w:instr=" SEQ Tabulka \* ARABIC ">
        <w:r w:rsidR="006076E7">
          <w:rPr>
            <w:noProof/>
          </w:rPr>
          <w:t>2</w:t>
        </w:r>
      </w:fldSimple>
      <w:r w:rsidRPr="002111D1">
        <w:t xml:space="preserve"> Struktura příjmů (v rámci PVS) pro rok 2021</w:t>
      </w:r>
    </w:p>
    <w:tbl>
      <w:tblPr>
        <w:tblStyle w:val="Svtlmkatabulky"/>
        <w:tblW w:w="932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1008"/>
        <w:gridCol w:w="1260"/>
        <w:gridCol w:w="7054"/>
      </w:tblGrid>
      <w:tr w:rsidR="00CF4BB2" w:rsidRPr="00576843" w:rsidTr="00CF4BB2">
        <w:trPr>
          <w:trHeight w:val="393"/>
        </w:trPr>
        <w:tc>
          <w:tcPr>
            <w:tcW w:w="1008"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CF4BB2" w:rsidRPr="002111D1" w:rsidRDefault="00CF4BB2" w:rsidP="00CF4BB2">
            <w:pPr>
              <w:spacing w:before="60"/>
              <w:rPr>
                <w:rFonts w:cs="Times New Roman"/>
                <w:b/>
                <w:szCs w:val="24"/>
              </w:rPr>
            </w:pPr>
            <w:r w:rsidRPr="002111D1">
              <w:rPr>
                <w:rFonts w:cs="Times New Roman"/>
                <w:b/>
                <w:szCs w:val="24"/>
              </w:rPr>
              <w:t>Blok</w:t>
            </w:r>
          </w:p>
        </w:tc>
        <w:tc>
          <w:tcPr>
            <w:tcW w:w="126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CF4BB2" w:rsidRPr="002111D1" w:rsidRDefault="00CF4BB2" w:rsidP="00CF4BB2">
            <w:pPr>
              <w:spacing w:before="60"/>
              <w:rPr>
                <w:rFonts w:cs="Times New Roman"/>
                <w:b/>
                <w:szCs w:val="24"/>
              </w:rPr>
            </w:pPr>
            <w:r w:rsidRPr="002111D1">
              <w:rPr>
                <w:rFonts w:cs="Times New Roman"/>
                <w:b/>
                <w:szCs w:val="24"/>
              </w:rPr>
              <w:t>Okruh</w:t>
            </w:r>
          </w:p>
        </w:tc>
        <w:tc>
          <w:tcPr>
            <w:tcW w:w="7054"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CF4BB2" w:rsidRPr="002111D1" w:rsidRDefault="00CF4BB2" w:rsidP="00CF4BB2">
            <w:pPr>
              <w:spacing w:before="60"/>
              <w:rPr>
                <w:rFonts w:cs="Times New Roman"/>
                <w:b/>
                <w:szCs w:val="24"/>
              </w:rPr>
            </w:pPr>
            <w:r w:rsidRPr="002111D1">
              <w:rPr>
                <w:rFonts w:cs="Times New Roman"/>
                <w:b/>
                <w:szCs w:val="24"/>
              </w:rPr>
              <w:t>Název</w:t>
            </w:r>
          </w:p>
        </w:tc>
      </w:tr>
      <w:tr w:rsidR="00CF4BB2" w:rsidRPr="00576843" w:rsidTr="00CF4BB2">
        <w:tc>
          <w:tcPr>
            <w:tcW w:w="1008" w:type="dxa"/>
            <w:vMerge w:val="restart"/>
            <w:tcBorders>
              <w:top w:val="single" w:sz="8" w:space="0" w:color="7F7F7F" w:themeColor="text1" w:themeTint="80"/>
            </w:tcBorders>
          </w:tcPr>
          <w:p w:rsidR="00CF4BB2" w:rsidRPr="00576843" w:rsidRDefault="00CF4BB2" w:rsidP="00CF4BB2">
            <w:pPr>
              <w:rPr>
                <w:rFonts w:cs="Times New Roman"/>
                <w:color w:val="FF0000"/>
                <w:szCs w:val="24"/>
              </w:rPr>
            </w:pPr>
            <w:r w:rsidRPr="002111D1">
              <w:rPr>
                <w:rFonts w:cs="Times New Roman"/>
                <w:szCs w:val="24"/>
              </w:rPr>
              <w:t>101</w:t>
            </w:r>
          </w:p>
        </w:tc>
        <w:tc>
          <w:tcPr>
            <w:tcW w:w="1260" w:type="dxa"/>
            <w:tcBorders>
              <w:top w:val="single" w:sz="8" w:space="0" w:color="7F7F7F" w:themeColor="text1" w:themeTint="80"/>
            </w:tcBorders>
          </w:tcPr>
          <w:p w:rsidR="00CF4BB2" w:rsidRPr="00576843" w:rsidRDefault="00CF4BB2" w:rsidP="00CF4BB2">
            <w:pPr>
              <w:rPr>
                <w:rFonts w:cs="Times New Roman"/>
                <w:color w:val="FF0000"/>
                <w:szCs w:val="24"/>
              </w:rPr>
            </w:pPr>
          </w:p>
        </w:tc>
        <w:tc>
          <w:tcPr>
            <w:tcW w:w="7054" w:type="dxa"/>
            <w:tcBorders>
              <w:top w:val="single" w:sz="8" w:space="0" w:color="7F7F7F" w:themeColor="text1" w:themeTint="80"/>
            </w:tcBorders>
          </w:tcPr>
          <w:p w:rsidR="00CF4BB2" w:rsidRPr="00CE6C9C" w:rsidRDefault="00CF4BB2" w:rsidP="00CF4BB2">
            <w:pPr>
              <w:rPr>
                <w:rFonts w:cs="Times New Roman"/>
                <w:b/>
                <w:color w:val="FF0000"/>
                <w:szCs w:val="24"/>
              </w:rPr>
            </w:pPr>
            <w:r w:rsidRPr="00CE6C9C">
              <w:rPr>
                <w:rFonts w:cs="Times New Roman"/>
                <w:b/>
                <w:szCs w:val="24"/>
              </w:rPr>
              <w:t>Daňové příjmy</w:t>
            </w:r>
          </w:p>
        </w:tc>
      </w:tr>
      <w:tr w:rsidR="00CF4BB2" w:rsidRPr="00576843" w:rsidTr="00CF4BB2">
        <w:tc>
          <w:tcPr>
            <w:tcW w:w="1008" w:type="dxa"/>
            <w:vMerge/>
            <w:tcBorders>
              <w:bottom w:val="single" w:sz="8" w:space="0" w:color="7F7F7F" w:themeColor="text1" w:themeTint="80"/>
            </w:tcBorders>
          </w:tcPr>
          <w:p w:rsidR="00CF4BB2" w:rsidRPr="00576843" w:rsidRDefault="00CF4BB2" w:rsidP="00CF4BB2">
            <w:pPr>
              <w:rPr>
                <w:rFonts w:cs="Times New Roman"/>
                <w:color w:val="FF0000"/>
                <w:szCs w:val="24"/>
              </w:rPr>
            </w:pPr>
          </w:p>
        </w:tc>
        <w:tc>
          <w:tcPr>
            <w:tcW w:w="1260" w:type="dxa"/>
            <w:tcBorders>
              <w:bottom w:val="single" w:sz="8" w:space="0" w:color="7F7F7F" w:themeColor="text1" w:themeTint="80"/>
            </w:tcBorders>
          </w:tcPr>
          <w:p w:rsidR="00CF4BB2" w:rsidRPr="002111D1" w:rsidRDefault="00CF4BB2" w:rsidP="00CF4BB2">
            <w:pPr>
              <w:rPr>
                <w:rFonts w:cs="Times New Roman"/>
                <w:szCs w:val="24"/>
              </w:rPr>
            </w:pPr>
            <w:r w:rsidRPr="002111D1">
              <w:rPr>
                <w:rFonts w:cs="Times New Roman"/>
                <w:szCs w:val="24"/>
              </w:rPr>
              <w:t>101001</w:t>
            </w:r>
          </w:p>
        </w:tc>
        <w:tc>
          <w:tcPr>
            <w:tcW w:w="7054" w:type="dxa"/>
            <w:tcBorders>
              <w:bottom w:val="single" w:sz="8" w:space="0" w:color="7F7F7F" w:themeColor="text1" w:themeTint="80"/>
            </w:tcBorders>
          </w:tcPr>
          <w:p w:rsidR="00CF4BB2" w:rsidRPr="002111D1" w:rsidRDefault="00CF4BB2" w:rsidP="00CF4BB2">
            <w:pPr>
              <w:rPr>
                <w:rFonts w:cs="Times New Roman"/>
                <w:szCs w:val="24"/>
              </w:rPr>
            </w:pPr>
            <w:r w:rsidRPr="002111D1">
              <w:rPr>
                <w:rFonts w:cs="Times New Roman"/>
                <w:szCs w:val="24"/>
              </w:rPr>
              <w:t>Daňové příjmy</w:t>
            </w:r>
          </w:p>
        </w:tc>
      </w:tr>
      <w:tr w:rsidR="00CF4BB2" w:rsidRPr="00576843" w:rsidTr="00CF4BB2">
        <w:tc>
          <w:tcPr>
            <w:tcW w:w="1008" w:type="dxa"/>
            <w:vMerge w:val="restart"/>
            <w:tcBorders>
              <w:top w:val="single" w:sz="8" w:space="0" w:color="7F7F7F" w:themeColor="text1" w:themeTint="80"/>
              <w:bottom w:val="single" w:sz="4" w:space="0" w:color="7F7F7F" w:themeColor="text1" w:themeTint="80"/>
            </w:tcBorders>
          </w:tcPr>
          <w:p w:rsidR="00CF4BB2" w:rsidRPr="00576843" w:rsidRDefault="00CF4BB2" w:rsidP="00CF4BB2">
            <w:pPr>
              <w:rPr>
                <w:rFonts w:cs="Times New Roman"/>
                <w:color w:val="FF0000"/>
                <w:szCs w:val="24"/>
              </w:rPr>
            </w:pPr>
            <w:r w:rsidRPr="002111D1">
              <w:rPr>
                <w:rFonts w:cs="Times New Roman"/>
                <w:szCs w:val="24"/>
              </w:rPr>
              <w:t>103</w:t>
            </w:r>
          </w:p>
        </w:tc>
        <w:tc>
          <w:tcPr>
            <w:tcW w:w="1260" w:type="dxa"/>
            <w:tcBorders>
              <w:top w:val="single" w:sz="8" w:space="0" w:color="7F7F7F" w:themeColor="text1" w:themeTint="80"/>
              <w:bottom w:val="single" w:sz="4" w:space="0" w:color="7F7F7F" w:themeColor="text1" w:themeTint="80"/>
            </w:tcBorders>
          </w:tcPr>
          <w:p w:rsidR="00CF4BB2" w:rsidRPr="00576843" w:rsidRDefault="00CF4BB2" w:rsidP="00CF4BB2">
            <w:pPr>
              <w:rPr>
                <w:rFonts w:cs="Times New Roman"/>
                <w:color w:val="FF0000"/>
                <w:szCs w:val="24"/>
              </w:rPr>
            </w:pPr>
          </w:p>
        </w:tc>
        <w:tc>
          <w:tcPr>
            <w:tcW w:w="7054" w:type="dxa"/>
            <w:tcBorders>
              <w:top w:val="single" w:sz="8" w:space="0" w:color="7F7F7F" w:themeColor="text1" w:themeTint="80"/>
              <w:bottom w:val="single" w:sz="4" w:space="0" w:color="7F7F7F" w:themeColor="text1" w:themeTint="80"/>
            </w:tcBorders>
          </w:tcPr>
          <w:p w:rsidR="00CF4BB2" w:rsidRPr="00CE6C9C" w:rsidRDefault="00CF4BB2" w:rsidP="00CF4BB2">
            <w:pPr>
              <w:rPr>
                <w:rFonts w:cs="Times New Roman"/>
                <w:b/>
                <w:color w:val="FF0000"/>
                <w:szCs w:val="24"/>
              </w:rPr>
            </w:pPr>
            <w:r w:rsidRPr="00CE6C9C">
              <w:rPr>
                <w:rFonts w:cs="Times New Roman"/>
                <w:b/>
                <w:szCs w:val="24"/>
              </w:rPr>
              <w:t>Nedaňové příjmy, kapitálové příjmy a přijaté transfery celkem</w:t>
            </w:r>
          </w:p>
        </w:tc>
      </w:tr>
      <w:tr w:rsidR="00CF4BB2" w:rsidRPr="00576843" w:rsidTr="00CF4BB2">
        <w:tc>
          <w:tcPr>
            <w:tcW w:w="1008" w:type="dxa"/>
            <w:vMerge/>
            <w:tcBorders>
              <w:top w:val="single" w:sz="4" w:space="0" w:color="7F7F7F" w:themeColor="text1" w:themeTint="80"/>
            </w:tcBorders>
          </w:tcPr>
          <w:p w:rsidR="00CF4BB2" w:rsidRPr="00576843" w:rsidRDefault="00CF4BB2" w:rsidP="00CF4BB2">
            <w:pPr>
              <w:rPr>
                <w:rFonts w:cs="Times New Roman"/>
                <w:color w:val="FF0000"/>
                <w:szCs w:val="24"/>
              </w:rPr>
            </w:pPr>
          </w:p>
        </w:tc>
        <w:tc>
          <w:tcPr>
            <w:tcW w:w="1260" w:type="dxa"/>
            <w:tcBorders>
              <w:top w:val="single" w:sz="4" w:space="0" w:color="7F7F7F" w:themeColor="text1" w:themeTint="80"/>
            </w:tcBorders>
          </w:tcPr>
          <w:p w:rsidR="00CF4BB2" w:rsidRPr="002111D1" w:rsidRDefault="00CF4BB2" w:rsidP="00CF4BB2">
            <w:pPr>
              <w:rPr>
                <w:rFonts w:cs="Times New Roman"/>
                <w:szCs w:val="24"/>
              </w:rPr>
            </w:pPr>
            <w:r w:rsidRPr="002111D1">
              <w:rPr>
                <w:rFonts w:cs="Times New Roman"/>
                <w:szCs w:val="24"/>
              </w:rPr>
              <w:t>103001</w:t>
            </w:r>
          </w:p>
        </w:tc>
        <w:tc>
          <w:tcPr>
            <w:tcW w:w="7054" w:type="dxa"/>
            <w:tcBorders>
              <w:top w:val="single" w:sz="4" w:space="0" w:color="7F7F7F" w:themeColor="text1" w:themeTint="80"/>
            </w:tcBorders>
          </w:tcPr>
          <w:p w:rsidR="00CF4BB2" w:rsidRPr="002111D1" w:rsidRDefault="00CF4BB2" w:rsidP="00CF4BB2">
            <w:pPr>
              <w:rPr>
                <w:rFonts w:cs="Times New Roman"/>
                <w:szCs w:val="24"/>
              </w:rPr>
            </w:pPr>
            <w:r w:rsidRPr="002111D1">
              <w:rPr>
                <w:rFonts w:cs="Times New Roman"/>
                <w:szCs w:val="24"/>
              </w:rPr>
              <w:t>Příjmy z rozpočtu Evropské unie bez SZP</w:t>
            </w:r>
          </w:p>
        </w:tc>
      </w:tr>
      <w:tr w:rsidR="00CF4BB2" w:rsidRPr="00576843" w:rsidTr="00CF4BB2">
        <w:trPr>
          <w:trHeight w:val="215"/>
        </w:trPr>
        <w:tc>
          <w:tcPr>
            <w:tcW w:w="1008" w:type="dxa"/>
            <w:vMerge/>
          </w:tcPr>
          <w:p w:rsidR="00CF4BB2" w:rsidRPr="00576843" w:rsidRDefault="00CF4BB2" w:rsidP="00CF4BB2">
            <w:pPr>
              <w:rPr>
                <w:rFonts w:cs="Times New Roman"/>
                <w:color w:val="FF0000"/>
                <w:szCs w:val="24"/>
              </w:rPr>
            </w:pPr>
          </w:p>
        </w:tc>
        <w:tc>
          <w:tcPr>
            <w:tcW w:w="1260" w:type="dxa"/>
          </w:tcPr>
          <w:p w:rsidR="00CF4BB2" w:rsidRPr="002111D1" w:rsidRDefault="00CF4BB2" w:rsidP="00CF4BB2">
            <w:pPr>
              <w:rPr>
                <w:rFonts w:cs="Times New Roman"/>
                <w:szCs w:val="24"/>
              </w:rPr>
            </w:pPr>
            <w:r w:rsidRPr="002111D1">
              <w:rPr>
                <w:rFonts w:cs="Times New Roman"/>
                <w:szCs w:val="24"/>
              </w:rPr>
              <w:t>103003</w:t>
            </w:r>
          </w:p>
        </w:tc>
        <w:tc>
          <w:tcPr>
            <w:tcW w:w="7054" w:type="dxa"/>
          </w:tcPr>
          <w:p w:rsidR="00CF4BB2" w:rsidRPr="002111D1" w:rsidRDefault="00CF4BB2" w:rsidP="00CF4BB2">
            <w:pPr>
              <w:rPr>
                <w:rFonts w:cs="Times New Roman"/>
                <w:szCs w:val="24"/>
              </w:rPr>
            </w:pPr>
            <w:r w:rsidRPr="002111D1">
              <w:rPr>
                <w:rFonts w:cs="Times New Roman"/>
                <w:szCs w:val="24"/>
              </w:rPr>
              <w:t>Příjmy z prostředků finančních mechanismů</w:t>
            </w:r>
          </w:p>
        </w:tc>
      </w:tr>
      <w:tr w:rsidR="00CF4BB2" w:rsidRPr="00576843" w:rsidTr="00CF4BB2">
        <w:tc>
          <w:tcPr>
            <w:tcW w:w="1008" w:type="dxa"/>
            <w:vMerge/>
          </w:tcPr>
          <w:p w:rsidR="00CF4BB2" w:rsidRPr="00576843" w:rsidRDefault="00CF4BB2" w:rsidP="00CF4BB2">
            <w:pPr>
              <w:rPr>
                <w:rFonts w:cs="Times New Roman"/>
                <w:color w:val="FF0000"/>
                <w:szCs w:val="24"/>
              </w:rPr>
            </w:pPr>
          </w:p>
        </w:tc>
        <w:tc>
          <w:tcPr>
            <w:tcW w:w="1260" w:type="dxa"/>
          </w:tcPr>
          <w:p w:rsidR="00CF4BB2" w:rsidRPr="002111D1" w:rsidRDefault="00CF4BB2" w:rsidP="00CF4BB2">
            <w:pPr>
              <w:rPr>
                <w:rFonts w:cs="Times New Roman"/>
                <w:b/>
                <w:szCs w:val="24"/>
              </w:rPr>
            </w:pPr>
            <w:r w:rsidRPr="002111D1">
              <w:rPr>
                <w:rFonts w:cs="Times New Roman"/>
                <w:szCs w:val="24"/>
              </w:rPr>
              <w:t>103004</w:t>
            </w:r>
          </w:p>
        </w:tc>
        <w:tc>
          <w:tcPr>
            <w:tcW w:w="7054" w:type="dxa"/>
          </w:tcPr>
          <w:p w:rsidR="00CF4BB2" w:rsidRPr="002111D1" w:rsidRDefault="00CF4BB2" w:rsidP="00CF4BB2">
            <w:pPr>
              <w:rPr>
                <w:rFonts w:cs="Times New Roman"/>
                <w:szCs w:val="24"/>
              </w:rPr>
            </w:pPr>
            <w:r w:rsidRPr="002111D1">
              <w:rPr>
                <w:rFonts w:cs="Times New Roman"/>
                <w:szCs w:val="24"/>
              </w:rPr>
              <w:t>Ostatní nedaňové příjmy, kapitálové příjmy a přijaté transfery celkem</w:t>
            </w:r>
          </w:p>
        </w:tc>
      </w:tr>
    </w:tbl>
    <w:p w:rsidR="00CF4BB2" w:rsidRPr="002111D1" w:rsidRDefault="00CF4BB2" w:rsidP="00CF4BB2">
      <w:pPr>
        <w:pStyle w:val="Styl1"/>
      </w:pPr>
      <w:r w:rsidRPr="00365630">
        <w:t>V rámci okruhu „Příjmy z prostředků finančních mechanismů“ nejsou pro rok 2021 rozpočtovány příjmy.</w:t>
      </w:r>
    </w:p>
    <w:p w:rsidR="00CF4BB2" w:rsidRPr="007F238E" w:rsidRDefault="00CF4BB2" w:rsidP="00CF4BB2">
      <w:pPr>
        <w:pStyle w:val="Nadpis2"/>
        <w:numPr>
          <w:ilvl w:val="1"/>
          <w:numId w:val="7"/>
        </w:numPr>
        <w:tabs>
          <w:tab w:val="clear" w:pos="576"/>
          <w:tab w:val="left" w:pos="1985"/>
        </w:tabs>
        <w:spacing w:before="120"/>
        <w:ind w:left="567" w:hanging="567"/>
        <w:rPr>
          <w:i/>
        </w:rPr>
      </w:pPr>
      <w:bookmarkStart w:id="7" w:name="_Toc274061123"/>
      <w:bookmarkStart w:id="8" w:name="_Toc462314384"/>
      <w:bookmarkStart w:id="9" w:name="_Toc49761894"/>
      <w:bookmarkStart w:id="10" w:name="_Toc53750561"/>
      <w:r w:rsidRPr="007F238E">
        <w:t>Specifické ukazatele – příjmy</w:t>
      </w:r>
      <w:bookmarkEnd w:id="7"/>
      <w:bookmarkEnd w:id="8"/>
      <w:bookmarkEnd w:id="9"/>
      <w:bookmarkEnd w:id="10"/>
    </w:p>
    <w:p w:rsidR="00CF4BB2" w:rsidRPr="007F238E" w:rsidRDefault="00CF4BB2" w:rsidP="00CF4BB2">
      <w:pPr>
        <w:pStyle w:val="Titulek"/>
        <w:keepNext/>
      </w:pPr>
      <w:r w:rsidRPr="007F238E">
        <w:t xml:space="preserve">Tabulka č. </w:t>
      </w:r>
      <w:fldSimple w:instr=" SEQ Tabulka \* ARABIC ">
        <w:r w:rsidR="006076E7">
          <w:rPr>
            <w:noProof/>
          </w:rPr>
          <w:t>3</w:t>
        </w:r>
      </w:fldSimple>
      <w:r w:rsidRPr="007F238E">
        <w:t xml:space="preserve"> Specifické ukazatele – příjmy (v tis. Kč)</w:t>
      </w:r>
    </w:p>
    <w:tbl>
      <w:tblPr>
        <w:tblStyle w:val="Svtltabulkasmkou1"/>
        <w:tblW w:w="9288"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7488"/>
        <w:gridCol w:w="1800"/>
      </w:tblGrid>
      <w:tr w:rsidR="00CF4BB2" w:rsidRPr="00576843" w:rsidTr="00CF4B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88" w:type="dxa"/>
            <w:tcBorders>
              <w:bottom w:val="single" w:sz="8" w:space="0" w:color="7F7F7F" w:themeColor="text1" w:themeTint="80"/>
            </w:tcBorders>
          </w:tcPr>
          <w:p w:rsidR="00CF4BB2" w:rsidRPr="007F238E" w:rsidRDefault="00CF4BB2" w:rsidP="00CF4BB2">
            <w:pPr>
              <w:numPr>
                <w:ilvl w:val="0"/>
                <w:numId w:val="6"/>
              </w:numPr>
              <w:tabs>
                <w:tab w:val="num" w:pos="360"/>
              </w:tabs>
              <w:spacing w:before="120"/>
              <w:ind w:left="357" w:hanging="357"/>
              <w:rPr>
                <w:rFonts w:cs="Times New Roman"/>
                <w:b w:val="0"/>
                <w:szCs w:val="24"/>
              </w:rPr>
            </w:pPr>
            <w:r w:rsidRPr="007F238E">
              <w:rPr>
                <w:rFonts w:cs="Times New Roman"/>
                <w:szCs w:val="24"/>
              </w:rPr>
              <w:t>Daňové příjmy</w:t>
            </w:r>
          </w:p>
        </w:tc>
        <w:tc>
          <w:tcPr>
            <w:tcW w:w="1800" w:type="dxa"/>
            <w:tcBorders>
              <w:bottom w:val="single" w:sz="8" w:space="0" w:color="7F7F7F" w:themeColor="text1" w:themeTint="80"/>
            </w:tcBorders>
          </w:tcPr>
          <w:p w:rsidR="00CF4BB2" w:rsidRPr="007F238E" w:rsidRDefault="00CF4BB2" w:rsidP="00CF4BB2">
            <w:pPr>
              <w:pStyle w:val="Nvod"/>
              <w:keepNext/>
              <w:tabs>
                <w:tab w:val="left" w:pos="1577"/>
              </w:tabs>
              <w:spacing w:before="160"/>
              <w:ind w:left="0" w:firstLine="0"/>
              <w:jc w:val="right"/>
              <w:cnfStyle w:val="100000000000" w:firstRow="1" w:lastRow="0" w:firstColumn="0" w:lastColumn="0" w:oddVBand="0" w:evenVBand="0" w:oddHBand="0" w:evenHBand="0" w:firstRowFirstColumn="0" w:firstRowLastColumn="0" w:lastRowFirstColumn="0" w:lastRowLastColumn="0"/>
              <w:rPr>
                <w:b w:val="0"/>
                <w:szCs w:val="24"/>
              </w:rPr>
            </w:pPr>
            <w:r w:rsidRPr="007F238E">
              <w:rPr>
                <w:szCs w:val="24"/>
              </w:rPr>
              <w:t xml:space="preserve">185 000     </w:t>
            </w:r>
          </w:p>
        </w:tc>
      </w:tr>
      <w:tr w:rsidR="00CF4BB2" w:rsidRPr="00576843" w:rsidTr="00CF4BB2">
        <w:tc>
          <w:tcPr>
            <w:cnfStyle w:val="001000000000" w:firstRow="0" w:lastRow="0" w:firstColumn="1" w:lastColumn="0" w:oddVBand="0" w:evenVBand="0" w:oddHBand="0" w:evenHBand="0" w:firstRowFirstColumn="0" w:firstRowLastColumn="0" w:lastRowFirstColumn="0" w:lastRowLastColumn="0"/>
            <w:tcW w:w="7488" w:type="dxa"/>
            <w:tcBorders>
              <w:top w:val="single" w:sz="8" w:space="0" w:color="7F7F7F" w:themeColor="text1" w:themeTint="80"/>
              <w:bottom w:val="nil"/>
            </w:tcBorders>
          </w:tcPr>
          <w:p w:rsidR="00CF4BB2" w:rsidRPr="007F238E" w:rsidRDefault="00CF4BB2" w:rsidP="00CF4BB2">
            <w:pPr>
              <w:numPr>
                <w:ilvl w:val="0"/>
                <w:numId w:val="6"/>
              </w:numPr>
              <w:tabs>
                <w:tab w:val="num" w:pos="360"/>
              </w:tabs>
              <w:spacing w:before="120"/>
              <w:ind w:left="357" w:hanging="357"/>
              <w:rPr>
                <w:rFonts w:cs="Times New Roman"/>
                <w:b w:val="0"/>
                <w:szCs w:val="24"/>
              </w:rPr>
            </w:pPr>
            <w:r w:rsidRPr="007F238E">
              <w:rPr>
                <w:rFonts w:cs="Times New Roman"/>
                <w:szCs w:val="24"/>
              </w:rPr>
              <w:t xml:space="preserve">Nedaňové příjmy, kapitálové příjmy a přijaté transfery celkem </w:t>
            </w:r>
          </w:p>
        </w:tc>
        <w:tc>
          <w:tcPr>
            <w:tcW w:w="1800" w:type="dxa"/>
            <w:tcBorders>
              <w:top w:val="single" w:sz="8" w:space="0" w:color="7F7F7F" w:themeColor="text1" w:themeTint="80"/>
              <w:bottom w:val="nil"/>
            </w:tcBorders>
          </w:tcPr>
          <w:p w:rsidR="00CF4BB2" w:rsidRPr="00406B5C" w:rsidRDefault="00792CE1" w:rsidP="00CF4BB2">
            <w:pPr>
              <w:pStyle w:val="Nvod"/>
              <w:keepNext/>
              <w:tabs>
                <w:tab w:val="left" w:pos="1577"/>
              </w:tabs>
              <w:spacing w:before="160"/>
              <w:ind w:left="0" w:firstLine="0"/>
              <w:jc w:val="right"/>
              <w:cnfStyle w:val="000000000000" w:firstRow="0" w:lastRow="0" w:firstColumn="0" w:lastColumn="0" w:oddVBand="0" w:evenVBand="0" w:oddHBand="0" w:evenHBand="0" w:firstRowFirstColumn="0" w:firstRowLastColumn="0" w:lastRowFirstColumn="0" w:lastRowLastColumn="0"/>
              <w:rPr>
                <w:b/>
                <w:szCs w:val="24"/>
              </w:rPr>
            </w:pPr>
            <w:r w:rsidRPr="00406B5C">
              <w:rPr>
                <w:b/>
                <w:szCs w:val="24"/>
              </w:rPr>
              <w:t>39 742</w:t>
            </w:r>
            <w:r w:rsidR="00CF4BB2" w:rsidRPr="00406B5C">
              <w:rPr>
                <w:b/>
                <w:szCs w:val="24"/>
              </w:rPr>
              <w:t xml:space="preserve"> 023</w:t>
            </w:r>
          </w:p>
        </w:tc>
      </w:tr>
      <w:tr w:rsidR="00CF4BB2" w:rsidRPr="00576843" w:rsidTr="00CF4BB2">
        <w:tc>
          <w:tcPr>
            <w:cnfStyle w:val="001000000000" w:firstRow="0" w:lastRow="0" w:firstColumn="1" w:lastColumn="0" w:oddVBand="0" w:evenVBand="0" w:oddHBand="0" w:evenHBand="0" w:firstRowFirstColumn="0" w:firstRowLastColumn="0" w:lastRowFirstColumn="0" w:lastRowLastColumn="0"/>
            <w:tcW w:w="7488" w:type="dxa"/>
            <w:tcBorders>
              <w:top w:val="nil"/>
              <w:bottom w:val="nil"/>
            </w:tcBorders>
          </w:tcPr>
          <w:p w:rsidR="00CF4BB2" w:rsidRPr="007F238E" w:rsidRDefault="00CF4BB2" w:rsidP="00CF4BB2">
            <w:pPr>
              <w:rPr>
                <w:rFonts w:cs="Times New Roman"/>
                <w:b w:val="0"/>
                <w:szCs w:val="24"/>
              </w:rPr>
            </w:pPr>
            <w:r w:rsidRPr="00576843">
              <w:rPr>
                <w:rFonts w:cs="Times New Roman"/>
                <w:b w:val="0"/>
                <w:color w:val="FF0000"/>
                <w:szCs w:val="24"/>
              </w:rPr>
              <w:t xml:space="preserve">      </w:t>
            </w:r>
            <w:r w:rsidRPr="007F238E">
              <w:rPr>
                <w:rFonts w:cs="Times New Roman"/>
                <w:b w:val="0"/>
                <w:szCs w:val="24"/>
              </w:rPr>
              <w:t>v tom: příjmy z rozpočtu Evropské unie bez společné zemědělské</w:t>
            </w:r>
          </w:p>
          <w:p w:rsidR="00CF4BB2" w:rsidRPr="00576843" w:rsidRDefault="00CF4BB2" w:rsidP="00CF4BB2">
            <w:pPr>
              <w:rPr>
                <w:rFonts w:cs="Times New Roman"/>
                <w:b w:val="0"/>
                <w:color w:val="FF0000"/>
                <w:szCs w:val="24"/>
              </w:rPr>
            </w:pPr>
            <w:r w:rsidRPr="007F238E">
              <w:rPr>
                <w:rFonts w:cs="Times New Roman"/>
                <w:b w:val="0"/>
                <w:szCs w:val="24"/>
              </w:rPr>
              <w:t xml:space="preserve">                 politiky celkem</w:t>
            </w:r>
          </w:p>
        </w:tc>
        <w:tc>
          <w:tcPr>
            <w:tcW w:w="1800" w:type="dxa"/>
            <w:tcBorders>
              <w:top w:val="nil"/>
              <w:bottom w:val="nil"/>
            </w:tcBorders>
          </w:tcPr>
          <w:p w:rsidR="00CF4BB2" w:rsidRPr="00406B5C" w:rsidRDefault="00792CE1" w:rsidP="00CF4BB2">
            <w:pPr>
              <w:pStyle w:val="Nvod"/>
              <w:keepNext/>
              <w:tabs>
                <w:tab w:val="left" w:pos="1577"/>
              </w:tabs>
              <w:spacing w:before="160"/>
              <w:ind w:left="0" w:firstLine="12"/>
              <w:jc w:val="right"/>
              <w:cnfStyle w:val="000000000000" w:firstRow="0" w:lastRow="0" w:firstColumn="0" w:lastColumn="0" w:oddVBand="0" w:evenVBand="0" w:oddHBand="0" w:evenHBand="0" w:firstRowFirstColumn="0" w:firstRowLastColumn="0" w:lastRowFirstColumn="0" w:lastRowLastColumn="0"/>
              <w:rPr>
                <w:szCs w:val="24"/>
              </w:rPr>
            </w:pPr>
            <w:r w:rsidRPr="00406B5C">
              <w:rPr>
                <w:szCs w:val="24"/>
              </w:rPr>
              <w:t xml:space="preserve">39 </w:t>
            </w:r>
            <w:r w:rsidR="00CF4BB2" w:rsidRPr="00406B5C">
              <w:rPr>
                <w:szCs w:val="24"/>
              </w:rPr>
              <w:t>703 023</w:t>
            </w:r>
          </w:p>
        </w:tc>
      </w:tr>
      <w:tr w:rsidR="00CF4BB2" w:rsidRPr="00576843" w:rsidTr="00CF4BB2">
        <w:tc>
          <w:tcPr>
            <w:cnfStyle w:val="001000000000" w:firstRow="0" w:lastRow="0" w:firstColumn="1" w:lastColumn="0" w:oddVBand="0" w:evenVBand="0" w:oddHBand="0" w:evenHBand="0" w:firstRowFirstColumn="0" w:firstRowLastColumn="0" w:lastRowFirstColumn="0" w:lastRowLastColumn="0"/>
            <w:tcW w:w="7488" w:type="dxa"/>
            <w:tcBorders>
              <w:top w:val="nil"/>
              <w:bottom w:val="single" w:sz="8" w:space="0" w:color="7F7F7F" w:themeColor="text1" w:themeTint="80"/>
            </w:tcBorders>
          </w:tcPr>
          <w:p w:rsidR="00CF4BB2" w:rsidRPr="00576843" w:rsidRDefault="00CF4BB2" w:rsidP="00CF4BB2">
            <w:pPr>
              <w:ind w:left="1014" w:hanging="1014"/>
              <w:rPr>
                <w:rFonts w:cs="Times New Roman"/>
                <w:b w:val="0"/>
                <w:color w:val="FF0000"/>
                <w:szCs w:val="24"/>
              </w:rPr>
            </w:pPr>
            <w:r w:rsidRPr="00576843">
              <w:rPr>
                <w:rFonts w:cs="Times New Roman"/>
                <w:b w:val="0"/>
                <w:color w:val="FF0000"/>
                <w:szCs w:val="24"/>
              </w:rPr>
              <w:t xml:space="preserve">                 </w:t>
            </w:r>
            <w:r w:rsidRPr="007F238E">
              <w:rPr>
                <w:rFonts w:cs="Times New Roman"/>
                <w:b w:val="0"/>
                <w:szCs w:val="24"/>
              </w:rPr>
              <w:t>ostatní nedaňové příjmy, kapitálové příjmy a přijaté transfery celkem</w:t>
            </w:r>
          </w:p>
        </w:tc>
        <w:tc>
          <w:tcPr>
            <w:tcW w:w="1800" w:type="dxa"/>
            <w:tcBorders>
              <w:top w:val="nil"/>
              <w:bottom w:val="single" w:sz="8" w:space="0" w:color="7F7F7F" w:themeColor="text1" w:themeTint="80"/>
            </w:tcBorders>
          </w:tcPr>
          <w:p w:rsidR="00CF4BB2" w:rsidRPr="00406B5C" w:rsidRDefault="00792CE1" w:rsidP="00CF4BB2">
            <w:pPr>
              <w:pStyle w:val="Nvod"/>
              <w:keepNext/>
              <w:tabs>
                <w:tab w:val="left" w:pos="1577"/>
              </w:tabs>
              <w:spacing w:before="160"/>
              <w:ind w:left="0" w:firstLine="0"/>
              <w:jc w:val="right"/>
              <w:cnfStyle w:val="000000000000" w:firstRow="0" w:lastRow="0" w:firstColumn="0" w:lastColumn="0" w:oddVBand="0" w:evenVBand="0" w:oddHBand="0" w:evenHBand="0" w:firstRowFirstColumn="0" w:firstRowLastColumn="0" w:lastRowFirstColumn="0" w:lastRowLastColumn="0"/>
              <w:rPr>
                <w:szCs w:val="24"/>
              </w:rPr>
            </w:pPr>
            <w:r w:rsidRPr="00406B5C">
              <w:rPr>
                <w:szCs w:val="24"/>
              </w:rPr>
              <w:t>39</w:t>
            </w:r>
            <w:r w:rsidR="00CF4BB2" w:rsidRPr="00406B5C">
              <w:rPr>
                <w:szCs w:val="24"/>
              </w:rPr>
              <w:t xml:space="preserve"> 000</w:t>
            </w:r>
          </w:p>
        </w:tc>
      </w:tr>
    </w:tbl>
    <w:p w:rsidR="00CF4BB2" w:rsidRPr="007F238E" w:rsidRDefault="00CF4BB2" w:rsidP="00CF4BB2">
      <w:pPr>
        <w:pStyle w:val="Nadpis2"/>
        <w:tabs>
          <w:tab w:val="clear" w:pos="576"/>
          <w:tab w:val="num" w:pos="2561"/>
        </w:tabs>
        <w:rPr>
          <w:i/>
        </w:rPr>
      </w:pPr>
      <w:bookmarkStart w:id="11" w:name="_Toc274061124"/>
      <w:bookmarkStart w:id="12" w:name="_Toc462314385"/>
      <w:bookmarkStart w:id="13" w:name="_Toc49761895"/>
      <w:bookmarkStart w:id="14" w:name="_Toc53750562"/>
      <w:r w:rsidRPr="007F238E">
        <w:t>Druhové členění příjmů</w:t>
      </w:r>
      <w:bookmarkEnd w:id="11"/>
      <w:bookmarkEnd w:id="12"/>
      <w:bookmarkEnd w:id="13"/>
      <w:bookmarkEnd w:id="14"/>
    </w:p>
    <w:p w:rsidR="00CF4BB2" w:rsidRPr="007F238E" w:rsidRDefault="00CF4BB2" w:rsidP="00CF4BB2">
      <w:pPr>
        <w:pStyle w:val="Styl1"/>
      </w:pPr>
      <w:r w:rsidRPr="007F238E">
        <w:t>Příjmy celkem zahrnují v základním druhovém rozdělení daňové příjmy, nedaňové příjmy, neinvestiční a investiční přijaté transfery v členění:</w:t>
      </w:r>
    </w:p>
    <w:tbl>
      <w:tblPr>
        <w:tblW w:w="9250" w:type="dxa"/>
        <w:tblCellMar>
          <w:left w:w="70" w:type="dxa"/>
          <w:right w:w="70" w:type="dxa"/>
        </w:tblCellMar>
        <w:tblLook w:val="0000" w:firstRow="0" w:lastRow="0" w:firstColumn="0" w:lastColumn="0" w:noHBand="0" w:noVBand="0"/>
      </w:tblPr>
      <w:tblGrid>
        <w:gridCol w:w="7270"/>
        <w:gridCol w:w="1980"/>
      </w:tblGrid>
      <w:tr w:rsidR="00CF4BB2" w:rsidRPr="00BF529A" w:rsidTr="00CF4BB2">
        <w:tc>
          <w:tcPr>
            <w:tcW w:w="7270" w:type="dxa"/>
          </w:tcPr>
          <w:p w:rsidR="00CF4BB2" w:rsidRPr="00BF529A" w:rsidRDefault="00CF4BB2" w:rsidP="00CF4BB2">
            <w:pPr>
              <w:numPr>
                <w:ilvl w:val="0"/>
                <w:numId w:val="4"/>
              </w:numPr>
              <w:tabs>
                <w:tab w:val="num" w:pos="360"/>
              </w:tabs>
              <w:spacing w:before="120" w:line="240" w:lineRule="auto"/>
              <w:ind w:left="357" w:hanging="357"/>
              <w:rPr>
                <w:rFonts w:cs="Times New Roman"/>
                <w:b/>
                <w:szCs w:val="24"/>
              </w:rPr>
            </w:pPr>
            <w:r w:rsidRPr="00BF529A">
              <w:rPr>
                <w:rFonts w:cs="Times New Roman"/>
                <w:b/>
                <w:szCs w:val="24"/>
              </w:rPr>
              <w:t>Daně a poplatky z vybraných činností a služeb</w:t>
            </w:r>
          </w:p>
        </w:tc>
        <w:tc>
          <w:tcPr>
            <w:tcW w:w="1980" w:type="dxa"/>
          </w:tcPr>
          <w:p w:rsidR="00CF4BB2" w:rsidRPr="00BF529A" w:rsidRDefault="00CF4BB2" w:rsidP="00CF4BB2">
            <w:pPr>
              <w:pStyle w:val="xl54"/>
              <w:pBdr>
                <w:left w:val="none" w:sz="0" w:space="0" w:color="auto"/>
                <w:right w:val="none" w:sz="0" w:space="0" w:color="auto"/>
              </w:pBdr>
              <w:spacing w:before="120" w:beforeAutospacing="0" w:after="0" w:afterAutospacing="0"/>
              <w:rPr>
                <w:b/>
              </w:rPr>
            </w:pPr>
            <w:r w:rsidRPr="00BF529A">
              <w:rPr>
                <w:b/>
              </w:rPr>
              <w:t>185 000 tis. Kč</w:t>
            </w:r>
          </w:p>
        </w:tc>
      </w:tr>
      <w:tr w:rsidR="00CF4BB2" w:rsidRPr="00BF529A" w:rsidTr="00CF4BB2">
        <w:tc>
          <w:tcPr>
            <w:tcW w:w="7270" w:type="dxa"/>
          </w:tcPr>
          <w:p w:rsidR="00CF4BB2" w:rsidRPr="00BF529A" w:rsidRDefault="00CF4BB2" w:rsidP="00CF4BB2">
            <w:pPr>
              <w:rPr>
                <w:rFonts w:cs="Times New Roman"/>
                <w:szCs w:val="24"/>
              </w:rPr>
            </w:pPr>
            <w:r w:rsidRPr="00BF529A">
              <w:rPr>
                <w:rFonts w:cs="Times New Roman"/>
                <w:szCs w:val="24"/>
              </w:rPr>
              <w:t xml:space="preserve">      v tom:</w:t>
            </w:r>
          </w:p>
        </w:tc>
        <w:tc>
          <w:tcPr>
            <w:tcW w:w="1980" w:type="dxa"/>
          </w:tcPr>
          <w:p w:rsidR="00CF4BB2" w:rsidRPr="00BF529A" w:rsidRDefault="00CF4BB2" w:rsidP="00CF4BB2">
            <w:pPr>
              <w:pStyle w:val="xl54"/>
              <w:pBdr>
                <w:left w:val="none" w:sz="0" w:space="0" w:color="auto"/>
                <w:right w:val="none" w:sz="0" w:space="0" w:color="auto"/>
              </w:pBdr>
              <w:spacing w:before="0" w:beforeAutospacing="0" w:after="0" w:afterAutospacing="0"/>
              <w:rPr>
                <w:b/>
              </w:rPr>
            </w:pPr>
          </w:p>
        </w:tc>
      </w:tr>
      <w:tr w:rsidR="00CF4BB2" w:rsidRPr="00BF529A" w:rsidTr="00CF4BB2">
        <w:tc>
          <w:tcPr>
            <w:tcW w:w="7270" w:type="dxa"/>
          </w:tcPr>
          <w:p w:rsidR="00CF4BB2" w:rsidRPr="00BF529A" w:rsidRDefault="00CF4BB2" w:rsidP="00CF4BB2">
            <w:pPr>
              <w:rPr>
                <w:rFonts w:cs="Times New Roman"/>
                <w:szCs w:val="24"/>
              </w:rPr>
            </w:pPr>
            <w:r w:rsidRPr="00BF529A">
              <w:rPr>
                <w:rFonts w:cs="Times New Roman"/>
                <w:szCs w:val="24"/>
              </w:rPr>
              <w:t xml:space="preserve">      - Správní poplatky</w:t>
            </w:r>
          </w:p>
        </w:tc>
        <w:tc>
          <w:tcPr>
            <w:tcW w:w="1980" w:type="dxa"/>
          </w:tcPr>
          <w:p w:rsidR="00CF4BB2" w:rsidRPr="00BF529A" w:rsidRDefault="00CF4BB2" w:rsidP="00CF4BB2">
            <w:pPr>
              <w:pStyle w:val="xl54"/>
              <w:pBdr>
                <w:left w:val="none" w:sz="0" w:space="0" w:color="auto"/>
                <w:right w:val="none" w:sz="0" w:space="0" w:color="auto"/>
              </w:pBdr>
              <w:spacing w:before="0" w:beforeAutospacing="0" w:after="0" w:afterAutospacing="0"/>
            </w:pPr>
            <w:r w:rsidRPr="00BF529A">
              <w:t>185 000 tis. Kč</w:t>
            </w:r>
          </w:p>
        </w:tc>
      </w:tr>
      <w:tr w:rsidR="00CF4BB2" w:rsidRPr="00576843" w:rsidTr="00CF4BB2">
        <w:trPr>
          <w:trHeight w:val="600"/>
        </w:trPr>
        <w:tc>
          <w:tcPr>
            <w:tcW w:w="7270" w:type="dxa"/>
            <w:vAlign w:val="center"/>
          </w:tcPr>
          <w:p w:rsidR="00CF4BB2" w:rsidRPr="00576843" w:rsidRDefault="00CF4BB2" w:rsidP="00CF4BB2">
            <w:pPr>
              <w:numPr>
                <w:ilvl w:val="0"/>
                <w:numId w:val="4"/>
              </w:numPr>
              <w:tabs>
                <w:tab w:val="num" w:pos="360"/>
              </w:tabs>
              <w:spacing w:before="120" w:line="240" w:lineRule="auto"/>
              <w:ind w:left="357" w:hanging="357"/>
              <w:jc w:val="left"/>
              <w:rPr>
                <w:rFonts w:cs="Times New Roman"/>
                <w:b/>
                <w:color w:val="FF0000"/>
                <w:szCs w:val="24"/>
              </w:rPr>
            </w:pPr>
            <w:r w:rsidRPr="004C06EF">
              <w:rPr>
                <w:rFonts w:cs="Times New Roman"/>
                <w:b/>
                <w:szCs w:val="24"/>
              </w:rPr>
              <w:t>Příjmy z vlastní činnosti a odvody přebytků organizací s přímým vztahem</w:t>
            </w:r>
          </w:p>
        </w:tc>
        <w:tc>
          <w:tcPr>
            <w:tcW w:w="1980" w:type="dxa"/>
          </w:tcPr>
          <w:p w:rsidR="00CF4BB2" w:rsidRPr="00406B5C" w:rsidRDefault="00F629D9" w:rsidP="00CF4BB2">
            <w:pPr>
              <w:pStyle w:val="xl54"/>
              <w:pBdr>
                <w:left w:val="none" w:sz="0" w:space="0" w:color="auto"/>
                <w:right w:val="none" w:sz="0" w:space="0" w:color="auto"/>
              </w:pBdr>
              <w:spacing w:before="120" w:beforeAutospacing="0" w:after="0" w:afterAutospacing="0"/>
              <w:rPr>
                <w:b/>
              </w:rPr>
            </w:pPr>
            <w:r w:rsidRPr="00406B5C">
              <w:rPr>
                <w:b/>
              </w:rPr>
              <w:t>37</w:t>
            </w:r>
            <w:r w:rsidR="00CF4BB2" w:rsidRPr="00406B5C">
              <w:rPr>
                <w:b/>
              </w:rPr>
              <w:t xml:space="preserve"> 932 tis. Kč</w:t>
            </w:r>
          </w:p>
        </w:tc>
      </w:tr>
      <w:tr w:rsidR="00CF4BB2" w:rsidRPr="00576843" w:rsidTr="00CF4BB2">
        <w:tc>
          <w:tcPr>
            <w:tcW w:w="7270" w:type="dxa"/>
          </w:tcPr>
          <w:p w:rsidR="00CF4BB2" w:rsidRPr="00576843" w:rsidRDefault="00CF4BB2" w:rsidP="00CF4BB2">
            <w:pPr>
              <w:rPr>
                <w:rFonts w:cs="Times New Roman"/>
                <w:color w:val="FF0000"/>
                <w:szCs w:val="24"/>
              </w:rPr>
            </w:pPr>
            <w:r w:rsidRPr="004C06EF">
              <w:rPr>
                <w:rFonts w:cs="Times New Roman"/>
                <w:szCs w:val="24"/>
              </w:rPr>
              <w:t xml:space="preserve">      v tom:</w:t>
            </w:r>
          </w:p>
        </w:tc>
        <w:tc>
          <w:tcPr>
            <w:tcW w:w="1980" w:type="dxa"/>
          </w:tcPr>
          <w:p w:rsidR="00CF4BB2" w:rsidRPr="00406B5C" w:rsidRDefault="00CF4BB2" w:rsidP="00CF4BB2">
            <w:pPr>
              <w:jc w:val="right"/>
              <w:rPr>
                <w:rFonts w:cs="Times New Roman"/>
                <w:szCs w:val="24"/>
              </w:rPr>
            </w:pPr>
          </w:p>
        </w:tc>
      </w:tr>
      <w:tr w:rsidR="00CF4BB2" w:rsidRPr="00576843" w:rsidTr="00CF4BB2">
        <w:tc>
          <w:tcPr>
            <w:tcW w:w="7270" w:type="dxa"/>
          </w:tcPr>
          <w:p w:rsidR="00CF4BB2" w:rsidRPr="00576843" w:rsidRDefault="00CF4BB2" w:rsidP="00CF4BB2">
            <w:pPr>
              <w:rPr>
                <w:rFonts w:cs="Times New Roman"/>
                <w:color w:val="FF0000"/>
                <w:szCs w:val="24"/>
              </w:rPr>
            </w:pPr>
            <w:r w:rsidRPr="0045769A">
              <w:rPr>
                <w:rFonts w:cs="Times New Roman"/>
                <w:szCs w:val="24"/>
              </w:rPr>
              <w:t xml:space="preserve">      - Příjmy z vlastní činnosti</w:t>
            </w:r>
          </w:p>
        </w:tc>
        <w:tc>
          <w:tcPr>
            <w:tcW w:w="1980" w:type="dxa"/>
          </w:tcPr>
          <w:p w:rsidR="00CF4BB2" w:rsidRPr="00406B5C" w:rsidRDefault="00F629D9" w:rsidP="00CF4BB2">
            <w:pPr>
              <w:jc w:val="right"/>
              <w:rPr>
                <w:rFonts w:cs="Times New Roman"/>
                <w:szCs w:val="24"/>
              </w:rPr>
            </w:pPr>
            <w:r w:rsidRPr="00406B5C">
              <w:rPr>
                <w:rFonts w:cs="Times New Roman"/>
                <w:szCs w:val="24"/>
              </w:rPr>
              <w:t>2</w:t>
            </w:r>
            <w:r w:rsidR="00CF4BB2" w:rsidRPr="00406B5C">
              <w:rPr>
                <w:rFonts w:cs="Times New Roman"/>
                <w:szCs w:val="24"/>
              </w:rPr>
              <w:t xml:space="preserve"> 800 tis. Kč</w:t>
            </w:r>
          </w:p>
        </w:tc>
      </w:tr>
      <w:tr w:rsidR="00CF4BB2" w:rsidRPr="00576843" w:rsidTr="00CF4BB2">
        <w:tc>
          <w:tcPr>
            <w:tcW w:w="7270" w:type="dxa"/>
          </w:tcPr>
          <w:p w:rsidR="00CF4BB2" w:rsidRPr="004C06EF" w:rsidRDefault="00CF4BB2" w:rsidP="00CF4BB2">
            <w:pPr>
              <w:rPr>
                <w:rFonts w:cs="Times New Roman"/>
                <w:szCs w:val="24"/>
              </w:rPr>
            </w:pPr>
            <w:r w:rsidRPr="004C06EF">
              <w:rPr>
                <w:rFonts w:cs="Times New Roman"/>
                <w:szCs w:val="24"/>
              </w:rPr>
              <w:t xml:space="preserve">      - Příjmy z pronájmu majetku</w:t>
            </w:r>
          </w:p>
        </w:tc>
        <w:tc>
          <w:tcPr>
            <w:tcW w:w="1980" w:type="dxa"/>
          </w:tcPr>
          <w:p w:rsidR="00CF4BB2" w:rsidRPr="004C06EF" w:rsidRDefault="00CF4BB2" w:rsidP="00CF4BB2">
            <w:pPr>
              <w:jc w:val="right"/>
              <w:rPr>
                <w:rFonts w:cs="Times New Roman"/>
                <w:szCs w:val="24"/>
              </w:rPr>
            </w:pPr>
            <w:r w:rsidRPr="004C06EF">
              <w:rPr>
                <w:rFonts w:cs="Times New Roman"/>
                <w:szCs w:val="24"/>
              </w:rPr>
              <w:t>35 117 tis. Kč</w:t>
            </w:r>
          </w:p>
        </w:tc>
      </w:tr>
      <w:tr w:rsidR="00CF4BB2" w:rsidRPr="00576843" w:rsidTr="00CF4BB2">
        <w:tc>
          <w:tcPr>
            <w:tcW w:w="7270" w:type="dxa"/>
          </w:tcPr>
          <w:p w:rsidR="00CF4BB2" w:rsidRPr="004C06EF" w:rsidRDefault="00CF4BB2" w:rsidP="00CF4BB2">
            <w:pPr>
              <w:rPr>
                <w:rFonts w:cs="Times New Roman"/>
                <w:szCs w:val="24"/>
              </w:rPr>
            </w:pPr>
            <w:r w:rsidRPr="004C06EF">
              <w:rPr>
                <w:rFonts w:cs="Times New Roman"/>
                <w:szCs w:val="24"/>
              </w:rPr>
              <w:t xml:space="preserve">      - Výnosy z finančního majetku</w:t>
            </w:r>
          </w:p>
        </w:tc>
        <w:tc>
          <w:tcPr>
            <w:tcW w:w="1980" w:type="dxa"/>
          </w:tcPr>
          <w:p w:rsidR="00CF4BB2" w:rsidRPr="004C06EF" w:rsidRDefault="00CF4BB2" w:rsidP="00CF4BB2">
            <w:pPr>
              <w:jc w:val="right"/>
              <w:rPr>
                <w:rFonts w:cs="Times New Roman"/>
                <w:szCs w:val="24"/>
              </w:rPr>
            </w:pPr>
            <w:r w:rsidRPr="004C06EF">
              <w:rPr>
                <w:rFonts w:cs="Times New Roman"/>
                <w:szCs w:val="24"/>
              </w:rPr>
              <w:t>15 tis. Kč</w:t>
            </w:r>
          </w:p>
        </w:tc>
      </w:tr>
      <w:tr w:rsidR="00CF4BB2" w:rsidRPr="004C06EF" w:rsidTr="00CF4BB2">
        <w:trPr>
          <w:trHeight w:val="389"/>
        </w:trPr>
        <w:tc>
          <w:tcPr>
            <w:tcW w:w="7270" w:type="dxa"/>
            <w:vAlign w:val="center"/>
          </w:tcPr>
          <w:p w:rsidR="00CF4BB2" w:rsidRPr="004C06EF" w:rsidRDefault="00CF4BB2" w:rsidP="00CF4BB2">
            <w:pPr>
              <w:numPr>
                <w:ilvl w:val="0"/>
                <w:numId w:val="4"/>
              </w:numPr>
              <w:tabs>
                <w:tab w:val="num" w:pos="360"/>
              </w:tabs>
              <w:spacing w:before="120" w:line="240" w:lineRule="auto"/>
              <w:ind w:left="646" w:hanging="720"/>
              <w:jc w:val="left"/>
              <w:rPr>
                <w:rFonts w:cs="Times New Roman"/>
                <w:b/>
                <w:szCs w:val="24"/>
              </w:rPr>
            </w:pPr>
            <w:r w:rsidRPr="004C06EF">
              <w:rPr>
                <w:rFonts w:cs="Times New Roman"/>
                <w:b/>
                <w:szCs w:val="24"/>
              </w:rPr>
              <w:lastRenderedPageBreak/>
              <w:t>Přijaté sankční platby a vratky transferů</w:t>
            </w:r>
          </w:p>
        </w:tc>
        <w:tc>
          <w:tcPr>
            <w:tcW w:w="1980" w:type="dxa"/>
            <w:vAlign w:val="center"/>
          </w:tcPr>
          <w:p w:rsidR="00CF4BB2" w:rsidRPr="004C06EF" w:rsidRDefault="00CF4BB2" w:rsidP="00CF4BB2">
            <w:pPr>
              <w:spacing w:before="120"/>
              <w:jc w:val="right"/>
              <w:rPr>
                <w:rFonts w:cs="Times New Roman"/>
                <w:b/>
                <w:szCs w:val="24"/>
              </w:rPr>
            </w:pPr>
            <w:r w:rsidRPr="004C06EF">
              <w:rPr>
                <w:rFonts w:cs="Times New Roman"/>
                <w:b/>
                <w:szCs w:val="24"/>
              </w:rPr>
              <w:t>1 068 tis. Kč</w:t>
            </w:r>
          </w:p>
        </w:tc>
      </w:tr>
      <w:tr w:rsidR="00CF4BB2" w:rsidRPr="004C06EF" w:rsidTr="00CF4BB2">
        <w:tc>
          <w:tcPr>
            <w:tcW w:w="7270" w:type="dxa"/>
          </w:tcPr>
          <w:p w:rsidR="00CF4BB2" w:rsidRPr="004C06EF" w:rsidRDefault="00CF4BB2" w:rsidP="00CF4BB2">
            <w:pPr>
              <w:rPr>
                <w:rFonts w:cs="Times New Roman"/>
                <w:szCs w:val="24"/>
              </w:rPr>
            </w:pPr>
            <w:r w:rsidRPr="004C06EF">
              <w:rPr>
                <w:rFonts w:cs="Times New Roman"/>
                <w:szCs w:val="24"/>
              </w:rPr>
              <w:t xml:space="preserve">      v tom:</w:t>
            </w:r>
          </w:p>
        </w:tc>
        <w:tc>
          <w:tcPr>
            <w:tcW w:w="1980" w:type="dxa"/>
          </w:tcPr>
          <w:p w:rsidR="00CF4BB2" w:rsidRPr="004C06EF" w:rsidRDefault="00CF4BB2" w:rsidP="00CF4BB2">
            <w:pPr>
              <w:jc w:val="right"/>
              <w:rPr>
                <w:rFonts w:cs="Times New Roman"/>
                <w:b/>
                <w:szCs w:val="24"/>
              </w:rPr>
            </w:pPr>
          </w:p>
        </w:tc>
      </w:tr>
      <w:tr w:rsidR="00CF4BB2" w:rsidRPr="004C06EF" w:rsidTr="00CF4BB2">
        <w:tc>
          <w:tcPr>
            <w:tcW w:w="7270" w:type="dxa"/>
          </w:tcPr>
          <w:p w:rsidR="00CF4BB2" w:rsidRPr="004C06EF" w:rsidRDefault="00CF4BB2" w:rsidP="00CF4BB2">
            <w:pPr>
              <w:rPr>
                <w:rFonts w:cs="Times New Roman"/>
                <w:szCs w:val="24"/>
              </w:rPr>
            </w:pPr>
            <w:r w:rsidRPr="004C06EF">
              <w:rPr>
                <w:rFonts w:cs="Times New Roman"/>
                <w:szCs w:val="24"/>
              </w:rPr>
              <w:t xml:space="preserve">      - Přijaté sankční platby</w:t>
            </w:r>
          </w:p>
        </w:tc>
        <w:tc>
          <w:tcPr>
            <w:tcW w:w="1980" w:type="dxa"/>
          </w:tcPr>
          <w:p w:rsidR="00CF4BB2" w:rsidRPr="004C06EF" w:rsidRDefault="00CF4BB2" w:rsidP="00CF4BB2">
            <w:pPr>
              <w:jc w:val="right"/>
              <w:rPr>
                <w:rFonts w:cs="Times New Roman"/>
                <w:szCs w:val="24"/>
              </w:rPr>
            </w:pPr>
            <w:r w:rsidRPr="004C06EF">
              <w:rPr>
                <w:rFonts w:cs="Times New Roman"/>
                <w:szCs w:val="24"/>
              </w:rPr>
              <w:t>1 068 tis. Kč</w:t>
            </w:r>
          </w:p>
        </w:tc>
      </w:tr>
      <w:tr w:rsidR="00CF4BB2" w:rsidRPr="00576843" w:rsidTr="00CF4BB2">
        <w:tc>
          <w:tcPr>
            <w:tcW w:w="7270" w:type="dxa"/>
          </w:tcPr>
          <w:p w:rsidR="00CF4BB2" w:rsidRPr="00383BEE" w:rsidRDefault="00CF4BB2" w:rsidP="00CF4BB2">
            <w:pPr>
              <w:numPr>
                <w:ilvl w:val="0"/>
                <w:numId w:val="4"/>
              </w:numPr>
              <w:tabs>
                <w:tab w:val="num" w:pos="360"/>
              </w:tabs>
              <w:spacing w:before="120" w:line="240" w:lineRule="auto"/>
              <w:ind w:left="646" w:hanging="720"/>
              <w:rPr>
                <w:rFonts w:cs="Times New Roman"/>
                <w:b/>
                <w:szCs w:val="24"/>
              </w:rPr>
            </w:pPr>
            <w:r w:rsidRPr="00383BEE">
              <w:rPr>
                <w:rFonts w:cs="Times New Roman"/>
                <w:b/>
                <w:szCs w:val="24"/>
              </w:rPr>
              <w:t>Neinvestiční přijaté transfery</w:t>
            </w:r>
          </w:p>
        </w:tc>
        <w:tc>
          <w:tcPr>
            <w:tcW w:w="1980" w:type="dxa"/>
          </w:tcPr>
          <w:p w:rsidR="00CF4BB2" w:rsidRPr="00383BEE" w:rsidRDefault="00CF4BB2" w:rsidP="00CF4BB2">
            <w:pPr>
              <w:spacing w:before="120"/>
              <w:jc w:val="right"/>
              <w:rPr>
                <w:rFonts w:cs="Times New Roman"/>
                <w:b/>
                <w:szCs w:val="24"/>
              </w:rPr>
            </w:pPr>
            <w:r w:rsidRPr="00383BEE">
              <w:rPr>
                <w:rFonts w:cs="Times New Roman"/>
                <w:b/>
                <w:szCs w:val="24"/>
              </w:rPr>
              <w:t>162 699 tis. Kč</w:t>
            </w:r>
          </w:p>
        </w:tc>
      </w:tr>
      <w:tr w:rsidR="00CF4BB2" w:rsidRPr="00576843" w:rsidTr="00CF4BB2">
        <w:tc>
          <w:tcPr>
            <w:tcW w:w="7270" w:type="dxa"/>
          </w:tcPr>
          <w:p w:rsidR="00CF4BB2" w:rsidRPr="00576843" w:rsidRDefault="00CF4BB2" w:rsidP="00CF4BB2">
            <w:pPr>
              <w:ind w:firstLine="357"/>
              <w:rPr>
                <w:rFonts w:cs="Times New Roman"/>
                <w:color w:val="FF0000"/>
                <w:szCs w:val="24"/>
              </w:rPr>
            </w:pPr>
            <w:r w:rsidRPr="00383BEE">
              <w:rPr>
                <w:rFonts w:cs="Times New Roman"/>
                <w:szCs w:val="24"/>
              </w:rPr>
              <w:t>v tom:</w:t>
            </w:r>
          </w:p>
        </w:tc>
        <w:tc>
          <w:tcPr>
            <w:tcW w:w="1980" w:type="dxa"/>
          </w:tcPr>
          <w:p w:rsidR="00CF4BB2" w:rsidRPr="00576843" w:rsidRDefault="00CF4BB2" w:rsidP="00CF4BB2">
            <w:pPr>
              <w:jc w:val="right"/>
              <w:rPr>
                <w:rFonts w:cs="Times New Roman"/>
                <w:color w:val="FF0000"/>
                <w:szCs w:val="24"/>
              </w:rPr>
            </w:pPr>
          </w:p>
        </w:tc>
      </w:tr>
      <w:tr w:rsidR="00CF4BB2" w:rsidRPr="00576843" w:rsidTr="00CF4BB2">
        <w:tc>
          <w:tcPr>
            <w:tcW w:w="7270" w:type="dxa"/>
          </w:tcPr>
          <w:p w:rsidR="00CF4BB2" w:rsidRPr="00383BEE" w:rsidRDefault="00CF4BB2" w:rsidP="00CF4BB2">
            <w:pPr>
              <w:numPr>
                <w:ilvl w:val="0"/>
                <w:numId w:val="5"/>
              </w:numPr>
              <w:tabs>
                <w:tab w:val="clear" w:pos="720"/>
                <w:tab w:val="num" w:pos="540"/>
              </w:tabs>
              <w:spacing w:line="240" w:lineRule="auto"/>
              <w:ind w:left="714" w:hanging="357"/>
              <w:rPr>
                <w:rFonts w:cs="Times New Roman"/>
                <w:szCs w:val="24"/>
              </w:rPr>
            </w:pPr>
            <w:r w:rsidRPr="00383BEE">
              <w:rPr>
                <w:rFonts w:cs="Times New Roman"/>
                <w:szCs w:val="24"/>
              </w:rPr>
              <w:t>Neinvestiční převody z Národního fondu</w:t>
            </w:r>
          </w:p>
        </w:tc>
        <w:tc>
          <w:tcPr>
            <w:tcW w:w="1980" w:type="dxa"/>
          </w:tcPr>
          <w:p w:rsidR="00CF4BB2" w:rsidRPr="00383BEE" w:rsidRDefault="00CF4BB2" w:rsidP="00CF4BB2">
            <w:pPr>
              <w:jc w:val="right"/>
              <w:rPr>
                <w:rFonts w:cs="Times New Roman"/>
                <w:szCs w:val="24"/>
              </w:rPr>
            </w:pPr>
            <w:r w:rsidRPr="00383BEE">
              <w:rPr>
                <w:rFonts w:cs="Times New Roman"/>
                <w:szCs w:val="24"/>
              </w:rPr>
              <w:t>125 051 tis. Kč</w:t>
            </w:r>
          </w:p>
        </w:tc>
      </w:tr>
      <w:tr w:rsidR="00CF4BB2" w:rsidRPr="00576843" w:rsidTr="00CF4BB2">
        <w:tc>
          <w:tcPr>
            <w:tcW w:w="7270" w:type="dxa"/>
          </w:tcPr>
          <w:p w:rsidR="00CF4BB2" w:rsidRPr="00576843" w:rsidRDefault="00CF4BB2" w:rsidP="00CF4BB2">
            <w:pPr>
              <w:numPr>
                <w:ilvl w:val="0"/>
                <w:numId w:val="5"/>
              </w:numPr>
              <w:tabs>
                <w:tab w:val="clear" w:pos="720"/>
                <w:tab w:val="num" w:pos="540"/>
              </w:tabs>
              <w:spacing w:line="240" w:lineRule="auto"/>
              <w:ind w:left="714" w:hanging="357"/>
              <w:rPr>
                <w:rFonts w:cs="Times New Roman"/>
                <w:color w:val="FF0000"/>
                <w:szCs w:val="24"/>
              </w:rPr>
            </w:pPr>
            <w:r w:rsidRPr="004B6A61">
              <w:rPr>
                <w:rFonts w:cs="Times New Roman"/>
                <w:szCs w:val="24"/>
              </w:rPr>
              <w:t>Neinvestiční transfery přijaté od Evropské unie</w:t>
            </w:r>
          </w:p>
        </w:tc>
        <w:tc>
          <w:tcPr>
            <w:tcW w:w="1980" w:type="dxa"/>
          </w:tcPr>
          <w:p w:rsidR="00CF4BB2" w:rsidRPr="00576843" w:rsidRDefault="00CF4BB2" w:rsidP="00CF4BB2">
            <w:pPr>
              <w:jc w:val="right"/>
              <w:rPr>
                <w:rFonts w:cs="Times New Roman"/>
                <w:color w:val="FF0000"/>
                <w:szCs w:val="24"/>
              </w:rPr>
            </w:pPr>
            <w:r>
              <w:rPr>
                <w:rFonts w:cs="Times New Roman"/>
                <w:szCs w:val="24"/>
              </w:rPr>
              <w:t>37 648</w:t>
            </w:r>
            <w:r w:rsidRPr="004B6A61">
              <w:rPr>
                <w:rFonts w:cs="Times New Roman"/>
                <w:szCs w:val="24"/>
              </w:rPr>
              <w:t xml:space="preserve"> tis. Kč</w:t>
            </w:r>
          </w:p>
        </w:tc>
      </w:tr>
      <w:tr w:rsidR="00406B5C" w:rsidRPr="00406B5C" w:rsidTr="00CF4BB2">
        <w:tc>
          <w:tcPr>
            <w:tcW w:w="7270" w:type="dxa"/>
          </w:tcPr>
          <w:p w:rsidR="00CF4BB2" w:rsidRPr="00406B5C" w:rsidRDefault="00CF4BB2" w:rsidP="00CF4BB2">
            <w:pPr>
              <w:numPr>
                <w:ilvl w:val="1"/>
                <w:numId w:val="5"/>
              </w:numPr>
              <w:tabs>
                <w:tab w:val="clear" w:pos="1440"/>
                <w:tab w:val="num" w:pos="360"/>
              </w:tabs>
              <w:spacing w:before="120" w:line="240" w:lineRule="auto"/>
              <w:ind w:hanging="1440"/>
              <w:rPr>
                <w:rFonts w:cs="Times New Roman"/>
                <w:b/>
                <w:szCs w:val="24"/>
              </w:rPr>
            </w:pPr>
            <w:r w:rsidRPr="00406B5C">
              <w:rPr>
                <w:rFonts w:cs="Times New Roman"/>
                <w:b/>
                <w:szCs w:val="24"/>
              </w:rPr>
              <w:t>Investiční přijaté transfery</w:t>
            </w:r>
          </w:p>
        </w:tc>
        <w:tc>
          <w:tcPr>
            <w:tcW w:w="1980" w:type="dxa"/>
          </w:tcPr>
          <w:p w:rsidR="00CF4BB2" w:rsidRPr="00406B5C" w:rsidRDefault="00F629D9" w:rsidP="00CF4BB2">
            <w:pPr>
              <w:spacing w:before="120"/>
              <w:jc w:val="right"/>
              <w:rPr>
                <w:rFonts w:cs="Times New Roman"/>
                <w:b/>
                <w:szCs w:val="24"/>
              </w:rPr>
            </w:pPr>
            <w:r w:rsidRPr="00406B5C">
              <w:rPr>
                <w:rFonts w:cs="Times New Roman"/>
                <w:b/>
                <w:szCs w:val="24"/>
              </w:rPr>
              <w:t>39</w:t>
            </w:r>
            <w:r w:rsidR="00CF4BB2" w:rsidRPr="00406B5C">
              <w:rPr>
                <w:rFonts w:cs="Times New Roman"/>
                <w:b/>
                <w:szCs w:val="24"/>
              </w:rPr>
              <w:t> 540 324 tis. Kč</w:t>
            </w:r>
          </w:p>
        </w:tc>
      </w:tr>
      <w:tr w:rsidR="00406B5C" w:rsidRPr="00406B5C" w:rsidTr="00CF4BB2">
        <w:tc>
          <w:tcPr>
            <w:tcW w:w="7270" w:type="dxa"/>
          </w:tcPr>
          <w:p w:rsidR="00CF4BB2" w:rsidRPr="00406B5C" w:rsidRDefault="00CF4BB2" w:rsidP="00CF4BB2">
            <w:pPr>
              <w:ind w:left="357"/>
              <w:rPr>
                <w:rFonts w:cs="Times New Roman"/>
                <w:szCs w:val="24"/>
              </w:rPr>
            </w:pPr>
            <w:r w:rsidRPr="00406B5C">
              <w:rPr>
                <w:rFonts w:cs="Times New Roman"/>
                <w:szCs w:val="24"/>
              </w:rPr>
              <w:t>v tom:</w:t>
            </w:r>
          </w:p>
        </w:tc>
        <w:tc>
          <w:tcPr>
            <w:tcW w:w="1980" w:type="dxa"/>
          </w:tcPr>
          <w:p w:rsidR="00CF4BB2" w:rsidRPr="00406B5C" w:rsidRDefault="00CF4BB2" w:rsidP="00CF4BB2">
            <w:pPr>
              <w:jc w:val="right"/>
              <w:rPr>
                <w:rFonts w:cs="Times New Roman"/>
                <w:szCs w:val="24"/>
              </w:rPr>
            </w:pPr>
          </w:p>
        </w:tc>
      </w:tr>
      <w:tr w:rsidR="00406B5C" w:rsidRPr="00406B5C" w:rsidTr="00CF4BB2">
        <w:tc>
          <w:tcPr>
            <w:tcW w:w="7270" w:type="dxa"/>
          </w:tcPr>
          <w:p w:rsidR="00CF4BB2" w:rsidRPr="00406B5C" w:rsidRDefault="00CF4BB2" w:rsidP="00CF4BB2">
            <w:pPr>
              <w:numPr>
                <w:ilvl w:val="0"/>
                <w:numId w:val="5"/>
              </w:numPr>
              <w:tabs>
                <w:tab w:val="clear" w:pos="720"/>
                <w:tab w:val="num" w:pos="540"/>
              </w:tabs>
              <w:spacing w:line="240" w:lineRule="auto"/>
              <w:ind w:left="714" w:hanging="357"/>
              <w:rPr>
                <w:rFonts w:cs="Times New Roman"/>
                <w:szCs w:val="24"/>
              </w:rPr>
            </w:pPr>
            <w:r w:rsidRPr="00406B5C">
              <w:rPr>
                <w:rFonts w:cs="Times New Roman"/>
                <w:szCs w:val="24"/>
              </w:rPr>
              <w:t xml:space="preserve">Investiční převody z Národního fondu </w:t>
            </w:r>
          </w:p>
        </w:tc>
        <w:tc>
          <w:tcPr>
            <w:tcW w:w="1980" w:type="dxa"/>
          </w:tcPr>
          <w:p w:rsidR="00CF4BB2" w:rsidRPr="00406B5C" w:rsidRDefault="00CF4BB2" w:rsidP="00CF4BB2">
            <w:pPr>
              <w:jc w:val="right"/>
              <w:rPr>
                <w:rFonts w:cs="Times New Roman"/>
                <w:szCs w:val="24"/>
              </w:rPr>
            </w:pPr>
            <w:r w:rsidRPr="00406B5C">
              <w:rPr>
                <w:rFonts w:cs="Times New Roman"/>
                <w:szCs w:val="24"/>
              </w:rPr>
              <w:t xml:space="preserve"> 19 154 576 tis. Kč</w:t>
            </w:r>
          </w:p>
        </w:tc>
      </w:tr>
      <w:tr w:rsidR="00406B5C" w:rsidRPr="00406B5C" w:rsidTr="00CF4BB2">
        <w:tc>
          <w:tcPr>
            <w:tcW w:w="7270" w:type="dxa"/>
          </w:tcPr>
          <w:p w:rsidR="00CF4BB2" w:rsidRPr="00406B5C" w:rsidRDefault="00CF4BB2" w:rsidP="00CF4BB2">
            <w:pPr>
              <w:numPr>
                <w:ilvl w:val="0"/>
                <w:numId w:val="5"/>
              </w:numPr>
              <w:tabs>
                <w:tab w:val="clear" w:pos="720"/>
                <w:tab w:val="num" w:pos="540"/>
              </w:tabs>
              <w:spacing w:line="240" w:lineRule="auto"/>
              <w:ind w:left="714" w:hanging="357"/>
              <w:rPr>
                <w:rFonts w:cs="Times New Roman"/>
                <w:szCs w:val="24"/>
              </w:rPr>
            </w:pPr>
            <w:r w:rsidRPr="00406B5C">
              <w:rPr>
                <w:rFonts w:cs="Times New Roman"/>
                <w:szCs w:val="24"/>
              </w:rPr>
              <w:t>Investiční transfery přijaté od Evropské unie</w:t>
            </w:r>
          </w:p>
        </w:tc>
        <w:tc>
          <w:tcPr>
            <w:tcW w:w="1980" w:type="dxa"/>
          </w:tcPr>
          <w:p w:rsidR="00CF4BB2" w:rsidRPr="00406B5C" w:rsidRDefault="00F629D9" w:rsidP="00CF4BB2">
            <w:pPr>
              <w:jc w:val="right"/>
              <w:rPr>
                <w:rFonts w:cs="Times New Roman"/>
                <w:szCs w:val="24"/>
              </w:rPr>
            </w:pPr>
            <w:r w:rsidRPr="00406B5C">
              <w:rPr>
                <w:rFonts w:cs="Times New Roman"/>
                <w:szCs w:val="24"/>
              </w:rPr>
              <w:t>20</w:t>
            </w:r>
            <w:r w:rsidR="00CF4BB2" w:rsidRPr="00406B5C">
              <w:rPr>
                <w:rFonts w:cs="Times New Roman"/>
                <w:szCs w:val="24"/>
              </w:rPr>
              <w:t> 385 748 tis. Kč</w:t>
            </w:r>
          </w:p>
        </w:tc>
      </w:tr>
    </w:tbl>
    <w:p w:rsidR="00CF4BB2" w:rsidRPr="00406B5C" w:rsidRDefault="00CF4BB2" w:rsidP="00CF4BB2">
      <w:pPr>
        <w:pStyle w:val="Styl1"/>
      </w:pPr>
      <w:bookmarkStart w:id="15" w:name="_Toc368665059"/>
      <w:r w:rsidRPr="00406B5C">
        <w:t>Navržený souhrnný ukazatel „Příjmy celkem“ tvoří daňové a nedaňové příjmy, neinvestiční a investiční přijaté transfery dále uvedených organizačních složek státu, a to:</w:t>
      </w:r>
    </w:p>
    <w:p w:rsidR="00CF4BB2" w:rsidRPr="00406B5C" w:rsidRDefault="00CF4BB2" w:rsidP="00CF4BB2">
      <w:pPr>
        <w:spacing w:before="240" w:after="120"/>
        <w:rPr>
          <w:rFonts w:cs="Times New Roman"/>
          <w:szCs w:val="24"/>
        </w:rPr>
      </w:pPr>
      <w:r w:rsidRPr="00406B5C">
        <w:rPr>
          <w:rFonts w:cs="Times New Roman"/>
          <w:b/>
          <w:szCs w:val="24"/>
        </w:rPr>
        <w:t>Ústřední orgán MD</w:t>
      </w:r>
      <w:r w:rsidRPr="00406B5C">
        <w:rPr>
          <w:rFonts w:cs="Times New Roman"/>
          <w:szCs w:val="24"/>
        </w:rPr>
        <w:t xml:space="preserve"> - příjmy </w:t>
      </w:r>
      <w:r w:rsidRPr="00406B5C">
        <w:rPr>
          <w:rFonts w:cs="Times New Roman"/>
          <w:b/>
          <w:bCs/>
          <w:szCs w:val="24"/>
        </w:rPr>
        <w:t xml:space="preserve">celkem </w:t>
      </w:r>
      <w:r w:rsidR="00F629D9" w:rsidRPr="00406B5C">
        <w:rPr>
          <w:rFonts w:cs="Times New Roman"/>
          <w:b/>
          <w:bCs/>
          <w:szCs w:val="24"/>
        </w:rPr>
        <w:t>39</w:t>
      </w:r>
      <w:r w:rsidRPr="00406B5C">
        <w:rPr>
          <w:rFonts w:cs="Times New Roman"/>
          <w:b/>
          <w:bCs/>
          <w:szCs w:val="24"/>
        </w:rPr>
        <w:t> 893 381 tis. Kč,</w:t>
      </w:r>
      <w:r w:rsidRPr="00406B5C">
        <w:rPr>
          <w:rFonts w:cs="Times New Roman"/>
          <w:szCs w:val="24"/>
        </w:rPr>
        <w:t xml:space="preserve"> v tom:</w:t>
      </w:r>
    </w:p>
    <w:tbl>
      <w:tblPr>
        <w:tblW w:w="9250" w:type="dxa"/>
        <w:tblCellMar>
          <w:left w:w="70" w:type="dxa"/>
          <w:right w:w="70" w:type="dxa"/>
        </w:tblCellMar>
        <w:tblLook w:val="0000" w:firstRow="0" w:lastRow="0" w:firstColumn="0" w:lastColumn="0" w:noHBand="0" w:noVBand="0"/>
      </w:tblPr>
      <w:tblGrid>
        <w:gridCol w:w="7270"/>
        <w:gridCol w:w="1980"/>
      </w:tblGrid>
      <w:tr w:rsidR="00406B5C" w:rsidRPr="00406B5C" w:rsidTr="00CF4BB2">
        <w:tc>
          <w:tcPr>
            <w:tcW w:w="7270" w:type="dxa"/>
          </w:tcPr>
          <w:p w:rsidR="00CF4BB2" w:rsidRPr="00406B5C" w:rsidRDefault="00CF4BB2" w:rsidP="00CF4BB2">
            <w:pPr>
              <w:rPr>
                <w:rFonts w:cs="Times New Roman"/>
                <w:szCs w:val="24"/>
              </w:rPr>
            </w:pPr>
            <w:r w:rsidRPr="00406B5C">
              <w:rPr>
                <w:rFonts w:cs="Times New Roman"/>
                <w:szCs w:val="24"/>
              </w:rPr>
              <w:t xml:space="preserve">      - Správní poplatky</w:t>
            </w:r>
          </w:p>
        </w:tc>
        <w:tc>
          <w:tcPr>
            <w:tcW w:w="1980" w:type="dxa"/>
          </w:tcPr>
          <w:p w:rsidR="00CF4BB2" w:rsidRPr="00406B5C" w:rsidRDefault="00CF4BB2" w:rsidP="00CF4BB2">
            <w:pPr>
              <w:pStyle w:val="xl54"/>
              <w:pBdr>
                <w:left w:val="none" w:sz="0" w:space="0" w:color="auto"/>
                <w:right w:val="none" w:sz="0" w:space="0" w:color="auto"/>
              </w:pBdr>
              <w:spacing w:before="0" w:beforeAutospacing="0" w:after="0" w:afterAutospacing="0"/>
            </w:pPr>
            <w:r w:rsidRPr="00406B5C">
              <w:t>159 800 tis. Kč</w:t>
            </w:r>
          </w:p>
        </w:tc>
      </w:tr>
      <w:tr w:rsidR="00406B5C" w:rsidRPr="00406B5C" w:rsidTr="00CF4BB2">
        <w:tc>
          <w:tcPr>
            <w:tcW w:w="7270" w:type="dxa"/>
          </w:tcPr>
          <w:p w:rsidR="00CF4BB2" w:rsidRPr="00406B5C" w:rsidRDefault="00CF4BB2" w:rsidP="00CF4BB2">
            <w:pPr>
              <w:rPr>
                <w:rFonts w:cs="Times New Roman"/>
                <w:szCs w:val="24"/>
              </w:rPr>
            </w:pPr>
            <w:r w:rsidRPr="00406B5C">
              <w:rPr>
                <w:rFonts w:cs="Times New Roman"/>
                <w:szCs w:val="24"/>
              </w:rPr>
              <w:t xml:space="preserve">      - Příjmy z pronájmu majetku</w:t>
            </w:r>
          </w:p>
        </w:tc>
        <w:tc>
          <w:tcPr>
            <w:tcW w:w="1980" w:type="dxa"/>
          </w:tcPr>
          <w:p w:rsidR="00CF4BB2" w:rsidRPr="00406B5C" w:rsidRDefault="00CF4BB2" w:rsidP="00CF4BB2">
            <w:pPr>
              <w:jc w:val="right"/>
              <w:rPr>
                <w:rFonts w:cs="Times New Roman"/>
                <w:szCs w:val="24"/>
              </w:rPr>
            </w:pPr>
            <w:r w:rsidRPr="00406B5C">
              <w:rPr>
                <w:rFonts w:cs="Times New Roman"/>
                <w:szCs w:val="24"/>
              </w:rPr>
              <w:t>30 217 tis. Kč</w:t>
            </w:r>
          </w:p>
        </w:tc>
      </w:tr>
      <w:tr w:rsidR="00406B5C" w:rsidRPr="00406B5C" w:rsidTr="00CF4BB2">
        <w:tc>
          <w:tcPr>
            <w:tcW w:w="7270" w:type="dxa"/>
          </w:tcPr>
          <w:p w:rsidR="00CF4BB2" w:rsidRPr="00406B5C" w:rsidRDefault="00CF4BB2" w:rsidP="00CF4BB2">
            <w:pPr>
              <w:rPr>
                <w:rFonts w:cs="Times New Roman"/>
                <w:szCs w:val="24"/>
              </w:rPr>
            </w:pPr>
            <w:r w:rsidRPr="00406B5C">
              <w:rPr>
                <w:rFonts w:cs="Times New Roman"/>
                <w:szCs w:val="24"/>
              </w:rPr>
              <w:t xml:space="preserve">      - Výnosy z finančního majetku</w:t>
            </w:r>
          </w:p>
        </w:tc>
        <w:tc>
          <w:tcPr>
            <w:tcW w:w="1980" w:type="dxa"/>
          </w:tcPr>
          <w:p w:rsidR="00CF4BB2" w:rsidRPr="00406B5C" w:rsidRDefault="00CF4BB2" w:rsidP="00CF4BB2">
            <w:pPr>
              <w:jc w:val="right"/>
              <w:rPr>
                <w:rFonts w:cs="Times New Roman"/>
                <w:szCs w:val="24"/>
              </w:rPr>
            </w:pPr>
            <w:r w:rsidRPr="00406B5C">
              <w:rPr>
                <w:rFonts w:cs="Times New Roman"/>
                <w:szCs w:val="24"/>
              </w:rPr>
              <w:t>15 tis. Kč</w:t>
            </w:r>
          </w:p>
        </w:tc>
      </w:tr>
      <w:tr w:rsidR="00406B5C" w:rsidRPr="00406B5C" w:rsidTr="00CF4BB2">
        <w:tc>
          <w:tcPr>
            <w:tcW w:w="7270" w:type="dxa"/>
          </w:tcPr>
          <w:p w:rsidR="00CF4BB2" w:rsidRPr="00406B5C" w:rsidRDefault="00CF4BB2" w:rsidP="00CF4BB2">
            <w:pPr>
              <w:pStyle w:val="Odstavecseseznamem"/>
              <w:numPr>
                <w:ilvl w:val="0"/>
                <w:numId w:val="5"/>
              </w:numPr>
              <w:tabs>
                <w:tab w:val="clear" w:pos="720"/>
                <w:tab w:val="num" w:pos="2059"/>
              </w:tabs>
              <w:ind w:left="476" w:hanging="113"/>
            </w:pPr>
            <w:r w:rsidRPr="00406B5C">
              <w:t xml:space="preserve"> Přijaté sankční platby</w:t>
            </w:r>
          </w:p>
        </w:tc>
        <w:tc>
          <w:tcPr>
            <w:tcW w:w="1980" w:type="dxa"/>
          </w:tcPr>
          <w:p w:rsidR="00CF4BB2" w:rsidRPr="00406B5C" w:rsidRDefault="00CF4BB2" w:rsidP="00CF4BB2">
            <w:pPr>
              <w:jc w:val="right"/>
              <w:rPr>
                <w:rFonts w:cs="Times New Roman"/>
                <w:szCs w:val="24"/>
              </w:rPr>
            </w:pPr>
            <w:r w:rsidRPr="00406B5C">
              <w:rPr>
                <w:rFonts w:cs="Times New Roman"/>
                <w:szCs w:val="24"/>
              </w:rPr>
              <w:t>326 tis. Kč</w:t>
            </w:r>
          </w:p>
        </w:tc>
      </w:tr>
      <w:tr w:rsidR="00406B5C" w:rsidRPr="00406B5C" w:rsidTr="00CF4BB2">
        <w:tc>
          <w:tcPr>
            <w:tcW w:w="7270" w:type="dxa"/>
          </w:tcPr>
          <w:p w:rsidR="00CF4BB2" w:rsidRPr="00406B5C" w:rsidRDefault="00CF4BB2" w:rsidP="00CF4BB2">
            <w:pPr>
              <w:pStyle w:val="Odstavecseseznamem"/>
              <w:numPr>
                <w:ilvl w:val="0"/>
                <w:numId w:val="5"/>
              </w:numPr>
              <w:tabs>
                <w:tab w:val="clear" w:pos="720"/>
                <w:tab w:val="num" w:pos="2059"/>
              </w:tabs>
              <w:ind w:left="482" w:hanging="113"/>
            </w:pPr>
            <w:r w:rsidRPr="00406B5C">
              <w:t xml:space="preserve"> Neinvestiční převody z Národního fondu</w:t>
            </w:r>
          </w:p>
        </w:tc>
        <w:tc>
          <w:tcPr>
            <w:tcW w:w="1980" w:type="dxa"/>
          </w:tcPr>
          <w:p w:rsidR="00CF4BB2" w:rsidRPr="00406B5C" w:rsidRDefault="00CF4BB2" w:rsidP="00CF4BB2">
            <w:pPr>
              <w:jc w:val="right"/>
              <w:rPr>
                <w:rFonts w:cs="Times New Roman"/>
                <w:szCs w:val="24"/>
              </w:rPr>
            </w:pPr>
            <w:r w:rsidRPr="00406B5C">
              <w:rPr>
                <w:rFonts w:cs="Times New Roman"/>
                <w:szCs w:val="24"/>
              </w:rPr>
              <w:t>125 051 tis. Kč</w:t>
            </w:r>
          </w:p>
        </w:tc>
      </w:tr>
      <w:tr w:rsidR="00406B5C" w:rsidRPr="00406B5C" w:rsidTr="00CF4BB2">
        <w:tc>
          <w:tcPr>
            <w:tcW w:w="7270" w:type="dxa"/>
          </w:tcPr>
          <w:p w:rsidR="00CF4BB2" w:rsidRPr="00406B5C" w:rsidRDefault="00CF4BB2" w:rsidP="00CF4BB2">
            <w:pPr>
              <w:numPr>
                <w:ilvl w:val="0"/>
                <w:numId w:val="5"/>
              </w:numPr>
              <w:tabs>
                <w:tab w:val="clear" w:pos="720"/>
                <w:tab w:val="num" w:pos="540"/>
              </w:tabs>
              <w:spacing w:line="240" w:lineRule="auto"/>
              <w:rPr>
                <w:rFonts w:cs="Times New Roman"/>
                <w:szCs w:val="24"/>
              </w:rPr>
            </w:pPr>
            <w:r w:rsidRPr="00406B5C">
              <w:rPr>
                <w:rFonts w:cs="Times New Roman"/>
                <w:szCs w:val="24"/>
              </w:rPr>
              <w:t>Neinvestiční transfery přijaté od Evropské unie</w:t>
            </w:r>
          </w:p>
        </w:tc>
        <w:tc>
          <w:tcPr>
            <w:tcW w:w="1980" w:type="dxa"/>
          </w:tcPr>
          <w:p w:rsidR="00CF4BB2" w:rsidRPr="00406B5C" w:rsidRDefault="00CF4BB2" w:rsidP="00CF4BB2">
            <w:pPr>
              <w:jc w:val="right"/>
              <w:rPr>
                <w:rFonts w:cs="Times New Roman"/>
                <w:szCs w:val="24"/>
              </w:rPr>
            </w:pPr>
            <w:r w:rsidRPr="00406B5C">
              <w:rPr>
                <w:rFonts w:cs="Times New Roman"/>
                <w:szCs w:val="24"/>
              </w:rPr>
              <w:t>37 648 tis. Kč</w:t>
            </w:r>
          </w:p>
        </w:tc>
      </w:tr>
      <w:tr w:rsidR="00406B5C" w:rsidRPr="00406B5C" w:rsidTr="00CF4BB2">
        <w:tc>
          <w:tcPr>
            <w:tcW w:w="7270" w:type="dxa"/>
          </w:tcPr>
          <w:p w:rsidR="00CF4BB2" w:rsidRPr="00406B5C" w:rsidRDefault="00CF4BB2" w:rsidP="00CF4BB2">
            <w:pPr>
              <w:numPr>
                <w:ilvl w:val="0"/>
                <w:numId w:val="5"/>
              </w:numPr>
              <w:tabs>
                <w:tab w:val="clear" w:pos="720"/>
                <w:tab w:val="num" w:pos="540"/>
              </w:tabs>
              <w:spacing w:line="240" w:lineRule="auto"/>
              <w:rPr>
                <w:rFonts w:cs="Times New Roman"/>
                <w:szCs w:val="24"/>
              </w:rPr>
            </w:pPr>
            <w:r w:rsidRPr="00406B5C">
              <w:rPr>
                <w:rFonts w:cs="Times New Roman"/>
                <w:szCs w:val="24"/>
              </w:rPr>
              <w:t xml:space="preserve">Investiční převody z Národního fondu </w:t>
            </w:r>
          </w:p>
        </w:tc>
        <w:tc>
          <w:tcPr>
            <w:tcW w:w="1980" w:type="dxa"/>
          </w:tcPr>
          <w:p w:rsidR="00CF4BB2" w:rsidRPr="00406B5C" w:rsidRDefault="00CF4BB2" w:rsidP="00CF4BB2">
            <w:pPr>
              <w:jc w:val="right"/>
              <w:rPr>
                <w:rFonts w:cs="Times New Roman"/>
                <w:szCs w:val="24"/>
              </w:rPr>
            </w:pPr>
            <w:r w:rsidRPr="00406B5C">
              <w:rPr>
                <w:rFonts w:cs="Times New Roman"/>
                <w:szCs w:val="24"/>
              </w:rPr>
              <w:t>19 154 576 tis. Kč</w:t>
            </w:r>
          </w:p>
        </w:tc>
      </w:tr>
      <w:tr w:rsidR="00406B5C" w:rsidRPr="00406B5C" w:rsidTr="00CF4BB2">
        <w:tc>
          <w:tcPr>
            <w:tcW w:w="7270" w:type="dxa"/>
          </w:tcPr>
          <w:p w:rsidR="00CF4BB2" w:rsidRPr="00406B5C" w:rsidRDefault="00CF4BB2" w:rsidP="00CF4BB2">
            <w:pPr>
              <w:numPr>
                <w:ilvl w:val="0"/>
                <w:numId w:val="5"/>
              </w:numPr>
              <w:tabs>
                <w:tab w:val="clear" w:pos="720"/>
                <w:tab w:val="num" w:pos="540"/>
              </w:tabs>
              <w:spacing w:line="240" w:lineRule="auto"/>
              <w:ind w:left="714" w:hanging="357"/>
              <w:rPr>
                <w:rFonts w:cs="Times New Roman"/>
                <w:szCs w:val="24"/>
              </w:rPr>
            </w:pPr>
            <w:r w:rsidRPr="00406B5C">
              <w:rPr>
                <w:rFonts w:cs="Times New Roman"/>
                <w:szCs w:val="24"/>
              </w:rPr>
              <w:t>Investiční transfery přijaté od Evropské unie</w:t>
            </w:r>
          </w:p>
        </w:tc>
        <w:tc>
          <w:tcPr>
            <w:tcW w:w="1980" w:type="dxa"/>
          </w:tcPr>
          <w:p w:rsidR="00CF4BB2" w:rsidRPr="00406B5C" w:rsidRDefault="00F629D9" w:rsidP="00CF4BB2">
            <w:pPr>
              <w:jc w:val="right"/>
              <w:rPr>
                <w:rFonts w:cs="Times New Roman"/>
                <w:szCs w:val="24"/>
              </w:rPr>
            </w:pPr>
            <w:r w:rsidRPr="00406B5C">
              <w:rPr>
                <w:rFonts w:cs="Times New Roman"/>
                <w:szCs w:val="24"/>
              </w:rPr>
              <w:t>20</w:t>
            </w:r>
            <w:r w:rsidR="00CF4BB2" w:rsidRPr="00406B5C">
              <w:rPr>
                <w:rFonts w:cs="Times New Roman"/>
                <w:szCs w:val="24"/>
              </w:rPr>
              <w:t> 385 748 tis. Kč</w:t>
            </w:r>
          </w:p>
        </w:tc>
      </w:tr>
    </w:tbl>
    <w:p w:rsidR="00CF4BB2" w:rsidRPr="00406B5C" w:rsidRDefault="00CF4BB2" w:rsidP="00CF4BB2">
      <w:pPr>
        <w:spacing w:before="240" w:after="120"/>
        <w:rPr>
          <w:rFonts w:cs="Times New Roman"/>
          <w:szCs w:val="24"/>
        </w:rPr>
      </w:pPr>
      <w:r w:rsidRPr="00406B5C">
        <w:rPr>
          <w:rFonts w:cs="Times New Roman"/>
          <w:b/>
          <w:szCs w:val="24"/>
        </w:rPr>
        <w:t>Úřad pro civilní letectví</w:t>
      </w:r>
      <w:r w:rsidRPr="00406B5C">
        <w:rPr>
          <w:rFonts w:cs="Times New Roman"/>
          <w:szCs w:val="24"/>
        </w:rPr>
        <w:t xml:space="preserve"> – příjmy </w:t>
      </w:r>
      <w:r w:rsidRPr="00406B5C">
        <w:rPr>
          <w:rFonts w:cs="Times New Roman"/>
          <w:b/>
          <w:bCs/>
          <w:szCs w:val="24"/>
        </w:rPr>
        <w:t xml:space="preserve">celkem </w:t>
      </w:r>
      <w:r w:rsidR="00F629D9" w:rsidRPr="00406B5C">
        <w:rPr>
          <w:rFonts w:cs="Times New Roman"/>
          <w:b/>
          <w:bCs/>
          <w:szCs w:val="24"/>
        </w:rPr>
        <w:t>17</w:t>
      </w:r>
      <w:r w:rsidRPr="00406B5C">
        <w:rPr>
          <w:rFonts w:cs="Times New Roman"/>
          <w:b/>
          <w:bCs/>
          <w:szCs w:val="24"/>
        </w:rPr>
        <w:t xml:space="preserve"> 000 tis. Kč,</w:t>
      </w:r>
      <w:r w:rsidRPr="00406B5C">
        <w:rPr>
          <w:rFonts w:cs="Times New Roman"/>
          <w:szCs w:val="24"/>
        </w:rPr>
        <w:t xml:space="preserve"> v tom:</w:t>
      </w:r>
    </w:p>
    <w:tbl>
      <w:tblPr>
        <w:tblW w:w="9250" w:type="dxa"/>
        <w:tblCellMar>
          <w:left w:w="70" w:type="dxa"/>
          <w:right w:w="70" w:type="dxa"/>
        </w:tblCellMar>
        <w:tblLook w:val="0000" w:firstRow="0" w:lastRow="0" w:firstColumn="0" w:lastColumn="0" w:noHBand="0" w:noVBand="0"/>
      </w:tblPr>
      <w:tblGrid>
        <w:gridCol w:w="7629"/>
        <w:gridCol w:w="1621"/>
      </w:tblGrid>
      <w:tr w:rsidR="00406B5C" w:rsidRPr="00406B5C" w:rsidTr="00CF4BB2">
        <w:tc>
          <w:tcPr>
            <w:tcW w:w="7629" w:type="dxa"/>
          </w:tcPr>
          <w:p w:rsidR="00CF4BB2" w:rsidRPr="00406B5C" w:rsidRDefault="00CF4BB2" w:rsidP="00CF4BB2">
            <w:pPr>
              <w:rPr>
                <w:rFonts w:cs="Times New Roman"/>
                <w:szCs w:val="24"/>
              </w:rPr>
            </w:pPr>
            <w:r w:rsidRPr="00406B5C">
              <w:rPr>
                <w:rFonts w:cs="Times New Roman"/>
                <w:szCs w:val="24"/>
              </w:rPr>
              <w:t xml:space="preserve">      - Správní poplatky</w:t>
            </w:r>
          </w:p>
        </w:tc>
        <w:tc>
          <w:tcPr>
            <w:tcW w:w="1621" w:type="dxa"/>
          </w:tcPr>
          <w:p w:rsidR="00CF4BB2" w:rsidRPr="00406B5C" w:rsidRDefault="00CF4BB2" w:rsidP="00CF4BB2">
            <w:pPr>
              <w:jc w:val="right"/>
              <w:rPr>
                <w:rFonts w:cs="Times New Roman"/>
                <w:szCs w:val="24"/>
              </w:rPr>
            </w:pPr>
            <w:r w:rsidRPr="00406B5C">
              <w:rPr>
                <w:rFonts w:cs="Times New Roman"/>
                <w:szCs w:val="24"/>
              </w:rPr>
              <w:t>16 000 tis. Kč</w:t>
            </w:r>
          </w:p>
        </w:tc>
      </w:tr>
      <w:tr w:rsidR="00406B5C" w:rsidRPr="00406B5C" w:rsidTr="00CF4BB2">
        <w:tc>
          <w:tcPr>
            <w:tcW w:w="7629" w:type="dxa"/>
          </w:tcPr>
          <w:p w:rsidR="00CF4BB2" w:rsidRPr="00406B5C" w:rsidRDefault="00CF4BB2" w:rsidP="00CF4BB2">
            <w:pPr>
              <w:rPr>
                <w:rFonts w:cs="Times New Roman"/>
                <w:szCs w:val="24"/>
              </w:rPr>
            </w:pPr>
            <w:r w:rsidRPr="00406B5C">
              <w:rPr>
                <w:rFonts w:cs="Times New Roman"/>
                <w:szCs w:val="24"/>
              </w:rPr>
              <w:t xml:space="preserve">      - Příjmy z vlastní činnosti             </w:t>
            </w:r>
          </w:p>
        </w:tc>
        <w:tc>
          <w:tcPr>
            <w:tcW w:w="1621" w:type="dxa"/>
          </w:tcPr>
          <w:p w:rsidR="00CF4BB2" w:rsidRPr="00406B5C" w:rsidRDefault="00CF4BB2" w:rsidP="00CF4BB2">
            <w:pPr>
              <w:jc w:val="right"/>
              <w:rPr>
                <w:rFonts w:cs="Times New Roman"/>
                <w:szCs w:val="24"/>
              </w:rPr>
            </w:pPr>
            <w:r w:rsidRPr="00406B5C">
              <w:rPr>
                <w:rFonts w:cs="Times New Roman"/>
                <w:szCs w:val="24"/>
              </w:rPr>
              <w:t xml:space="preserve"> 600 tis. Kč</w:t>
            </w:r>
          </w:p>
        </w:tc>
      </w:tr>
      <w:tr w:rsidR="00CF4BB2" w:rsidRPr="00BF529A" w:rsidTr="00CF4BB2">
        <w:tc>
          <w:tcPr>
            <w:tcW w:w="7629" w:type="dxa"/>
          </w:tcPr>
          <w:p w:rsidR="00CF4BB2" w:rsidRPr="00BF529A" w:rsidRDefault="00CF4BB2" w:rsidP="00CF4BB2">
            <w:pPr>
              <w:rPr>
                <w:rFonts w:cs="Times New Roman"/>
                <w:szCs w:val="24"/>
              </w:rPr>
            </w:pPr>
            <w:r w:rsidRPr="00BF529A">
              <w:rPr>
                <w:rFonts w:cs="Times New Roman"/>
                <w:szCs w:val="24"/>
              </w:rPr>
              <w:t xml:space="preserve">      - Přijaté sankční platby</w:t>
            </w:r>
          </w:p>
        </w:tc>
        <w:tc>
          <w:tcPr>
            <w:tcW w:w="1621" w:type="dxa"/>
          </w:tcPr>
          <w:p w:rsidR="00CF4BB2" w:rsidRPr="00BF529A" w:rsidRDefault="00CF4BB2" w:rsidP="00CF4BB2">
            <w:pPr>
              <w:jc w:val="right"/>
              <w:rPr>
                <w:rFonts w:cs="Times New Roman"/>
                <w:szCs w:val="24"/>
              </w:rPr>
            </w:pPr>
            <w:r w:rsidRPr="00BF529A">
              <w:rPr>
                <w:rFonts w:cs="Times New Roman"/>
                <w:szCs w:val="24"/>
              </w:rPr>
              <w:t>400 tis. Kč</w:t>
            </w:r>
          </w:p>
        </w:tc>
      </w:tr>
    </w:tbl>
    <w:p w:rsidR="00CF4BB2" w:rsidRPr="00BF529A" w:rsidRDefault="00CF4BB2" w:rsidP="00CF4BB2">
      <w:pPr>
        <w:spacing w:before="240" w:after="120"/>
        <w:rPr>
          <w:rFonts w:cs="Times New Roman"/>
          <w:szCs w:val="24"/>
        </w:rPr>
      </w:pPr>
      <w:r w:rsidRPr="00BF529A">
        <w:rPr>
          <w:rFonts w:cs="Times New Roman"/>
          <w:b/>
          <w:szCs w:val="24"/>
        </w:rPr>
        <w:t>Státní plavební správa</w:t>
      </w:r>
      <w:r w:rsidRPr="00BF529A">
        <w:rPr>
          <w:rFonts w:cs="Times New Roman"/>
          <w:szCs w:val="24"/>
        </w:rPr>
        <w:t xml:space="preserve"> -  příjmy </w:t>
      </w:r>
      <w:r w:rsidRPr="00BF529A">
        <w:rPr>
          <w:rFonts w:cs="Times New Roman"/>
          <w:b/>
          <w:bCs/>
          <w:szCs w:val="24"/>
        </w:rPr>
        <w:t xml:space="preserve">celkem 6 300 tis. Kč, </w:t>
      </w:r>
      <w:r w:rsidRPr="00BF529A">
        <w:rPr>
          <w:rFonts w:cs="Times New Roman"/>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CF4BB2" w:rsidRPr="00BF529A" w:rsidTr="00CF4BB2">
        <w:tc>
          <w:tcPr>
            <w:tcW w:w="7270" w:type="dxa"/>
          </w:tcPr>
          <w:p w:rsidR="00CF4BB2" w:rsidRPr="00BF529A" w:rsidRDefault="00CF4BB2" w:rsidP="00CF4BB2">
            <w:pPr>
              <w:pStyle w:val="Odstavecseseznamem"/>
              <w:numPr>
                <w:ilvl w:val="0"/>
                <w:numId w:val="5"/>
              </w:numPr>
              <w:tabs>
                <w:tab w:val="clear" w:pos="720"/>
                <w:tab w:val="num" w:pos="492"/>
              </w:tabs>
            </w:pPr>
            <w:r w:rsidRPr="00BF529A">
              <w:t>Správní poplatky</w:t>
            </w:r>
          </w:p>
        </w:tc>
        <w:tc>
          <w:tcPr>
            <w:tcW w:w="1980" w:type="dxa"/>
          </w:tcPr>
          <w:p w:rsidR="00CF4BB2" w:rsidRPr="00BF529A" w:rsidRDefault="00CF4BB2" w:rsidP="00CF4BB2">
            <w:pPr>
              <w:jc w:val="right"/>
              <w:rPr>
                <w:rFonts w:cs="Times New Roman"/>
                <w:szCs w:val="24"/>
              </w:rPr>
            </w:pPr>
            <w:r w:rsidRPr="00BF529A">
              <w:rPr>
                <w:rFonts w:cs="Times New Roman"/>
                <w:szCs w:val="24"/>
              </w:rPr>
              <w:t>6 200 tis. Kč</w:t>
            </w:r>
          </w:p>
        </w:tc>
      </w:tr>
      <w:tr w:rsidR="00CF4BB2" w:rsidRPr="00BF529A" w:rsidTr="00CF4BB2">
        <w:tc>
          <w:tcPr>
            <w:tcW w:w="7270" w:type="dxa"/>
          </w:tcPr>
          <w:p w:rsidR="00CF4BB2" w:rsidRPr="00BF529A" w:rsidRDefault="00CF4BB2" w:rsidP="00CF4BB2">
            <w:pPr>
              <w:pStyle w:val="Odstavecseseznamem"/>
              <w:numPr>
                <w:ilvl w:val="0"/>
                <w:numId w:val="5"/>
              </w:numPr>
              <w:tabs>
                <w:tab w:val="clear" w:pos="720"/>
                <w:tab w:val="num" w:pos="492"/>
              </w:tabs>
            </w:pPr>
            <w:r w:rsidRPr="00BF529A">
              <w:t>Příjmy z pronájmu majetku</w:t>
            </w:r>
          </w:p>
        </w:tc>
        <w:tc>
          <w:tcPr>
            <w:tcW w:w="1980" w:type="dxa"/>
          </w:tcPr>
          <w:p w:rsidR="00CF4BB2" w:rsidRPr="00BF529A" w:rsidRDefault="00CF4BB2" w:rsidP="00CF4BB2">
            <w:pPr>
              <w:jc w:val="right"/>
              <w:rPr>
                <w:rFonts w:cs="Times New Roman"/>
                <w:szCs w:val="24"/>
              </w:rPr>
            </w:pPr>
            <w:r w:rsidRPr="00BF529A">
              <w:rPr>
                <w:rFonts w:cs="Times New Roman"/>
                <w:szCs w:val="24"/>
              </w:rPr>
              <w:t>100 tis. Kč</w:t>
            </w:r>
          </w:p>
        </w:tc>
      </w:tr>
    </w:tbl>
    <w:p w:rsidR="00CF4BB2" w:rsidRPr="00BF529A" w:rsidRDefault="00CF4BB2" w:rsidP="00CF4BB2">
      <w:pPr>
        <w:spacing w:before="240" w:after="120"/>
        <w:rPr>
          <w:rFonts w:cs="Times New Roman"/>
          <w:szCs w:val="24"/>
        </w:rPr>
      </w:pPr>
      <w:r w:rsidRPr="00BF529A">
        <w:rPr>
          <w:rFonts w:cs="Times New Roman"/>
          <w:b/>
          <w:szCs w:val="24"/>
        </w:rPr>
        <w:t>Drážní úřad</w:t>
      </w:r>
      <w:r w:rsidRPr="00BF529A">
        <w:rPr>
          <w:rFonts w:cs="Times New Roman"/>
          <w:szCs w:val="24"/>
        </w:rPr>
        <w:t xml:space="preserve"> - příjmy </w:t>
      </w:r>
      <w:r w:rsidRPr="00BF529A">
        <w:rPr>
          <w:rFonts w:cs="Times New Roman"/>
          <w:b/>
          <w:bCs/>
          <w:szCs w:val="24"/>
        </w:rPr>
        <w:t xml:space="preserve">celkem 3 342 tis. Kč, </w:t>
      </w:r>
      <w:r w:rsidRPr="00BF529A">
        <w:rPr>
          <w:rFonts w:cs="Times New Roman"/>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CF4BB2" w:rsidRPr="00BF529A" w:rsidTr="00CF4BB2">
        <w:tc>
          <w:tcPr>
            <w:tcW w:w="7270" w:type="dxa"/>
          </w:tcPr>
          <w:p w:rsidR="00CF4BB2" w:rsidRPr="00BF529A" w:rsidRDefault="00CF4BB2" w:rsidP="00CF4BB2">
            <w:pPr>
              <w:rPr>
                <w:rFonts w:cs="Times New Roman"/>
                <w:szCs w:val="24"/>
              </w:rPr>
            </w:pPr>
            <w:r w:rsidRPr="00BF529A">
              <w:rPr>
                <w:rFonts w:cs="Times New Roman"/>
                <w:szCs w:val="24"/>
              </w:rPr>
              <w:t xml:space="preserve">      - Správní poplatky</w:t>
            </w:r>
          </w:p>
        </w:tc>
        <w:tc>
          <w:tcPr>
            <w:tcW w:w="1980" w:type="dxa"/>
          </w:tcPr>
          <w:p w:rsidR="00CF4BB2" w:rsidRPr="00BF529A" w:rsidRDefault="00CF4BB2" w:rsidP="00CF4BB2">
            <w:pPr>
              <w:jc w:val="right"/>
              <w:rPr>
                <w:rFonts w:cs="Times New Roman"/>
                <w:szCs w:val="24"/>
              </w:rPr>
            </w:pPr>
            <w:r w:rsidRPr="00BF529A">
              <w:rPr>
                <w:rFonts w:cs="Times New Roman"/>
                <w:szCs w:val="24"/>
              </w:rPr>
              <w:t>3 000 tis. Kč</w:t>
            </w:r>
          </w:p>
        </w:tc>
      </w:tr>
      <w:tr w:rsidR="00CF4BB2" w:rsidRPr="00576843" w:rsidTr="00CF4BB2">
        <w:tc>
          <w:tcPr>
            <w:tcW w:w="7270" w:type="dxa"/>
          </w:tcPr>
          <w:p w:rsidR="00CF4BB2" w:rsidRPr="00BF529A" w:rsidRDefault="00CF4BB2" w:rsidP="00CF4BB2">
            <w:pPr>
              <w:rPr>
                <w:rFonts w:cs="Times New Roman"/>
                <w:szCs w:val="24"/>
              </w:rPr>
            </w:pPr>
            <w:r w:rsidRPr="00BF529A">
              <w:rPr>
                <w:rFonts w:cs="Times New Roman"/>
                <w:szCs w:val="24"/>
              </w:rPr>
              <w:t xml:space="preserve">      - Přijaté sankční platby</w:t>
            </w:r>
          </w:p>
        </w:tc>
        <w:tc>
          <w:tcPr>
            <w:tcW w:w="1980" w:type="dxa"/>
          </w:tcPr>
          <w:p w:rsidR="00CF4BB2" w:rsidRPr="00BF529A" w:rsidRDefault="00CF4BB2" w:rsidP="00CF4BB2">
            <w:pPr>
              <w:jc w:val="right"/>
              <w:rPr>
                <w:rFonts w:cs="Times New Roman"/>
                <w:szCs w:val="24"/>
              </w:rPr>
            </w:pPr>
            <w:r w:rsidRPr="00BF529A">
              <w:rPr>
                <w:rFonts w:cs="Times New Roman"/>
                <w:szCs w:val="24"/>
              </w:rPr>
              <w:t>342 tis. Kč</w:t>
            </w:r>
          </w:p>
        </w:tc>
      </w:tr>
    </w:tbl>
    <w:p w:rsidR="00CF4BB2" w:rsidRPr="00A208D1" w:rsidRDefault="00CF4BB2" w:rsidP="00CF4BB2">
      <w:pPr>
        <w:spacing w:before="240" w:after="120"/>
        <w:rPr>
          <w:rFonts w:cs="Times New Roman"/>
          <w:szCs w:val="24"/>
        </w:rPr>
      </w:pPr>
      <w:r w:rsidRPr="00A208D1">
        <w:rPr>
          <w:rFonts w:cs="Times New Roman"/>
          <w:b/>
          <w:szCs w:val="24"/>
        </w:rPr>
        <w:t>Ředitelství vodních cest ČR</w:t>
      </w:r>
      <w:r w:rsidRPr="00A208D1">
        <w:rPr>
          <w:rFonts w:cs="Times New Roman"/>
          <w:szCs w:val="24"/>
        </w:rPr>
        <w:t xml:space="preserve"> - příjmy </w:t>
      </w:r>
      <w:r>
        <w:rPr>
          <w:rFonts w:cs="Times New Roman"/>
          <w:b/>
          <w:bCs/>
          <w:szCs w:val="24"/>
        </w:rPr>
        <w:t>celkem 7</w:t>
      </w:r>
      <w:r w:rsidRPr="00A208D1">
        <w:rPr>
          <w:rFonts w:cs="Times New Roman"/>
          <w:b/>
          <w:bCs/>
          <w:szCs w:val="24"/>
        </w:rPr>
        <w:t xml:space="preserve"> 000 tis. Kč, </w:t>
      </w:r>
      <w:r w:rsidRPr="00A208D1">
        <w:rPr>
          <w:rFonts w:cs="Times New Roman"/>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CF4BB2" w:rsidRPr="00576843" w:rsidTr="00CF4BB2">
        <w:tc>
          <w:tcPr>
            <w:tcW w:w="7270" w:type="dxa"/>
          </w:tcPr>
          <w:p w:rsidR="00CF4BB2" w:rsidRPr="00A208D1" w:rsidRDefault="00CF4BB2" w:rsidP="00CF4BB2">
            <w:pPr>
              <w:rPr>
                <w:rFonts w:cs="Times New Roman"/>
                <w:szCs w:val="24"/>
              </w:rPr>
            </w:pPr>
            <w:r w:rsidRPr="00A208D1">
              <w:rPr>
                <w:rFonts w:cs="Times New Roman"/>
                <w:szCs w:val="24"/>
              </w:rPr>
              <w:t xml:space="preserve">      - Příjmy z vlastní činnosti             </w:t>
            </w:r>
          </w:p>
        </w:tc>
        <w:tc>
          <w:tcPr>
            <w:tcW w:w="1980" w:type="dxa"/>
          </w:tcPr>
          <w:p w:rsidR="00CF4BB2" w:rsidRPr="00A208D1" w:rsidRDefault="00CF4BB2" w:rsidP="00CF4BB2">
            <w:pPr>
              <w:jc w:val="right"/>
              <w:rPr>
                <w:rFonts w:cs="Times New Roman"/>
                <w:szCs w:val="24"/>
              </w:rPr>
            </w:pPr>
            <w:r w:rsidRPr="00A208D1">
              <w:rPr>
                <w:rFonts w:cs="Times New Roman"/>
                <w:szCs w:val="24"/>
              </w:rPr>
              <w:t>2 200 tis. Kč</w:t>
            </w:r>
          </w:p>
        </w:tc>
      </w:tr>
      <w:tr w:rsidR="00CF4BB2" w:rsidRPr="00576843" w:rsidTr="00CF4BB2">
        <w:tc>
          <w:tcPr>
            <w:tcW w:w="7270" w:type="dxa"/>
          </w:tcPr>
          <w:p w:rsidR="00CF4BB2" w:rsidRPr="00A208D1" w:rsidRDefault="00CF4BB2" w:rsidP="00CF4BB2">
            <w:pPr>
              <w:rPr>
                <w:rFonts w:cs="Times New Roman"/>
                <w:szCs w:val="24"/>
              </w:rPr>
            </w:pPr>
            <w:r w:rsidRPr="00A208D1">
              <w:rPr>
                <w:rFonts w:cs="Times New Roman"/>
                <w:szCs w:val="24"/>
              </w:rPr>
              <w:t xml:space="preserve">      - Příjmy z pronájmu majetku</w:t>
            </w:r>
          </w:p>
        </w:tc>
        <w:tc>
          <w:tcPr>
            <w:tcW w:w="1980" w:type="dxa"/>
          </w:tcPr>
          <w:p w:rsidR="00CF4BB2" w:rsidRPr="00A208D1" w:rsidRDefault="00CF4BB2" w:rsidP="00CF4BB2">
            <w:pPr>
              <w:jc w:val="right"/>
              <w:rPr>
                <w:rFonts w:cs="Times New Roman"/>
                <w:szCs w:val="24"/>
              </w:rPr>
            </w:pPr>
            <w:r w:rsidRPr="00A208D1">
              <w:rPr>
                <w:rFonts w:cs="Times New Roman"/>
                <w:szCs w:val="24"/>
              </w:rPr>
              <w:t>4 800 tis. Kč</w:t>
            </w:r>
          </w:p>
        </w:tc>
      </w:tr>
    </w:tbl>
    <w:p w:rsidR="00CF4BB2" w:rsidRPr="00123471" w:rsidRDefault="00CF4BB2" w:rsidP="00AF2F16">
      <w:pPr>
        <w:pStyle w:val="Styl1"/>
        <w:spacing w:before="240"/>
      </w:pPr>
      <w:r w:rsidRPr="00123471">
        <w:t xml:space="preserve">V navrženém objemu příjmů tvoří nejvyšší část přijaté transfery, které jsou rozpočtovány </w:t>
      </w:r>
      <w:r w:rsidRPr="00123471">
        <w:br/>
        <w:t xml:space="preserve">ve </w:t>
      </w:r>
      <w:r w:rsidRPr="00406B5C">
        <w:t xml:space="preserve">výši </w:t>
      </w:r>
      <w:r w:rsidR="00F629D9" w:rsidRPr="00406B5C">
        <w:t>39</w:t>
      </w:r>
      <w:r w:rsidRPr="00406B5C">
        <w:t> 703 023 tis. Kč, tj. 99,</w:t>
      </w:r>
      <w:r w:rsidR="00F629D9" w:rsidRPr="00406B5C">
        <w:t>44</w:t>
      </w:r>
      <w:r w:rsidRPr="00406B5C">
        <w:t xml:space="preserve"> % souhrnného </w:t>
      </w:r>
      <w:r w:rsidRPr="00123471">
        <w:t xml:space="preserve">ukazatele příjmy celkem. </w:t>
      </w:r>
    </w:p>
    <w:p w:rsidR="00CF4BB2" w:rsidRPr="00406B5C" w:rsidRDefault="00CF4BB2" w:rsidP="00CF4BB2">
      <w:pPr>
        <w:pStyle w:val="Styl1"/>
      </w:pPr>
      <w:r w:rsidRPr="00F70DBC">
        <w:lastRenderedPageBreak/>
        <w:t xml:space="preserve">Součástí těchto přijatých transferů jsou </w:t>
      </w:r>
      <w:r w:rsidRPr="00F70DBC">
        <w:rPr>
          <w:u w:val="single"/>
        </w:rPr>
        <w:t>investiční převody z  Národního fondu</w:t>
      </w:r>
      <w:r w:rsidRPr="00F70DBC">
        <w:t xml:space="preserve">, které jsou rozpočtovány ve výši 19 154 576 tis. Kč, tj. </w:t>
      </w:r>
      <w:r w:rsidR="00F629D9" w:rsidRPr="00406B5C">
        <w:t>47</w:t>
      </w:r>
      <w:r w:rsidRPr="00406B5C">
        <w:t>,</w:t>
      </w:r>
      <w:r w:rsidR="00F629D9" w:rsidRPr="00406B5C">
        <w:t>97</w:t>
      </w:r>
      <w:r w:rsidRPr="00406B5C">
        <w:t xml:space="preserve"> % souhrnného ukazatele příjmy celkem </w:t>
      </w:r>
      <w:r w:rsidRPr="00406B5C">
        <w:br/>
        <w:t xml:space="preserve">a </w:t>
      </w:r>
      <w:r w:rsidRPr="00406B5C">
        <w:rPr>
          <w:u w:val="single"/>
        </w:rPr>
        <w:t>neinvestiční převody z Národního fondu</w:t>
      </w:r>
      <w:r w:rsidRPr="00406B5C">
        <w:t xml:space="preserve"> s částkou 125 051 tis. Kč, tj. 0,</w:t>
      </w:r>
      <w:r w:rsidR="00F629D9" w:rsidRPr="00406B5C">
        <w:t>3</w:t>
      </w:r>
      <w:r w:rsidRPr="00406B5C">
        <w:t xml:space="preserve">1 % souhrnného ukazatele. Investiční a neinvestiční převody z Národního fondu jsou příjmy z rozpočtu Evropské unie související s realizací programů spolufinancovaných z prostředků fondů EU </w:t>
      </w:r>
      <w:r w:rsidRPr="00406B5C">
        <w:br/>
        <w:t>(ze strukturálních fondů a Fondu soudržnosti). V roce 2021 jde o příjmy z Operačního programu Doprava 2014-2020.</w:t>
      </w:r>
    </w:p>
    <w:p w:rsidR="00CF4BB2" w:rsidRPr="0047443F" w:rsidRDefault="00CF4BB2" w:rsidP="00CF4BB2">
      <w:pPr>
        <w:pStyle w:val="Styl1"/>
      </w:pPr>
      <w:r w:rsidRPr="00406B5C">
        <w:t xml:space="preserve">Další součástí přijatých transferů jsou </w:t>
      </w:r>
      <w:r w:rsidRPr="00406B5C">
        <w:rPr>
          <w:u w:val="single"/>
        </w:rPr>
        <w:t>investiční transfery přijaté od Evropské unie</w:t>
      </w:r>
      <w:r w:rsidRPr="00406B5C">
        <w:t xml:space="preserve"> </w:t>
      </w:r>
      <w:r w:rsidRPr="00406B5C">
        <w:br/>
        <w:t xml:space="preserve">ve výši </w:t>
      </w:r>
      <w:r w:rsidR="00F629D9" w:rsidRPr="00406B5C">
        <w:t>20</w:t>
      </w:r>
      <w:r w:rsidRPr="00406B5C">
        <w:t xml:space="preserve"> 385 748 tis. Kč, tj. </w:t>
      </w:r>
      <w:r w:rsidR="00F629D9" w:rsidRPr="00406B5C">
        <w:t>51,06</w:t>
      </w:r>
      <w:r w:rsidRPr="00406B5C">
        <w:t xml:space="preserve"> % z celkových příjmů</w:t>
      </w:r>
      <w:r w:rsidR="00F629D9" w:rsidRPr="00406B5C">
        <w:t xml:space="preserve"> (novelou zákona o státním rozpočtu na rok 2021 došlo ke snížení příjmu o 25 000 000 tis. Kč)</w:t>
      </w:r>
      <w:r w:rsidRPr="00406B5C">
        <w:t xml:space="preserve">, a </w:t>
      </w:r>
      <w:r w:rsidRPr="00406B5C">
        <w:rPr>
          <w:u w:val="single"/>
        </w:rPr>
        <w:t>neinvestiční transfery přijaté od Evropské unie</w:t>
      </w:r>
      <w:r w:rsidRPr="00406B5C">
        <w:t xml:space="preserve"> ve výši 37 648 tis. Kč, tj. 0,0</w:t>
      </w:r>
      <w:r w:rsidR="00F629D9" w:rsidRPr="00406B5C">
        <w:t>9</w:t>
      </w:r>
      <w:r w:rsidRPr="00406B5C">
        <w:t xml:space="preserve"> % z celkových příjmů. Tyto částky jsou tvořeny příjmy z komunitárních programů EU. V roce 2021 jde o příjmy z CEF – Nástroj pro propojení </w:t>
      </w:r>
      <w:r w:rsidRPr="0047443F">
        <w:t>Evropy 2</w:t>
      </w:r>
      <w:r w:rsidR="00CE6C9C">
        <w:t xml:space="preserve">014+ a Facility na podporu oživení a odolnosti </w:t>
      </w:r>
      <w:r w:rsidRPr="0047443F">
        <w:t>(RRF).</w:t>
      </w:r>
    </w:p>
    <w:p w:rsidR="00CF4BB2" w:rsidRPr="001D7837" w:rsidRDefault="00CF4BB2" w:rsidP="00CF4BB2">
      <w:pPr>
        <w:pStyle w:val="Styl1"/>
      </w:pPr>
      <w:r w:rsidRPr="001D7837">
        <w:t xml:space="preserve">Příjemcem uvedených „příjmů z rozpočtu Evropské unie“ je ústřední orgán Ministerstva dopravy.  </w:t>
      </w:r>
    </w:p>
    <w:p w:rsidR="00CF4BB2" w:rsidRPr="00406B5C" w:rsidRDefault="00CF4BB2" w:rsidP="00CF4BB2">
      <w:pPr>
        <w:pStyle w:val="Styl1"/>
      </w:pPr>
      <w:r w:rsidRPr="0047443F">
        <w:t xml:space="preserve">Součástí souhrnného ukazatele příjmy celkem jsou dále </w:t>
      </w:r>
      <w:r w:rsidRPr="0047443F">
        <w:rPr>
          <w:u w:val="single"/>
        </w:rPr>
        <w:t>správní poplatky</w:t>
      </w:r>
      <w:r w:rsidRPr="0047443F">
        <w:t xml:space="preserve"> rozpočtované ve výši 185 000  tis. Kč, tj</w:t>
      </w:r>
      <w:r w:rsidRPr="00406B5C">
        <w:t>. 0,</w:t>
      </w:r>
      <w:r w:rsidR="00F629D9" w:rsidRPr="00406B5C">
        <w:t>46</w:t>
      </w:r>
      <w:r w:rsidRPr="00406B5C">
        <w:t xml:space="preserve"> % souhrnného ukazatele. Jde především o poplatky za správní úkony, jejichž výsledkem jsou vydaná povolení, rozhodnutí apod. Nejvyšší měrou se na výběru správních poplatků podílí ústřední orgán Ministerstva dopravy, a to částkou 159 800 tis. Kč, což představuje 86,38 % z dané položky příjmů, dále Úřad pro civilní letectví </w:t>
      </w:r>
      <w:r w:rsidRPr="00406B5C">
        <w:br/>
        <w:t xml:space="preserve">částkou 16 000 tis. Kč, tj. 8,65 %, Státní plavební správa částkou 6 200 tis. Kč, tj. 3,35 % </w:t>
      </w:r>
      <w:r w:rsidRPr="00406B5C">
        <w:br/>
        <w:t xml:space="preserve">a Drážní úřad částkou 3 000 tis. Kč, tj. 1,62 %. </w:t>
      </w:r>
    </w:p>
    <w:p w:rsidR="00F629D9" w:rsidRPr="00406B5C" w:rsidRDefault="00CF4BB2" w:rsidP="00CF4BB2">
      <w:pPr>
        <w:pStyle w:val="Styl1"/>
      </w:pPr>
      <w:r w:rsidRPr="00406B5C">
        <w:rPr>
          <w:u w:val="single"/>
        </w:rPr>
        <w:t>Příjmy z vlastní činnosti</w:t>
      </w:r>
      <w:r w:rsidRPr="00406B5C">
        <w:t xml:space="preserve"> organizačních složek státu jsou rozpočtovány ve výši </w:t>
      </w:r>
      <w:r w:rsidR="00F629D9" w:rsidRPr="00406B5C">
        <w:t>2</w:t>
      </w:r>
      <w:r w:rsidRPr="00406B5C">
        <w:t xml:space="preserve"> 800 tis. Kč, což představuje 0,0</w:t>
      </w:r>
      <w:r w:rsidR="00F629D9" w:rsidRPr="00406B5C">
        <w:t>1</w:t>
      </w:r>
      <w:r w:rsidRPr="00406B5C">
        <w:t xml:space="preserve"> % souhrnného ukazatele příjmy celkem. Tyto příjmy vytváří především </w:t>
      </w:r>
      <w:r w:rsidR="00F629D9" w:rsidRPr="00406B5C">
        <w:t xml:space="preserve"> Ředitelství vodních cest ČR částkou 2 200 tis. Kč, tj. podíl 78,57 %, a to za služby poskytované při provozování říční přístavní infrastruktury. Dále se na těchto příjmech podílí </w:t>
      </w:r>
      <w:r w:rsidRPr="00406B5C">
        <w:t xml:space="preserve">Úřad pro civilní letectví, a to ve výši 600 tis. Kč, tj. </w:t>
      </w:r>
      <w:r w:rsidR="00F629D9" w:rsidRPr="00406B5C">
        <w:t>21,43</w:t>
      </w:r>
      <w:r w:rsidRPr="00406B5C">
        <w:t xml:space="preserve"> % z dané položky příjmů</w:t>
      </w:r>
      <w:r w:rsidR="002A2AAC" w:rsidRPr="00406B5C">
        <w:t xml:space="preserve"> (novelou zákona o státním rozpočtu na rok 2021 došlo ke snížení příjmu o 43 000 tis. Kč)</w:t>
      </w:r>
      <w:r w:rsidRPr="00406B5C">
        <w:t xml:space="preserve">. Jde zejména o příjmy z poskytování letových navigačních služeb v souladu s nařízením EK č. 390/2013. </w:t>
      </w:r>
    </w:p>
    <w:p w:rsidR="00CF4BB2" w:rsidRPr="001D7837" w:rsidRDefault="00CF4BB2" w:rsidP="00CF4BB2">
      <w:pPr>
        <w:pStyle w:val="Styl1"/>
      </w:pPr>
      <w:r w:rsidRPr="001D7837">
        <w:rPr>
          <w:u w:val="single"/>
        </w:rPr>
        <w:t>Odvody přebytků organizací s přímým vztahem</w:t>
      </w:r>
      <w:r w:rsidRPr="001D7837">
        <w:t xml:space="preserve"> nejsou pro rok 2021 rozpočtovány, a to z důvodu předpokládané ztráty z hospodaření státního podniku Řízení letového provozu (ŘLP) za rok 2020 způsobenou výrazným omezením letecké dopravy vlivem celosvětové pandemie COVID – 19, kdy ŘLP nebude schopno provést odvod do Fondu zakladatele</w:t>
      </w:r>
      <w:r w:rsidR="00EB40EF">
        <w:t>,</w:t>
      </w:r>
      <w:r w:rsidR="009E15C7">
        <w:t xml:space="preserve"> a následně</w:t>
      </w:r>
      <w:r w:rsidRPr="001D7837">
        <w:t xml:space="preserve"> realizovat v roce 2021 odvod do státního rozpočtu.</w:t>
      </w:r>
    </w:p>
    <w:p w:rsidR="00CF4BB2" w:rsidRPr="00965A16" w:rsidRDefault="00CF4BB2" w:rsidP="00CF4BB2">
      <w:pPr>
        <w:pStyle w:val="Styl1"/>
      </w:pPr>
      <w:r w:rsidRPr="00965A16">
        <w:rPr>
          <w:u w:val="single"/>
        </w:rPr>
        <w:t>Příjmy z pronájmu majetku</w:t>
      </w:r>
      <w:r w:rsidRPr="00965A16">
        <w:t xml:space="preserve"> jsou rozpočtovány částkou 35 117 tis. Kč, tj</w:t>
      </w:r>
      <w:r w:rsidRPr="00406B5C">
        <w:t>. 0,0</w:t>
      </w:r>
      <w:r w:rsidR="00841BBE" w:rsidRPr="00406B5C">
        <w:t>9</w:t>
      </w:r>
      <w:r w:rsidRPr="00406B5C">
        <w:t xml:space="preserve"> % </w:t>
      </w:r>
      <w:r w:rsidRPr="00965A16">
        <w:t>souhrnného ukazatele. Na tvorbě tohoto druhu příjmů se podílí ústřední orgán Ministerstva dopravy částkou 30 217 tis. Kč, což představuje 86,05 % uvedených příjmů, Ředitelství vodních cest ČR částkou 4 800 tis. Kč, tj. 13,67 %, a Státní plavební správa částkou 100 tis. Kč, tj. 0,28 %.</w:t>
      </w:r>
    </w:p>
    <w:p w:rsidR="00CF4BB2" w:rsidRPr="00965A16" w:rsidRDefault="00CF4BB2" w:rsidP="00CF4BB2">
      <w:pPr>
        <w:pStyle w:val="Styl1"/>
      </w:pPr>
      <w:r w:rsidRPr="00965A16">
        <w:rPr>
          <w:u w:val="single"/>
        </w:rPr>
        <w:lastRenderedPageBreak/>
        <w:t>Výnosy z finančního majetku</w:t>
      </w:r>
      <w:r w:rsidRPr="00965A16">
        <w:t xml:space="preserve"> jsou rozpočtovány ve výši 15 tis. Kč. Jde o přijaté úroky z bankovních účtů, které byly zřízeny k platebním kartám pro pracovní cesty zaměstnanců ministerstva. Tyto příjmy jsou rozpočtovány pouze u ústředního orgánu Ministerstva dopravy. </w:t>
      </w:r>
    </w:p>
    <w:p w:rsidR="00CF4BB2" w:rsidRPr="0047443F" w:rsidRDefault="00CF4BB2" w:rsidP="00CF4BB2">
      <w:pPr>
        <w:pStyle w:val="Styl1"/>
      </w:pPr>
      <w:r w:rsidRPr="0047443F">
        <w:rPr>
          <w:u w:val="single"/>
        </w:rPr>
        <w:t>Přijaté sankční platby</w:t>
      </w:r>
      <w:r w:rsidRPr="0047443F">
        <w:t xml:space="preserve"> jsou rozpočtovány ve výši 1 068 tis. Kč. Jde o pokuty udělené za porušení obecně závazných předpisů v rámci činností souvisejících s dopravou. Nejvyšší přijaté sankční platby jsou rozpočtovány u Úřadu pro civilní letectví částkou 400 tis. Kč, což představuje 37,45 % z uvedených příjmů, dále u Drážního úřadu částkou 342 tis. Kč, tj. 32,02 % a v poslední řadě u Ministerstva dopra</w:t>
      </w:r>
      <w:r w:rsidR="00EB40EF">
        <w:t>vy ve výši 326 tis. Kč, tj. 30,</w:t>
      </w:r>
      <w:r w:rsidRPr="0047443F">
        <w:t xml:space="preserve">52 %. </w:t>
      </w:r>
      <w:r>
        <w:t xml:space="preserve">  </w:t>
      </w:r>
      <w:bookmarkStart w:id="16" w:name="_GoBack"/>
      <w:bookmarkEnd w:id="16"/>
    </w:p>
    <w:p w:rsidR="00CF4BB2" w:rsidRPr="00FF0A6B" w:rsidRDefault="00CF4BB2" w:rsidP="00CF4BB2">
      <w:pPr>
        <w:pStyle w:val="Styl1"/>
      </w:pPr>
      <w:r w:rsidRPr="00FF0A6B">
        <w:t>Srovnání konstrukce souhrnného ukazatele „Daňové příjmy, nedaňové příjmy, kapitálové příjmy a přijaté transfery celkem“ pro rok 2021 se schváleným rozpočtem roku 2020 vyjadřuje následující tabulka.</w:t>
      </w:r>
    </w:p>
    <w:p w:rsidR="00CF4BB2" w:rsidRPr="00FF0A6B" w:rsidRDefault="00CF4BB2" w:rsidP="00CF4BB2">
      <w:pPr>
        <w:pStyle w:val="Titulek"/>
        <w:keepNext/>
        <w:rPr>
          <w:color w:val="FF0000"/>
        </w:rPr>
      </w:pPr>
      <w:r w:rsidRPr="00965A16">
        <w:t xml:space="preserve">Tabulka č. </w:t>
      </w:r>
      <w:fldSimple w:instr=" SEQ Tabulka \* ARABIC ">
        <w:r w:rsidR="006076E7">
          <w:rPr>
            <w:noProof/>
          </w:rPr>
          <w:t>4</w:t>
        </w:r>
      </w:fldSimple>
      <w:r w:rsidRPr="00965A16">
        <w:t xml:space="preserve"> Druhové členění příjmů celkem (v tis. Kč)</w:t>
      </w:r>
    </w:p>
    <w:tbl>
      <w:tblPr>
        <w:tblStyle w:val="Svtltabulkasmkou1"/>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5110"/>
        <w:gridCol w:w="1440"/>
        <w:gridCol w:w="1440"/>
        <w:gridCol w:w="1072"/>
      </w:tblGrid>
      <w:tr w:rsidR="00CF4BB2" w:rsidRPr="00FF0A6B" w:rsidTr="004B2259">
        <w:tc>
          <w:tcPr>
            <w:tcW w:w="511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bookmarkEnd w:id="15"/>
          <w:p w:rsidR="00CF4BB2" w:rsidRPr="00FF0A6B" w:rsidRDefault="00CF4BB2" w:rsidP="00CF4BB2">
            <w:pPr>
              <w:pStyle w:val="Zkladntext"/>
              <w:jc w:val="center"/>
              <w:rPr>
                <w:b/>
              </w:rPr>
            </w:pPr>
            <w:r w:rsidRPr="00FF0A6B">
              <w:rPr>
                <w:b/>
              </w:rPr>
              <w:t>Ukazatel</w:t>
            </w:r>
          </w:p>
        </w:tc>
        <w:tc>
          <w:tcPr>
            <w:tcW w:w="144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CF4BB2" w:rsidRPr="00FF0A6B" w:rsidRDefault="00CF4BB2" w:rsidP="004B2259">
            <w:pPr>
              <w:jc w:val="center"/>
              <w:rPr>
                <w:rFonts w:cs="Times New Roman"/>
                <w:b/>
                <w:szCs w:val="24"/>
              </w:rPr>
            </w:pPr>
            <w:r w:rsidRPr="00FF0A6B">
              <w:rPr>
                <w:rFonts w:cs="Times New Roman"/>
                <w:b/>
                <w:szCs w:val="24"/>
              </w:rPr>
              <w:t>Schválený</w:t>
            </w:r>
          </w:p>
          <w:p w:rsidR="00CF4BB2" w:rsidRPr="00FF0A6B" w:rsidRDefault="00CF4BB2" w:rsidP="004B2259">
            <w:pPr>
              <w:jc w:val="center"/>
              <w:rPr>
                <w:rFonts w:cs="Times New Roman"/>
                <w:b/>
                <w:szCs w:val="24"/>
              </w:rPr>
            </w:pPr>
            <w:r w:rsidRPr="00FF0A6B">
              <w:rPr>
                <w:rFonts w:cs="Times New Roman"/>
                <w:b/>
                <w:szCs w:val="24"/>
              </w:rPr>
              <w:t>rozpočet</w:t>
            </w:r>
          </w:p>
          <w:p w:rsidR="00CF4BB2" w:rsidRPr="00FF0A6B" w:rsidRDefault="00CF4BB2" w:rsidP="004B2259">
            <w:pPr>
              <w:jc w:val="center"/>
              <w:rPr>
                <w:rFonts w:cs="Times New Roman"/>
                <w:b/>
                <w:szCs w:val="24"/>
              </w:rPr>
            </w:pPr>
            <w:r w:rsidRPr="00FF0A6B">
              <w:rPr>
                <w:rFonts w:cs="Times New Roman"/>
                <w:b/>
                <w:szCs w:val="24"/>
              </w:rPr>
              <w:t>2020</w:t>
            </w:r>
          </w:p>
        </w:tc>
        <w:tc>
          <w:tcPr>
            <w:tcW w:w="144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CF4BB2" w:rsidRPr="00FF0A6B" w:rsidRDefault="00CF4BB2" w:rsidP="004B2259">
            <w:pPr>
              <w:jc w:val="center"/>
              <w:rPr>
                <w:rFonts w:cs="Times New Roman"/>
                <w:b/>
                <w:szCs w:val="24"/>
              </w:rPr>
            </w:pPr>
            <w:r w:rsidRPr="00FF0A6B">
              <w:rPr>
                <w:rFonts w:cs="Times New Roman"/>
                <w:b/>
                <w:szCs w:val="24"/>
              </w:rPr>
              <w:t>Návrh</w:t>
            </w:r>
          </w:p>
          <w:p w:rsidR="00CF4BB2" w:rsidRPr="00FF0A6B" w:rsidRDefault="00CF4BB2" w:rsidP="004B2259">
            <w:pPr>
              <w:jc w:val="center"/>
              <w:rPr>
                <w:rFonts w:cs="Times New Roman"/>
                <w:b/>
                <w:szCs w:val="24"/>
              </w:rPr>
            </w:pPr>
            <w:r w:rsidRPr="00FF0A6B">
              <w:rPr>
                <w:rFonts w:cs="Times New Roman"/>
                <w:b/>
                <w:szCs w:val="24"/>
              </w:rPr>
              <w:t>rozpočtu</w:t>
            </w:r>
          </w:p>
          <w:p w:rsidR="00CF4BB2" w:rsidRPr="00FF0A6B" w:rsidRDefault="00CF4BB2" w:rsidP="004B2259">
            <w:pPr>
              <w:jc w:val="center"/>
              <w:rPr>
                <w:rFonts w:cs="Times New Roman"/>
                <w:b/>
                <w:szCs w:val="24"/>
              </w:rPr>
            </w:pPr>
            <w:r w:rsidRPr="00FF0A6B">
              <w:rPr>
                <w:rFonts w:cs="Times New Roman"/>
                <w:b/>
                <w:szCs w:val="24"/>
              </w:rPr>
              <w:t>2021</w:t>
            </w:r>
          </w:p>
        </w:tc>
        <w:tc>
          <w:tcPr>
            <w:tcW w:w="1072"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CF4BB2" w:rsidRPr="00FF0A6B" w:rsidRDefault="00CF4BB2" w:rsidP="00CF4BB2">
            <w:pPr>
              <w:jc w:val="center"/>
              <w:rPr>
                <w:rFonts w:cs="Times New Roman"/>
                <w:b/>
                <w:szCs w:val="24"/>
              </w:rPr>
            </w:pPr>
            <w:r w:rsidRPr="00FF0A6B">
              <w:rPr>
                <w:rFonts w:cs="Times New Roman"/>
                <w:b/>
                <w:szCs w:val="24"/>
              </w:rPr>
              <w:t>Index</w:t>
            </w:r>
          </w:p>
          <w:p w:rsidR="00CF4BB2" w:rsidRPr="00FF0A6B" w:rsidRDefault="00CF4BB2" w:rsidP="00CF4BB2">
            <w:pPr>
              <w:jc w:val="center"/>
              <w:rPr>
                <w:rFonts w:cs="Times New Roman"/>
                <w:b/>
                <w:szCs w:val="24"/>
              </w:rPr>
            </w:pPr>
            <w:r w:rsidRPr="00FF0A6B">
              <w:rPr>
                <w:rFonts w:cs="Times New Roman"/>
                <w:b/>
                <w:szCs w:val="24"/>
              </w:rPr>
              <w:t>2021/</w:t>
            </w:r>
            <w:r w:rsidRPr="00FF0A6B">
              <w:rPr>
                <w:rFonts w:cs="Times New Roman"/>
                <w:b/>
                <w:szCs w:val="24"/>
              </w:rPr>
              <w:br/>
              <w:t>2020</w:t>
            </w:r>
          </w:p>
          <w:p w:rsidR="00CF4BB2" w:rsidRPr="00FF0A6B" w:rsidRDefault="00CF4BB2" w:rsidP="00CF4BB2">
            <w:pPr>
              <w:jc w:val="center"/>
              <w:rPr>
                <w:rFonts w:cs="Times New Roman"/>
                <w:b/>
                <w:szCs w:val="24"/>
              </w:rPr>
            </w:pPr>
            <w:r w:rsidRPr="00FF0A6B">
              <w:rPr>
                <w:rFonts w:cs="Times New Roman"/>
                <w:b/>
                <w:szCs w:val="24"/>
              </w:rPr>
              <w:t>(v %)</w:t>
            </w:r>
          </w:p>
        </w:tc>
      </w:tr>
      <w:tr w:rsidR="00CF4BB2" w:rsidRPr="00FF0A6B" w:rsidTr="00CF4BB2">
        <w:tc>
          <w:tcPr>
            <w:tcW w:w="5110" w:type="dxa"/>
            <w:tcBorders>
              <w:top w:val="single" w:sz="8" w:space="0" w:color="7F7F7F" w:themeColor="text1" w:themeTint="80"/>
              <w:bottom w:val="single" w:sz="8" w:space="0" w:color="7F7F7F" w:themeColor="text1" w:themeTint="80"/>
            </w:tcBorders>
          </w:tcPr>
          <w:p w:rsidR="00CF4BB2" w:rsidRPr="00FF0A6B" w:rsidRDefault="00CF4BB2" w:rsidP="00CF4BB2">
            <w:pPr>
              <w:rPr>
                <w:rFonts w:cs="Times New Roman"/>
                <w:b/>
                <w:szCs w:val="24"/>
              </w:rPr>
            </w:pPr>
            <w:r w:rsidRPr="00FF0A6B">
              <w:rPr>
                <w:rFonts w:cs="Times New Roman"/>
                <w:b/>
                <w:szCs w:val="24"/>
              </w:rPr>
              <w:t xml:space="preserve">Daňové příjmy, nedaňové příjmy, kapitálové příjmy a přijaté transfery celkem </w:t>
            </w:r>
            <w:r w:rsidRPr="00FF0A6B">
              <w:rPr>
                <w:rFonts w:cs="Times New Roman"/>
              </w:rPr>
              <w:t>v tom:</w:t>
            </w:r>
          </w:p>
        </w:tc>
        <w:tc>
          <w:tcPr>
            <w:tcW w:w="1440" w:type="dxa"/>
            <w:tcBorders>
              <w:top w:val="single" w:sz="8" w:space="0" w:color="7F7F7F" w:themeColor="text1" w:themeTint="80"/>
              <w:bottom w:val="single" w:sz="8" w:space="0" w:color="7F7F7F" w:themeColor="text1" w:themeTint="80"/>
            </w:tcBorders>
            <w:vAlign w:val="center"/>
          </w:tcPr>
          <w:p w:rsidR="00CF4BB2" w:rsidRPr="00FF0A6B" w:rsidRDefault="00CF4BB2" w:rsidP="00CF4BB2">
            <w:pPr>
              <w:pStyle w:val="Zkladntext"/>
              <w:spacing w:before="120"/>
              <w:jc w:val="right"/>
              <w:rPr>
                <w:b/>
                <w:bCs w:val="0"/>
              </w:rPr>
            </w:pPr>
            <w:r w:rsidRPr="00FF0A6B">
              <w:rPr>
                <w:b/>
                <w:bCs w:val="0"/>
              </w:rPr>
              <w:t>13 847 511</w:t>
            </w:r>
          </w:p>
        </w:tc>
        <w:tc>
          <w:tcPr>
            <w:tcW w:w="1440" w:type="dxa"/>
            <w:tcBorders>
              <w:top w:val="single" w:sz="8" w:space="0" w:color="7F7F7F" w:themeColor="text1" w:themeTint="80"/>
              <w:bottom w:val="single" w:sz="8" w:space="0" w:color="7F7F7F" w:themeColor="text1" w:themeTint="80"/>
            </w:tcBorders>
            <w:vAlign w:val="center"/>
          </w:tcPr>
          <w:p w:rsidR="00CF4BB2" w:rsidRPr="00406B5C" w:rsidRDefault="00841BBE" w:rsidP="00CF4BB2">
            <w:pPr>
              <w:pStyle w:val="Zkladntext"/>
              <w:spacing w:before="120"/>
              <w:jc w:val="right"/>
              <w:rPr>
                <w:b/>
                <w:bCs w:val="0"/>
              </w:rPr>
            </w:pPr>
            <w:r w:rsidRPr="00406B5C">
              <w:rPr>
                <w:b/>
                <w:bCs w:val="0"/>
              </w:rPr>
              <w:t>39 927</w:t>
            </w:r>
            <w:r w:rsidR="00CF4BB2" w:rsidRPr="00406B5C">
              <w:rPr>
                <w:b/>
                <w:bCs w:val="0"/>
              </w:rPr>
              <w:t xml:space="preserve"> 023</w:t>
            </w:r>
          </w:p>
        </w:tc>
        <w:tc>
          <w:tcPr>
            <w:tcW w:w="1072" w:type="dxa"/>
            <w:tcBorders>
              <w:top w:val="single" w:sz="8" w:space="0" w:color="7F7F7F" w:themeColor="text1" w:themeTint="80"/>
              <w:bottom w:val="single" w:sz="8" w:space="0" w:color="7F7F7F" w:themeColor="text1" w:themeTint="80"/>
            </w:tcBorders>
            <w:vAlign w:val="center"/>
          </w:tcPr>
          <w:p w:rsidR="00CF4BB2" w:rsidRPr="00406B5C" w:rsidRDefault="00841BBE" w:rsidP="00841BBE">
            <w:pPr>
              <w:pStyle w:val="Zkladntext"/>
              <w:spacing w:before="120"/>
              <w:jc w:val="right"/>
              <w:rPr>
                <w:b/>
                <w:bCs w:val="0"/>
              </w:rPr>
            </w:pPr>
            <w:r w:rsidRPr="00406B5C">
              <w:rPr>
                <w:b/>
                <w:bCs w:val="0"/>
              </w:rPr>
              <w:t>288,33</w:t>
            </w:r>
          </w:p>
        </w:tc>
      </w:tr>
      <w:tr w:rsidR="00CF4BB2" w:rsidRPr="00FF0A6B" w:rsidTr="00CF4BB2">
        <w:tc>
          <w:tcPr>
            <w:tcW w:w="5110" w:type="dxa"/>
          </w:tcPr>
          <w:p w:rsidR="00CF4BB2" w:rsidRPr="00FF0A6B" w:rsidRDefault="00CF4BB2" w:rsidP="00CF4BB2">
            <w:pPr>
              <w:rPr>
                <w:rFonts w:cs="Times New Roman"/>
                <w:szCs w:val="24"/>
              </w:rPr>
            </w:pPr>
            <w:r w:rsidRPr="00FF0A6B">
              <w:rPr>
                <w:rFonts w:cs="Times New Roman"/>
                <w:szCs w:val="24"/>
              </w:rPr>
              <w:t>správní poplatky</w:t>
            </w:r>
          </w:p>
        </w:tc>
        <w:tc>
          <w:tcPr>
            <w:tcW w:w="1440" w:type="dxa"/>
            <w:vAlign w:val="center"/>
          </w:tcPr>
          <w:p w:rsidR="00CF4BB2" w:rsidRPr="00FF0A6B" w:rsidRDefault="00CF4BB2" w:rsidP="00CF4BB2">
            <w:pPr>
              <w:pStyle w:val="Zkladntext"/>
              <w:jc w:val="right"/>
            </w:pPr>
            <w:r w:rsidRPr="00FF0A6B">
              <w:t>170 000</w:t>
            </w:r>
          </w:p>
        </w:tc>
        <w:tc>
          <w:tcPr>
            <w:tcW w:w="1440" w:type="dxa"/>
            <w:vAlign w:val="center"/>
          </w:tcPr>
          <w:p w:rsidR="00CF4BB2" w:rsidRPr="00406B5C" w:rsidRDefault="00CF4BB2" w:rsidP="00CF4BB2">
            <w:pPr>
              <w:pStyle w:val="Zkladntext"/>
              <w:jc w:val="right"/>
            </w:pPr>
            <w:r w:rsidRPr="00406B5C">
              <w:t>185 000</w:t>
            </w:r>
          </w:p>
        </w:tc>
        <w:tc>
          <w:tcPr>
            <w:tcW w:w="1072" w:type="dxa"/>
            <w:vAlign w:val="center"/>
          </w:tcPr>
          <w:p w:rsidR="00CF4BB2" w:rsidRPr="00406B5C" w:rsidRDefault="00CF4BB2" w:rsidP="00CF4BB2">
            <w:pPr>
              <w:pStyle w:val="Zkladntext"/>
              <w:jc w:val="right"/>
            </w:pPr>
            <w:r w:rsidRPr="00406B5C">
              <w:t xml:space="preserve">108,82 </w:t>
            </w:r>
          </w:p>
        </w:tc>
      </w:tr>
      <w:tr w:rsidR="00CF4BB2" w:rsidRPr="00FF0A6B" w:rsidTr="00CF4BB2">
        <w:tc>
          <w:tcPr>
            <w:tcW w:w="5110" w:type="dxa"/>
          </w:tcPr>
          <w:p w:rsidR="00CF4BB2" w:rsidRPr="00FF0A6B" w:rsidRDefault="00CF4BB2" w:rsidP="00CF4BB2">
            <w:pPr>
              <w:ind w:left="180" w:hanging="180"/>
              <w:rPr>
                <w:rFonts w:cs="Times New Roman"/>
                <w:szCs w:val="24"/>
              </w:rPr>
            </w:pPr>
            <w:r w:rsidRPr="00FF0A6B">
              <w:rPr>
                <w:rFonts w:cs="Times New Roman"/>
                <w:szCs w:val="24"/>
              </w:rPr>
              <w:t>příjmy z vlastní činnosti</w:t>
            </w:r>
          </w:p>
        </w:tc>
        <w:tc>
          <w:tcPr>
            <w:tcW w:w="1440" w:type="dxa"/>
            <w:vAlign w:val="center"/>
          </w:tcPr>
          <w:p w:rsidR="00CF4BB2" w:rsidRPr="00FF0A6B" w:rsidRDefault="00CF4BB2" w:rsidP="00CF4BB2">
            <w:pPr>
              <w:pStyle w:val="Zkladntext"/>
              <w:jc w:val="right"/>
            </w:pPr>
            <w:r w:rsidRPr="00FF0A6B">
              <w:t>44 800</w:t>
            </w:r>
          </w:p>
        </w:tc>
        <w:tc>
          <w:tcPr>
            <w:tcW w:w="1440" w:type="dxa"/>
            <w:vAlign w:val="center"/>
          </w:tcPr>
          <w:p w:rsidR="00CF4BB2" w:rsidRPr="00406B5C" w:rsidRDefault="00841BBE" w:rsidP="00CF4BB2">
            <w:pPr>
              <w:pStyle w:val="Zkladntext"/>
              <w:jc w:val="right"/>
            </w:pPr>
            <w:r w:rsidRPr="00406B5C">
              <w:t>2</w:t>
            </w:r>
            <w:r w:rsidR="00CF4BB2" w:rsidRPr="00406B5C">
              <w:t xml:space="preserve"> 800</w:t>
            </w:r>
          </w:p>
        </w:tc>
        <w:tc>
          <w:tcPr>
            <w:tcW w:w="1072" w:type="dxa"/>
            <w:vAlign w:val="center"/>
          </w:tcPr>
          <w:p w:rsidR="00CF4BB2" w:rsidRPr="00406B5C" w:rsidRDefault="00841BBE" w:rsidP="00CF4BB2">
            <w:pPr>
              <w:pStyle w:val="Zkladntext"/>
              <w:jc w:val="right"/>
            </w:pPr>
            <w:r w:rsidRPr="00406B5C">
              <w:t>6,25</w:t>
            </w:r>
          </w:p>
        </w:tc>
      </w:tr>
      <w:tr w:rsidR="00CF4BB2" w:rsidRPr="00FF0A6B" w:rsidTr="00CF4BB2">
        <w:tc>
          <w:tcPr>
            <w:tcW w:w="5110" w:type="dxa"/>
          </w:tcPr>
          <w:p w:rsidR="00CF4BB2" w:rsidRPr="00FF0A6B" w:rsidRDefault="00CF4BB2" w:rsidP="00CF4BB2">
            <w:pPr>
              <w:ind w:left="180" w:hanging="180"/>
              <w:rPr>
                <w:rFonts w:cs="Times New Roman"/>
                <w:bCs/>
                <w:szCs w:val="24"/>
              </w:rPr>
            </w:pPr>
            <w:r w:rsidRPr="00FF0A6B">
              <w:rPr>
                <w:rFonts w:cs="Times New Roman"/>
                <w:szCs w:val="24"/>
              </w:rPr>
              <w:t>odvody přebytků organizací s přímým vztahem</w:t>
            </w:r>
          </w:p>
        </w:tc>
        <w:tc>
          <w:tcPr>
            <w:tcW w:w="1440" w:type="dxa"/>
            <w:vAlign w:val="center"/>
          </w:tcPr>
          <w:p w:rsidR="00CF4BB2" w:rsidRPr="00FF0A6B" w:rsidRDefault="00CF4BB2" w:rsidP="00CF4BB2">
            <w:pPr>
              <w:pStyle w:val="Zkladntext"/>
              <w:jc w:val="right"/>
              <w:rPr>
                <w:bCs w:val="0"/>
              </w:rPr>
            </w:pPr>
            <w:r w:rsidRPr="00FF0A6B">
              <w:rPr>
                <w:bCs w:val="0"/>
              </w:rPr>
              <w:t>100 000</w:t>
            </w:r>
          </w:p>
        </w:tc>
        <w:tc>
          <w:tcPr>
            <w:tcW w:w="1440" w:type="dxa"/>
            <w:vAlign w:val="center"/>
          </w:tcPr>
          <w:p w:rsidR="00CF4BB2" w:rsidRPr="00406B5C" w:rsidRDefault="00CF4BB2" w:rsidP="00CF4BB2">
            <w:pPr>
              <w:pStyle w:val="Zkladntext"/>
              <w:jc w:val="right"/>
              <w:rPr>
                <w:bCs w:val="0"/>
              </w:rPr>
            </w:pPr>
            <w:r w:rsidRPr="00406B5C">
              <w:rPr>
                <w:bCs w:val="0"/>
              </w:rPr>
              <w:t>0</w:t>
            </w:r>
          </w:p>
        </w:tc>
        <w:tc>
          <w:tcPr>
            <w:tcW w:w="1072" w:type="dxa"/>
            <w:vAlign w:val="center"/>
          </w:tcPr>
          <w:p w:rsidR="00CF4BB2" w:rsidRPr="00406B5C" w:rsidRDefault="00CF4BB2" w:rsidP="00CF4BB2">
            <w:pPr>
              <w:pStyle w:val="Zkladntext"/>
              <w:jc w:val="right"/>
              <w:rPr>
                <w:bCs w:val="0"/>
              </w:rPr>
            </w:pPr>
            <w:r w:rsidRPr="00406B5C">
              <w:rPr>
                <w:bCs w:val="0"/>
              </w:rPr>
              <w:t>0,00</w:t>
            </w:r>
          </w:p>
        </w:tc>
      </w:tr>
      <w:tr w:rsidR="00CF4BB2" w:rsidRPr="00FF0A6B" w:rsidTr="00CF4BB2">
        <w:tc>
          <w:tcPr>
            <w:tcW w:w="5110" w:type="dxa"/>
          </w:tcPr>
          <w:p w:rsidR="00CF4BB2" w:rsidRPr="00FF0A6B" w:rsidRDefault="00CF4BB2" w:rsidP="00CF4BB2">
            <w:pPr>
              <w:ind w:left="180" w:hanging="180"/>
              <w:rPr>
                <w:rFonts w:cs="Times New Roman"/>
                <w:szCs w:val="24"/>
              </w:rPr>
            </w:pPr>
            <w:r w:rsidRPr="00FF0A6B">
              <w:rPr>
                <w:rFonts w:cs="Times New Roman"/>
                <w:szCs w:val="24"/>
              </w:rPr>
              <w:t>příjmy z pronájmu majetku</w:t>
            </w:r>
          </w:p>
        </w:tc>
        <w:tc>
          <w:tcPr>
            <w:tcW w:w="1440" w:type="dxa"/>
            <w:vAlign w:val="center"/>
          </w:tcPr>
          <w:p w:rsidR="00CF4BB2" w:rsidRPr="00FF0A6B" w:rsidRDefault="00CF4BB2" w:rsidP="00CF4BB2">
            <w:pPr>
              <w:pStyle w:val="Zkladntext"/>
              <w:jc w:val="right"/>
            </w:pPr>
            <w:r w:rsidRPr="00FF0A6B">
              <w:t>31 117</w:t>
            </w:r>
          </w:p>
        </w:tc>
        <w:tc>
          <w:tcPr>
            <w:tcW w:w="1440" w:type="dxa"/>
            <w:vAlign w:val="center"/>
          </w:tcPr>
          <w:p w:rsidR="00CF4BB2" w:rsidRPr="00406B5C" w:rsidRDefault="00CF4BB2" w:rsidP="00CF4BB2">
            <w:pPr>
              <w:pStyle w:val="Zkladntext"/>
              <w:jc w:val="right"/>
            </w:pPr>
            <w:r w:rsidRPr="00406B5C">
              <w:t>35 117</w:t>
            </w:r>
          </w:p>
        </w:tc>
        <w:tc>
          <w:tcPr>
            <w:tcW w:w="1072" w:type="dxa"/>
            <w:vAlign w:val="center"/>
          </w:tcPr>
          <w:p w:rsidR="00CF4BB2" w:rsidRPr="00406B5C" w:rsidRDefault="00CF4BB2" w:rsidP="00CF4BB2">
            <w:pPr>
              <w:pStyle w:val="Zkladntext"/>
              <w:jc w:val="right"/>
            </w:pPr>
            <w:r w:rsidRPr="00406B5C">
              <w:t>112,85</w:t>
            </w:r>
          </w:p>
        </w:tc>
      </w:tr>
      <w:tr w:rsidR="00CF4BB2" w:rsidRPr="00FF0A6B" w:rsidTr="00CF4BB2">
        <w:tc>
          <w:tcPr>
            <w:tcW w:w="5110" w:type="dxa"/>
          </w:tcPr>
          <w:p w:rsidR="00CF4BB2" w:rsidRPr="00FF0A6B" w:rsidRDefault="00CF4BB2" w:rsidP="00CF4BB2">
            <w:pPr>
              <w:ind w:left="180" w:hanging="180"/>
              <w:rPr>
                <w:rFonts w:cs="Times New Roman"/>
                <w:szCs w:val="24"/>
              </w:rPr>
            </w:pPr>
            <w:r w:rsidRPr="00FF0A6B">
              <w:rPr>
                <w:rFonts w:cs="Times New Roman"/>
                <w:szCs w:val="24"/>
              </w:rPr>
              <w:t>výnosy z finančního majetku</w:t>
            </w:r>
          </w:p>
        </w:tc>
        <w:tc>
          <w:tcPr>
            <w:tcW w:w="1440" w:type="dxa"/>
            <w:vAlign w:val="center"/>
          </w:tcPr>
          <w:p w:rsidR="00CF4BB2" w:rsidRPr="00FF0A6B" w:rsidRDefault="00CF4BB2" w:rsidP="00CF4BB2">
            <w:pPr>
              <w:pStyle w:val="Zkladntext"/>
              <w:jc w:val="right"/>
              <w:rPr>
                <w:bCs w:val="0"/>
              </w:rPr>
            </w:pPr>
            <w:r w:rsidRPr="00FF0A6B">
              <w:rPr>
                <w:bCs w:val="0"/>
              </w:rPr>
              <w:t>15</w:t>
            </w:r>
          </w:p>
        </w:tc>
        <w:tc>
          <w:tcPr>
            <w:tcW w:w="1440" w:type="dxa"/>
            <w:tcBorders>
              <w:bottom w:val="single" w:sz="4" w:space="0" w:color="7F7F7F" w:themeColor="text1" w:themeTint="80"/>
            </w:tcBorders>
            <w:vAlign w:val="center"/>
          </w:tcPr>
          <w:p w:rsidR="00CF4BB2" w:rsidRPr="00406B5C" w:rsidRDefault="00CF4BB2" w:rsidP="00CF4BB2">
            <w:pPr>
              <w:pStyle w:val="Zkladntext"/>
              <w:jc w:val="right"/>
              <w:rPr>
                <w:bCs w:val="0"/>
              </w:rPr>
            </w:pPr>
            <w:r w:rsidRPr="00406B5C">
              <w:rPr>
                <w:bCs w:val="0"/>
              </w:rPr>
              <w:t>15</w:t>
            </w:r>
          </w:p>
        </w:tc>
        <w:tc>
          <w:tcPr>
            <w:tcW w:w="1072" w:type="dxa"/>
            <w:vAlign w:val="center"/>
          </w:tcPr>
          <w:p w:rsidR="00CF4BB2" w:rsidRPr="00406B5C" w:rsidRDefault="00CF4BB2" w:rsidP="00CF4BB2">
            <w:pPr>
              <w:pStyle w:val="Zkladntext"/>
              <w:jc w:val="right"/>
            </w:pPr>
            <w:r w:rsidRPr="00406B5C">
              <w:t>100,00</w:t>
            </w:r>
          </w:p>
        </w:tc>
      </w:tr>
      <w:tr w:rsidR="00CF4BB2" w:rsidRPr="00FF0A6B" w:rsidTr="00CF4BB2">
        <w:tc>
          <w:tcPr>
            <w:tcW w:w="5110" w:type="dxa"/>
          </w:tcPr>
          <w:p w:rsidR="00CF4BB2" w:rsidRPr="00FF0A6B" w:rsidRDefault="00CF4BB2" w:rsidP="00CF4BB2">
            <w:pPr>
              <w:ind w:left="180" w:hanging="180"/>
              <w:rPr>
                <w:rFonts w:cs="Times New Roman"/>
                <w:bCs/>
                <w:szCs w:val="24"/>
              </w:rPr>
            </w:pPr>
            <w:r w:rsidRPr="00FF0A6B">
              <w:rPr>
                <w:rFonts w:cs="Times New Roman"/>
                <w:bCs/>
                <w:szCs w:val="24"/>
              </w:rPr>
              <w:t>přijaté sankční platby</w:t>
            </w:r>
          </w:p>
        </w:tc>
        <w:tc>
          <w:tcPr>
            <w:tcW w:w="1440" w:type="dxa"/>
            <w:vAlign w:val="center"/>
          </w:tcPr>
          <w:p w:rsidR="00CF4BB2" w:rsidRPr="00FF0A6B" w:rsidRDefault="00CF4BB2" w:rsidP="00CF4BB2">
            <w:pPr>
              <w:pStyle w:val="Zkladntext"/>
              <w:jc w:val="right"/>
              <w:rPr>
                <w:bCs w:val="0"/>
              </w:rPr>
            </w:pPr>
            <w:r w:rsidRPr="00FF0A6B">
              <w:rPr>
                <w:bCs w:val="0"/>
              </w:rPr>
              <w:t>1 068</w:t>
            </w:r>
          </w:p>
        </w:tc>
        <w:tc>
          <w:tcPr>
            <w:tcW w:w="1440" w:type="dxa"/>
            <w:vAlign w:val="center"/>
          </w:tcPr>
          <w:p w:rsidR="00CF4BB2" w:rsidRPr="00406B5C" w:rsidRDefault="00CF4BB2" w:rsidP="00CF4BB2">
            <w:pPr>
              <w:pStyle w:val="Zkladntext"/>
              <w:jc w:val="right"/>
              <w:rPr>
                <w:bCs w:val="0"/>
              </w:rPr>
            </w:pPr>
            <w:r w:rsidRPr="00406B5C">
              <w:rPr>
                <w:bCs w:val="0"/>
              </w:rPr>
              <w:t>1 068</w:t>
            </w:r>
          </w:p>
        </w:tc>
        <w:tc>
          <w:tcPr>
            <w:tcW w:w="1072" w:type="dxa"/>
            <w:vAlign w:val="center"/>
          </w:tcPr>
          <w:p w:rsidR="00CF4BB2" w:rsidRPr="00406B5C" w:rsidRDefault="00CF4BB2" w:rsidP="00CF4BB2">
            <w:pPr>
              <w:pStyle w:val="Zkladntext"/>
              <w:jc w:val="right"/>
              <w:rPr>
                <w:bCs w:val="0"/>
              </w:rPr>
            </w:pPr>
            <w:r w:rsidRPr="00406B5C">
              <w:rPr>
                <w:bCs w:val="0"/>
              </w:rPr>
              <w:t>100,00</w:t>
            </w:r>
          </w:p>
        </w:tc>
      </w:tr>
      <w:tr w:rsidR="00CF4BB2" w:rsidRPr="00FF0A6B" w:rsidTr="00CF4BB2">
        <w:tc>
          <w:tcPr>
            <w:tcW w:w="5110" w:type="dxa"/>
          </w:tcPr>
          <w:p w:rsidR="00CF4BB2" w:rsidRPr="00FF0A6B" w:rsidRDefault="00CF4BB2" w:rsidP="00CF4BB2">
            <w:pPr>
              <w:ind w:left="180" w:hanging="180"/>
              <w:rPr>
                <w:rFonts w:cs="Times New Roman"/>
                <w:bCs/>
                <w:szCs w:val="24"/>
              </w:rPr>
            </w:pPr>
            <w:r w:rsidRPr="00FF0A6B">
              <w:rPr>
                <w:rFonts w:cs="Times New Roman"/>
                <w:bCs/>
                <w:szCs w:val="24"/>
              </w:rPr>
              <w:t>neinvestiční převody z Národního fondu</w:t>
            </w:r>
          </w:p>
        </w:tc>
        <w:tc>
          <w:tcPr>
            <w:tcW w:w="1440" w:type="dxa"/>
            <w:vAlign w:val="center"/>
          </w:tcPr>
          <w:p w:rsidR="00CF4BB2" w:rsidRPr="00FF0A6B" w:rsidRDefault="00CF4BB2" w:rsidP="00CF4BB2">
            <w:pPr>
              <w:pStyle w:val="Zkladntext"/>
              <w:jc w:val="right"/>
              <w:rPr>
                <w:bCs w:val="0"/>
              </w:rPr>
            </w:pPr>
            <w:r w:rsidRPr="00FF0A6B">
              <w:rPr>
                <w:bCs w:val="0"/>
              </w:rPr>
              <w:t>122 775</w:t>
            </w:r>
          </w:p>
        </w:tc>
        <w:tc>
          <w:tcPr>
            <w:tcW w:w="1440" w:type="dxa"/>
            <w:vAlign w:val="center"/>
          </w:tcPr>
          <w:p w:rsidR="00CF4BB2" w:rsidRPr="00406B5C" w:rsidRDefault="00CF4BB2" w:rsidP="00CF4BB2">
            <w:pPr>
              <w:pStyle w:val="Zkladntext"/>
              <w:jc w:val="right"/>
              <w:rPr>
                <w:bCs w:val="0"/>
              </w:rPr>
            </w:pPr>
            <w:r w:rsidRPr="00406B5C">
              <w:rPr>
                <w:bCs w:val="0"/>
              </w:rPr>
              <w:t>125 051</w:t>
            </w:r>
          </w:p>
        </w:tc>
        <w:tc>
          <w:tcPr>
            <w:tcW w:w="1072" w:type="dxa"/>
            <w:vAlign w:val="center"/>
          </w:tcPr>
          <w:p w:rsidR="00CF4BB2" w:rsidRPr="00406B5C" w:rsidRDefault="00CF4BB2" w:rsidP="00CF4BB2">
            <w:pPr>
              <w:pStyle w:val="Zkladntext"/>
              <w:jc w:val="right"/>
              <w:rPr>
                <w:bCs w:val="0"/>
              </w:rPr>
            </w:pPr>
            <w:r w:rsidRPr="00406B5C">
              <w:rPr>
                <w:bCs w:val="0"/>
              </w:rPr>
              <w:t>101,85</w:t>
            </w:r>
          </w:p>
        </w:tc>
      </w:tr>
      <w:tr w:rsidR="00CF4BB2" w:rsidRPr="00FF0A6B" w:rsidTr="00CF4BB2">
        <w:tc>
          <w:tcPr>
            <w:tcW w:w="5110" w:type="dxa"/>
          </w:tcPr>
          <w:p w:rsidR="00CF4BB2" w:rsidRPr="00FF0A6B" w:rsidRDefault="00CF4BB2" w:rsidP="00CF4BB2">
            <w:pPr>
              <w:rPr>
                <w:rFonts w:cs="Times New Roman"/>
                <w:bCs/>
                <w:szCs w:val="24"/>
              </w:rPr>
            </w:pPr>
            <w:r w:rsidRPr="00FF0A6B">
              <w:rPr>
                <w:rFonts w:cs="Times New Roman"/>
                <w:bCs/>
                <w:szCs w:val="24"/>
              </w:rPr>
              <w:t>neinvestiční transfery přijaté od Evropské unie</w:t>
            </w:r>
          </w:p>
        </w:tc>
        <w:tc>
          <w:tcPr>
            <w:tcW w:w="1440" w:type="dxa"/>
            <w:vAlign w:val="center"/>
          </w:tcPr>
          <w:p w:rsidR="00CF4BB2" w:rsidRPr="00FF0A6B" w:rsidRDefault="00CF4BB2" w:rsidP="00CF4BB2">
            <w:pPr>
              <w:pStyle w:val="Zkladntext"/>
              <w:jc w:val="right"/>
              <w:rPr>
                <w:bCs w:val="0"/>
              </w:rPr>
            </w:pPr>
            <w:r w:rsidRPr="00FF0A6B">
              <w:rPr>
                <w:bCs w:val="0"/>
              </w:rPr>
              <w:t>16 582</w:t>
            </w:r>
          </w:p>
        </w:tc>
        <w:tc>
          <w:tcPr>
            <w:tcW w:w="1440" w:type="dxa"/>
            <w:vAlign w:val="center"/>
          </w:tcPr>
          <w:p w:rsidR="00CF4BB2" w:rsidRPr="00406B5C" w:rsidRDefault="00CF4BB2" w:rsidP="00CF4BB2">
            <w:pPr>
              <w:pStyle w:val="Zkladntext"/>
              <w:jc w:val="right"/>
              <w:rPr>
                <w:bCs w:val="0"/>
              </w:rPr>
            </w:pPr>
            <w:r w:rsidRPr="00406B5C">
              <w:rPr>
                <w:bCs w:val="0"/>
              </w:rPr>
              <w:t>37 648</w:t>
            </w:r>
          </w:p>
        </w:tc>
        <w:tc>
          <w:tcPr>
            <w:tcW w:w="1072" w:type="dxa"/>
            <w:vAlign w:val="center"/>
          </w:tcPr>
          <w:p w:rsidR="00CF4BB2" w:rsidRPr="00406B5C" w:rsidRDefault="00CF4BB2" w:rsidP="00CF4BB2">
            <w:pPr>
              <w:pStyle w:val="Zkladntext"/>
              <w:jc w:val="right"/>
              <w:rPr>
                <w:bCs w:val="0"/>
              </w:rPr>
            </w:pPr>
            <w:r w:rsidRPr="00406B5C">
              <w:rPr>
                <w:bCs w:val="0"/>
              </w:rPr>
              <w:t>227,04</w:t>
            </w:r>
          </w:p>
        </w:tc>
      </w:tr>
      <w:tr w:rsidR="00CF4BB2" w:rsidRPr="00FF0A6B" w:rsidTr="00CF4BB2">
        <w:tc>
          <w:tcPr>
            <w:tcW w:w="5110" w:type="dxa"/>
          </w:tcPr>
          <w:p w:rsidR="00CF4BB2" w:rsidRPr="00FF0A6B" w:rsidRDefault="00CF4BB2" w:rsidP="00CF4BB2">
            <w:pPr>
              <w:rPr>
                <w:rFonts w:cs="Times New Roman"/>
                <w:b/>
                <w:bCs/>
                <w:szCs w:val="24"/>
              </w:rPr>
            </w:pPr>
            <w:r w:rsidRPr="00FF0A6B">
              <w:rPr>
                <w:rFonts w:cs="Times New Roman"/>
                <w:bCs/>
                <w:szCs w:val="24"/>
              </w:rPr>
              <w:t>investiční převody z Národního fondu</w:t>
            </w:r>
          </w:p>
        </w:tc>
        <w:tc>
          <w:tcPr>
            <w:tcW w:w="1440" w:type="dxa"/>
            <w:vAlign w:val="center"/>
          </w:tcPr>
          <w:p w:rsidR="00CF4BB2" w:rsidRPr="00FF0A6B" w:rsidRDefault="00CF4BB2" w:rsidP="00CF4BB2">
            <w:pPr>
              <w:pStyle w:val="Zkladntext"/>
              <w:jc w:val="right"/>
              <w:rPr>
                <w:bCs w:val="0"/>
              </w:rPr>
            </w:pPr>
            <w:r w:rsidRPr="00FF0A6B">
              <w:rPr>
                <w:bCs w:val="0"/>
              </w:rPr>
              <w:t>10 877 736</w:t>
            </w:r>
          </w:p>
        </w:tc>
        <w:tc>
          <w:tcPr>
            <w:tcW w:w="1440" w:type="dxa"/>
            <w:vAlign w:val="center"/>
          </w:tcPr>
          <w:p w:rsidR="00CF4BB2" w:rsidRPr="00406B5C" w:rsidRDefault="00CF4BB2" w:rsidP="00CF4BB2">
            <w:pPr>
              <w:pStyle w:val="Zkladntext"/>
              <w:jc w:val="right"/>
              <w:rPr>
                <w:bCs w:val="0"/>
              </w:rPr>
            </w:pPr>
            <w:r w:rsidRPr="00406B5C">
              <w:rPr>
                <w:bCs w:val="0"/>
              </w:rPr>
              <w:t>19 154 576</w:t>
            </w:r>
          </w:p>
        </w:tc>
        <w:tc>
          <w:tcPr>
            <w:tcW w:w="1072" w:type="dxa"/>
            <w:vAlign w:val="center"/>
          </w:tcPr>
          <w:p w:rsidR="00CF4BB2" w:rsidRPr="00406B5C" w:rsidRDefault="00CF4BB2" w:rsidP="00CF4BB2">
            <w:pPr>
              <w:pStyle w:val="Zkladntext"/>
              <w:jc w:val="right"/>
              <w:rPr>
                <w:bCs w:val="0"/>
              </w:rPr>
            </w:pPr>
            <w:r w:rsidRPr="00406B5C">
              <w:rPr>
                <w:bCs w:val="0"/>
              </w:rPr>
              <w:t>176,09</w:t>
            </w:r>
          </w:p>
        </w:tc>
      </w:tr>
      <w:tr w:rsidR="00CF4BB2" w:rsidRPr="00FF0A6B" w:rsidTr="00CF4BB2">
        <w:tc>
          <w:tcPr>
            <w:tcW w:w="5110" w:type="dxa"/>
          </w:tcPr>
          <w:p w:rsidR="00CF4BB2" w:rsidRPr="00FF0A6B" w:rsidRDefault="00CF4BB2" w:rsidP="00CF4BB2">
            <w:pPr>
              <w:rPr>
                <w:rFonts w:cs="Times New Roman"/>
                <w:bCs/>
                <w:szCs w:val="24"/>
              </w:rPr>
            </w:pPr>
            <w:r w:rsidRPr="00FF0A6B">
              <w:rPr>
                <w:rFonts w:cs="Times New Roman"/>
                <w:bCs/>
                <w:szCs w:val="24"/>
              </w:rPr>
              <w:t>investiční transfery přijaté od Evropské unie</w:t>
            </w:r>
          </w:p>
        </w:tc>
        <w:tc>
          <w:tcPr>
            <w:tcW w:w="1440" w:type="dxa"/>
            <w:vAlign w:val="center"/>
          </w:tcPr>
          <w:p w:rsidR="00CF4BB2" w:rsidRPr="00FF0A6B" w:rsidRDefault="00CF4BB2" w:rsidP="00CF4BB2">
            <w:pPr>
              <w:pStyle w:val="Zkladntext"/>
              <w:jc w:val="right"/>
              <w:rPr>
                <w:bCs w:val="0"/>
              </w:rPr>
            </w:pPr>
            <w:r w:rsidRPr="00FF0A6B">
              <w:rPr>
                <w:bCs w:val="0"/>
              </w:rPr>
              <w:t>2 483 418</w:t>
            </w:r>
          </w:p>
        </w:tc>
        <w:tc>
          <w:tcPr>
            <w:tcW w:w="1440" w:type="dxa"/>
            <w:vAlign w:val="center"/>
          </w:tcPr>
          <w:p w:rsidR="00CF4BB2" w:rsidRPr="00406B5C" w:rsidRDefault="00841BBE" w:rsidP="00CF4BB2">
            <w:pPr>
              <w:pStyle w:val="Zkladntext"/>
              <w:jc w:val="right"/>
              <w:rPr>
                <w:bCs w:val="0"/>
              </w:rPr>
            </w:pPr>
            <w:r w:rsidRPr="00406B5C">
              <w:rPr>
                <w:bCs w:val="0"/>
              </w:rPr>
              <w:t>20</w:t>
            </w:r>
            <w:r w:rsidR="00CF4BB2" w:rsidRPr="00406B5C">
              <w:rPr>
                <w:bCs w:val="0"/>
              </w:rPr>
              <w:t> 385 748</w:t>
            </w:r>
          </w:p>
        </w:tc>
        <w:tc>
          <w:tcPr>
            <w:tcW w:w="1072" w:type="dxa"/>
            <w:vAlign w:val="center"/>
          </w:tcPr>
          <w:p w:rsidR="00CF4BB2" w:rsidRPr="00406B5C" w:rsidRDefault="00CF4BB2" w:rsidP="00841BBE">
            <w:pPr>
              <w:pStyle w:val="Zkladntext"/>
              <w:jc w:val="right"/>
              <w:rPr>
                <w:bCs w:val="0"/>
              </w:rPr>
            </w:pPr>
            <w:r w:rsidRPr="00406B5C">
              <w:rPr>
                <w:bCs w:val="0"/>
              </w:rPr>
              <w:t> 82</w:t>
            </w:r>
            <w:r w:rsidR="00841BBE" w:rsidRPr="00406B5C">
              <w:rPr>
                <w:bCs w:val="0"/>
              </w:rPr>
              <w:t>0</w:t>
            </w:r>
            <w:r w:rsidRPr="00406B5C">
              <w:rPr>
                <w:bCs w:val="0"/>
              </w:rPr>
              <w:t>,</w:t>
            </w:r>
            <w:r w:rsidR="00841BBE" w:rsidRPr="00406B5C">
              <w:rPr>
                <w:bCs w:val="0"/>
              </w:rPr>
              <w:t>87</w:t>
            </w:r>
          </w:p>
        </w:tc>
      </w:tr>
    </w:tbl>
    <w:p w:rsidR="00CF4BB2" w:rsidRPr="001D7837" w:rsidRDefault="00CF4BB2" w:rsidP="00CF4BB2">
      <w:pPr>
        <w:pStyle w:val="Titulek"/>
        <w:keepNext/>
        <w:spacing w:before="240" w:after="240"/>
      </w:pPr>
      <w:bookmarkStart w:id="17" w:name="_Toc49763346"/>
      <w:bookmarkStart w:id="18" w:name="_Toc54190947"/>
      <w:r w:rsidRPr="001D7837">
        <w:t xml:space="preserve">Graf č. </w:t>
      </w:r>
      <w:fldSimple w:instr=" SEQ Graf_č. \* ARABIC ">
        <w:r w:rsidR="006076E7">
          <w:rPr>
            <w:noProof/>
          </w:rPr>
          <w:t>2</w:t>
        </w:r>
      </w:fldSimple>
      <w:r w:rsidRPr="001D7837">
        <w:t xml:space="preserve"> Porovnání transferů přijatých v kapitole 327-MD (v tis. Kč)</w:t>
      </w:r>
      <w:bookmarkEnd w:id="17"/>
      <w:bookmarkEnd w:id="18"/>
    </w:p>
    <w:p w:rsidR="00CF4BB2" w:rsidRPr="00FF0A6B" w:rsidRDefault="00CF4BB2" w:rsidP="00CF4BB2">
      <w:pPr>
        <w:pStyle w:val="obyctext"/>
        <w:ind w:firstLine="0"/>
        <w:rPr>
          <w:noProof/>
          <w:color w:val="FF0000"/>
        </w:rPr>
      </w:pPr>
      <w:r w:rsidRPr="00FF0A6B">
        <w:rPr>
          <w:noProof/>
          <w:color w:val="FF0000"/>
        </w:rPr>
        <w:drawing>
          <wp:inline distT="0" distB="0" distL="0" distR="0" wp14:anchorId="4A8F05F3" wp14:editId="6BE417D0">
            <wp:extent cx="5759450" cy="2519680"/>
            <wp:effectExtent l="0" t="0" r="12700" b="1397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F4BB2" w:rsidRPr="001D7837" w:rsidRDefault="00CF4BB2" w:rsidP="00CF4BB2">
      <w:pPr>
        <w:pStyle w:val="Titulek"/>
        <w:keepNext/>
      </w:pPr>
      <w:bookmarkStart w:id="19" w:name="_Toc49763347"/>
      <w:bookmarkStart w:id="20" w:name="_Toc54190948"/>
      <w:r w:rsidRPr="001D7837">
        <w:lastRenderedPageBreak/>
        <w:t xml:space="preserve">Graf č. </w:t>
      </w:r>
      <w:fldSimple w:instr=" SEQ Graf_č. \* ARABIC ">
        <w:r w:rsidR="006076E7">
          <w:rPr>
            <w:noProof/>
          </w:rPr>
          <w:t>3</w:t>
        </w:r>
      </w:fldSimple>
      <w:r w:rsidRPr="001D7837">
        <w:t xml:space="preserve"> Porovnání ostatních příjmů v kapitole 327-MD (v tis. Kč)</w:t>
      </w:r>
      <w:bookmarkEnd w:id="19"/>
      <w:bookmarkEnd w:id="20"/>
    </w:p>
    <w:p w:rsidR="00CF4BB2" w:rsidRPr="00576843" w:rsidRDefault="00CF4BB2" w:rsidP="00CF4BB2">
      <w:pPr>
        <w:pStyle w:val="obyctext"/>
        <w:tabs>
          <w:tab w:val="left" w:pos="1276"/>
        </w:tabs>
        <w:ind w:firstLine="0"/>
        <w:rPr>
          <w:color w:val="FF0000"/>
        </w:rPr>
      </w:pPr>
      <w:r w:rsidRPr="00576843">
        <w:rPr>
          <w:noProof/>
          <w:color w:val="FF0000"/>
        </w:rPr>
        <w:drawing>
          <wp:inline distT="0" distB="0" distL="0" distR="0" wp14:anchorId="28726CEB" wp14:editId="48C92BA4">
            <wp:extent cx="5759450" cy="2519680"/>
            <wp:effectExtent l="0" t="0" r="12700" b="1397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24ED6" w:rsidRPr="00E24034" w:rsidRDefault="00024ED6" w:rsidP="00024ED6">
      <w:pPr>
        <w:pStyle w:val="obyctext"/>
        <w:tabs>
          <w:tab w:val="left" w:pos="1276"/>
        </w:tabs>
        <w:ind w:firstLine="0"/>
        <w:rPr>
          <w:color w:val="FF0000"/>
        </w:rPr>
      </w:pPr>
    </w:p>
    <w:p w:rsidR="00024ED6" w:rsidRPr="00E24034" w:rsidRDefault="00024ED6" w:rsidP="00024ED6">
      <w:pPr>
        <w:pStyle w:val="obyctext"/>
        <w:tabs>
          <w:tab w:val="left" w:pos="1276"/>
        </w:tabs>
        <w:ind w:firstLine="0"/>
        <w:rPr>
          <w:color w:val="FF0000"/>
        </w:rPr>
      </w:pPr>
    </w:p>
    <w:p w:rsidR="00D5093B" w:rsidRPr="00E24034" w:rsidRDefault="00D5093B" w:rsidP="004371E3">
      <w:pPr>
        <w:pStyle w:val="obyctext"/>
        <w:tabs>
          <w:tab w:val="left" w:pos="1276"/>
        </w:tabs>
        <w:ind w:firstLine="0"/>
        <w:rPr>
          <w:color w:val="FF0000"/>
        </w:rPr>
        <w:sectPr w:rsidR="00D5093B" w:rsidRPr="00E24034" w:rsidSect="0002708E">
          <w:footerReference w:type="default" r:id="rId18"/>
          <w:footerReference w:type="first" r:id="rId19"/>
          <w:pgSz w:w="11906" w:h="16838" w:code="9"/>
          <w:pgMar w:top="1418" w:right="1418" w:bottom="993" w:left="1418" w:header="709" w:footer="709" w:gutter="0"/>
          <w:pgNumType w:start="1"/>
          <w:cols w:space="708"/>
          <w:titlePg/>
          <w:docGrid w:linePitch="360"/>
        </w:sectPr>
      </w:pPr>
    </w:p>
    <w:p w:rsidR="00AD1F22" w:rsidRPr="008C7EA3" w:rsidRDefault="00AD1F22" w:rsidP="00E32A1E">
      <w:pPr>
        <w:pStyle w:val="Nadpis1"/>
      </w:pPr>
      <w:bookmarkStart w:id="21" w:name="_Toc462314386"/>
      <w:bookmarkStart w:id="22" w:name="_Toc53750563"/>
      <w:r w:rsidRPr="00E32A1E">
        <w:lastRenderedPageBreak/>
        <w:t>Rozpočet</w:t>
      </w:r>
      <w:r w:rsidRPr="008C7EA3">
        <w:t xml:space="preserve"> výdajů na rok 20</w:t>
      </w:r>
      <w:bookmarkEnd w:id="21"/>
      <w:r w:rsidR="00485912" w:rsidRPr="008C7EA3">
        <w:t>2</w:t>
      </w:r>
      <w:r w:rsidR="008C7EA3" w:rsidRPr="008C7EA3">
        <w:t>1</w:t>
      </w:r>
      <w:bookmarkEnd w:id="22"/>
    </w:p>
    <w:p w:rsidR="00AD1F22" w:rsidRPr="008C7EA3" w:rsidRDefault="00AD1F22" w:rsidP="006C7E5B">
      <w:pPr>
        <w:pStyle w:val="Nadpis2"/>
      </w:pPr>
      <w:bookmarkStart w:id="23" w:name="_Toc462314387"/>
      <w:bookmarkStart w:id="24" w:name="_Toc53750564"/>
      <w:r w:rsidRPr="008C7EA3">
        <w:t>Struktura výdajů</w:t>
      </w:r>
      <w:bookmarkEnd w:id="23"/>
      <w:bookmarkEnd w:id="24"/>
    </w:p>
    <w:p w:rsidR="008C7EA3" w:rsidRPr="009926E5" w:rsidRDefault="008C7EA3" w:rsidP="008C7EA3">
      <w:pPr>
        <w:pStyle w:val="Styl1"/>
      </w:pPr>
      <w:r w:rsidRPr="009926E5">
        <w:t xml:space="preserve">Výdaje jsou strukturovány do jednotlivých bloků, okruhů, příp. dalších množin či podmnožin. </w:t>
      </w:r>
    </w:p>
    <w:p w:rsidR="008C7EA3" w:rsidRPr="009926E5" w:rsidRDefault="008C7EA3" w:rsidP="008C7EA3">
      <w:pPr>
        <w:pStyle w:val="Styl1"/>
      </w:pPr>
      <w:r w:rsidRPr="009926E5">
        <w:t xml:space="preserve">Sourodé celky činností tvoří výdajové bloky, které se dále rozpadají do výdajových okruhů </w:t>
      </w:r>
      <w:r w:rsidRPr="009926E5">
        <w:br/>
        <w:t xml:space="preserve">a dále do nižších úrovní členění (obdobný způsob konkretizace platí i pro cíle), přičemž vyšší úroveň je úplným součtem přímo podřízených úrovní. Stanovení výdajových bloků </w:t>
      </w:r>
      <w:r w:rsidRPr="009926E5">
        <w:br/>
        <w:t>a výdajových okruhů je povinné, ostatní nižší úrovně členění jsou dobrovolné.</w:t>
      </w:r>
    </w:p>
    <w:p w:rsidR="008C7EA3" w:rsidRPr="009926E5" w:rsidRDefault="008C7EA3" w:rsidP="008C7EA3">
      <w:pPr>
        <w:pStyle w:val="Styl1"/>
      </w:pPr>
      <w:r w:rsidRPr="009926E5">
        <w:t>Každý výdajový blok je specifickým ukazatelem na příslušný rozpočtový rok. Označení výdajového okruhu jako specifického ukazatele závisí na rozhodnutí kapitoly. Označit tak lze jakýkoli vybraný výdajový okruh, nejsou-li však označeny všechny spadající pod daný výdajový blok, jsou zbylé výdajové okruhy specifickým ukazatelem ve svém součtu.</w:t>
      </w:r>
    </w:p>
    <w:p w:rsidR="008C7EA3" w:rsidRPr="009926E5" w:rsidRDefault="008C7EA3" w:rsidP="008C7EA3">
      <w:pPr>
        <w:pStyle w:val="Titulek"/>
        <w:keepNext/>
      </w:pPr>
      <w:r w:rsidRPr="009926E5">
        <w:t xml:space="preserve">Tabulka č. </w:t>
      </w:r>
      <w:fldSimple w:instr=" SEQ Tabulka \* ARABIC ">
        <w:r w:rsidR="006076E7">
          <w:rPr>
            <w:noProof/>
          </w:rPr>
          <w:t>5</w:t>
        </w:r>
      </w:fldSimple>
      <w:r w:rsidRPr="009926E5">
        <w:t xml:space="preserve"> Struktura výdajů (v rámci PVS) pro rok 2021</w:t>
      </w:r>
    </w:p>
    <w:tbl>
      <w:tblPr>
        <w:tblStyle w:val="Svtltabulkasmkou1"/>
        <w:tblW w:w="0" w:type="auto"/>
        <w:tblBorders>
          <w:top w:val="single" w:sz="8" w:space="0" w:color="999999" w:themeColor="text1" w:themeTint="66"/>
          <w:left w:val="single" w:sz="8" w:space="0" w:color="999999" w:themeColor="text1" w:themeTint="66"/>
          <w:bottom w:val="single" w:sz="8" w:space="0" w:color="999999" w:themeColor="text1" w:themeTint="66"/>
          <w:right w:val="single" w:sz="8" w:space="0" w:color="999999" w:themeColor="text1" w:themeTint="66"/>
          <w:insideV w:val="none" w:sz="0" w:space="0" w:color="auto"/>
        </w:tblBorders>
        <w:tblLook w:val="01E0" w:firstRow="1" w:lastRow="1" w:firstColumn="1" w:lastColumn="1" w:noHBand="0" w:noVBand="0"/>
      </w:tblPr>
      <w:tblGrid>
        <w:gridCol w:w="1005"/>
        <w:gridCol w:w="1257"/>
        <w:gridCol w:w="6789"/>
      </w:tblGrid>
      <w:tr w:rsidR="008C7EA3" w:rsidRPr="009926E5" w:rsidTr="003A0B78">
        <w:trPr>
          <w:cnfStyle w:val="100000000000" w:firstRow="1" w:lastRow="0" w:firstColumn="0" w:lastColumn="0" w:oddVBand="0" w:evenVBand="0" w:oddHBand="0"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1005" w:type="dxa"/>
            <w:tcBorders>
              <w:top w:val="single" w:sz="8"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shd w:val="thinReverseDiagStripe" w:color="D9D9D9" w:themeColor="background1" w:themeShade="D9" w:fill="FFFFFF" w:themeFill="background1"/>
          </w:tcPr>
          <w:p w:rsidR="008C7EA3" w:rsidRPr="009926E5" w:rsidRDefault="008C7EA3" w:rsidP="003A0B78">
            <w:pPr>
              <w:rPr>
                <w:rFonts w:cs="Times New Roman"/>
                <w:szCs w:val="24"/>
              </w:rPr>
            </w:pPr>
            <w:r w:rsidRPr="009926E5">
              <w:rPr>
                <w:rFonts w:cs="Times New Roman"/>
                <w:szCs w:val="24"/>
              </w:rPr>
              <w:t>Blok</w:t>
            </w:r>
          </w:p>
        </w:tc>
        <w:tc>
          <w:tcPr>
            <w:tcW w:w="1257"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thinReverseDiagStripe" w:color="D9D9D9" w:themeColor="background1" w:themeShade="D9" w:fill="FFFFFF" w:themeFill="background1"/>
          </w:tcPr>
          <w:p w:rsidR="008C7EA3" w:rsidRPr="009926E5" w:rsidRDefault="008C7EA3" w:rsidP="003A0B78">
            <w:pPr>
              <w:cnfStyle w:val="100000000000" w:firstRow="1" w:lastRow="0" w:firstColumn="0" w:lastColumn="0" w:oddVBand="0" w:evenVBand="0" w:oddHBand="0" w:evenHBand="0" w:firstRowFirstColumn="0" w:firstRowLastColumn="0" w:lastRowFirstColumn="0" w:lastRowLastColumn="0"/>
              <w:rPr>
                <w:rFonts w:cs="Times New Roman"/>
                <w:szCs w:val="24"/>
              </w:rPr>
            </w:pPr>
            <w:r w:rsidRPr="009926E5">
              <w:rPr>
                <w:rFonts w:cs="Times New Roman"/>
                <w:szCs w:val="24"/>
              </w:rPr>
              <w:t>Okruh</w:t>
            </w: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shd w:val="thinReverseDiagStripe" w:color="D9D9D9" w:themeColor="background1" w:themeShade="D9" w:fill="FFFFFF" w:themeFill="background1"/>
          </w:tcPr>
          <w:p w:rsidR="008C7EA3" w:rsidRPr="009926E5" w:rsidRDefault="008C7EA3" w:rsidP="003A0B78">
            <w:pPr>
              <w:rPr>
                <w:rFonts w:cs="Times New Roman"/>
                <w:szCs w:val="24"/>
              </w:rPr>
            </w:pPr>
            <w:r w:rsidRPr="009926E5">
              <w:rPr>
                <w:rFonts w:cs="Times New Roman"/>
                <w:szCs w:val="24"/>
              </w:rPr>
              <w:t>Název</w:t>
            </w:r>
          </w:p>
        </w:tc>
      </w:tr>
      <w:tr w:rsidR="008C7EA3" w:rsidRPr="009926E5" w:rsidTr="003A0B78">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rsidR="008C7EA3" w:rsidRPr="009926E5" w:rsidRDefault="008C7EA3" w:rsidP="003A0B78">
            <w:pPr>
              <w:rPr>
                <w:rFonts w:cs="Times New Roman"/>
                <w:szCs w:val="24"/>
              </w:rPr>
            </w:pPr>
            <w:r w:rsidRPr="009926E5">
              <w:rPr>
                <w:rFonts w:cs="Times New Roman"/>
                <w:szCs w:val="24"/>
              </w:rPr>
              <w:t>501</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rsidR="008C7EA3" w:rsidRPr="009926E5" w:rsidRDefault="008C7EA3" w:rsidP="003A0B78">
            <w:pPr>
              <w:cnfStyle w:val="000000000000" w:firstRow="0" w:lastRow="0" w:firstColumn="0" w:lastColumn="0" w:oddVBand="0" w:evenVBand="0" w:oddHBand="0" w:evenHBand="0" w:firstRowFirstColumn="0" w:firstRowLastColumn="0" w:lastRowFirstColumn="0" w:lastRowLastColumn="0"/>
              <w:rPr>
                <w:rFonts w:cs="Times New Roman"/>
                <w:b/>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rsidR="008C7EA3" w:rsidRPr="009926E5" w:rsidRDefault="008C7EA3" w:rsidP="003A0B78">
            <w:pPr>
              <w:rPr>
                <w:rFonts w:cs="Times New Roman"/>
                <w:szCs w:val="24"/>
              </w:rPr>
            </w:pPr>
            <w:r w:rsidRPr="009926E5">
              <w:rPr>
                <w:rFonts w:cs="Times New Roman"/>
                <w:szCs w:val="24"/>
              </w:rPr>
              <w:t>Drážní a kombinovaná doprava</w:t>
            </w:r>
          </w:p>
        </w:tc>
      </w:tr>
      <w:tr w:rsidR="008C7EA3" w:rsidRPr="009926E5" w:rsidTr="003A0B78">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8C7EA3" w:rsidRPr="009926E5" w:rsidRDefault="008C7EA3" w:rsidP="003A0B78">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8C7EA3" w:rsidRPr="009926E5" w:rsidRDefault="008C7EA3" w:rsidP="003A0B78">
            <w:pPr>
              <w:cnfStyle w:val="000000000000" w:firstRow="0" w:lastRow="0" w:firstColumn="0" w:lastColumn="0" w:oddVBand="0" w:evenVBand="0" w:oddHBand="0" w:evenHBand="0" w:firstRowFirstColumn="0" w:firstRowLastColumn="0" w:lastRowFirstColumn="0" w:lastRowLastColumn="0"/>
              <w:rPr>
                <w:rFonts w:cs="Times New Roman"/>
                <w:szCs w:val="24"/>
              </w:rPr>
            </w:pPr>
            <w:r w:rsidRPr="009926E5">
              <w:rPr>
                <w:rFonts w:cs="Times New Roman"/>
                <w:szCs w:val="24"/>
              </w:rPr>
              <w:t>501001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8C7EA3" w:rsidRPr="009926E5" w:rsidRDefault="008C7EA3" w:rsidP="003A0B78">
            <w:pPr>
              <w:rPr>
                <w:rFonts w:cs="Times New Roman"/>
                <w:b w:val="0"/>
                <w:szCs w:val="24"/>
              </w:rPr>
            </w:pPr>
            <w:r w:rsidRPr="009926E5">
              <w:rPr>
                <w:rFonts w:cs="Times New Roman"/>
                <w:b w:val="0"/>
                <w:szCs w:val="24"/>
              </w:rPr>
              <w:t>Doprovodný sociální program</w:t>
            </w:r>
          </w:p>
        </w:tc>
      </w:tr>
      <w:tr w:rsidR="008C7EA3" w:rsidRPr="009926E5" w:rsidTr="003A0B78">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8C7EA3" w:rsidRPr="009926E5" w:rsidRDefault="008C7EA3" w:rsidP="003A0B78">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8C7EA3" w:rsidRPr="009926E5" w:rsidRDefault="008C7EA3" w:rsidP="003A0B78">
            <w:pPr>
              <w:spacing w:before="120"/>
              <w:cnfStyle w:val="000000000000" w:firstRow="0" w:lastRow="0" w:firstColumn="0" w:lastColumn="0" w:oddVBand="0" w:evenVBand="0" w:oddHBand="0" w:evenHBand="0" w:firstRowFirstColumn="0" w:firstRowLastColumn="0" w:lastRowFirstColumn="0" w:lastRowLastColumn="0"/>
              <w:rPr>
                <w:rFonts w:cs="Times New Roman"/>
                <w:szCs w:val="24"/>
              </w:rPr>
            </w:pPr>
            <w:r w:rsidRPr="009926E5">
              <w:rPr>
                <w:rFonts w:cs="Times New Roman"/>
                <w:szCs w:val="24"/>
              </w:rPr>
              <w:t>501002</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8C7EA3" w:rsidRPr="009926E5" w:rsidRDefault="008C7EA3" w:rsidP="003A0B78">
            <w:pPr>
              <w:rPr>
                <w:rFonts w:cs="Times New Roman"/>
                <w:b w:val="0"/>
                <w:szCs w:val="24"/>
              </w:rPr>
            </w:pPr>
            <w:r w:rsidRPr="009926E5">
              <w:rPr>
                <w:rFonts w:cs="Times New Roman"/>
                <w:b w:val="0"/>
                <w:szCs w:val="24"/>
              </w:rPr>
              <w:t>Úhrada ztráty ze závazku veřejné služby ve veřejné drážní osobní dopravě</w:t>
            </w:r>
          </w:p>
        </w:tc>
      </w:tr>
      <w:tr w:rsidR="008C7EA3" w:rsidRPr="009926E5" w:rsidTr="003A0B78">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8C7EA3" w:rsidRPr="009926E5" w:rsidRDefault="008C7EA3" w:rsidP="003A0B78">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8C7EA3" w:rsidRPr="009926E5" w:rsidRDefault="008C7EA3" w:rsidP="003A0B78">
            <w:pPr>
              <w:cnfStyle w:val="000000000000" w:firstRow="0" w:lastRow="0" w:firstColumn="0" w:lastColumn="0" w:oddVBand="0" w:evenVBand="0" w:oddHBand="0" w:evenHBand="0" w:firstRowFirstColumn="0" w:firstRowLastColumn="0" w:lastRowFirstColumn="0" w:lastRowLastColumn="0"/>
              <w:rPr>
                <w:rFonts w:cs="Times New Roman"/>
                <w:szCs w:val="24"/>
              </w:rPr>
            </w:pPr>
            <w:r w:rsidRPr="009926E5">
              <w:rPr>
                <w:rFonts w:cs="Times New Roman"/>
                <w:szCs w:val="24"/>
              </w:rPr>
              <w:t>501003</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8C7EA3" w:rsidRPr="009926E5" w:rsidRDefault="008C7EA3" w:rsidP="003A0B78">
            <w:pPr>
              <w:rPr>
                <w:rFonts w:cs="Times New Roman"/>
                <w:b w:val="0"/>
                <w:szCs w:val="24"/>
              </w:rPr>
            </w:pPr>
            <w:r w:rsidRPr="009926E5">
              <w:rPr>
                <w:rFonts w:cs="Times New Roman"/>
                <w:b w:val="0"/>
                <w:szCs w:val="24"/>
              </w:rPr>
              <w:t>Příspěvek na dopravní cestu nehrazený ze SFDI</w:t>
            </w:r>
          </w:p>
        </w:tc>
      </w:tr>
      <w:tr w:rsidR="008C7EA3" w:rsidRPr="009926E5" w:rsidTr="003A0B78">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8C7EA3" w:rsidRPr="009926E5" w:rsidRDefault="008C7EA3" w:rsidP="003A0B78">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8C7EA3" w:rsidRPr="009926E5" w:rsidRDefault="008C7EA3" w:rsidP="003A0B78">
            <w:pPr>
              <w:cnfStyle w:val="000000000000" w:firstRow="0" w:lastRow="0" w:firstColumn="0" w:lastColumn="0" w:oddVBand="0" w:evenVBand="0" w:oddHBand="0" w:evenHBand="0" w:firstRowFirstColumn="0" w:firstRowLastColumn="0" w:lastRowFirstColumn="0" w:lastRowLastColumn="0"/>
              <w:rPr>
                <w:rFonts w:cs="Times New Roman"/>
                <w:szCs w:val="24"/>
              </w:rPr>
            </w:pPr>
            <w:r w:rsidRPr="009926E5">
              <w:rPr>
                <w:rFonts w:cs="Times New Roman"/>
                <w:szCs w:val="24"/>
              </w:rPr>
              <w:t>501004</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8C7EA3" w:rsidRPr="009926E5" w:rsidRDefault="008C7EA3" w:rsidP="003A0B78">
            <w:pPr>
              <w:rPr>
                <w:rFonts w:cs="Times New Roman"/>
                <w:b w:val="0"/>
                <w:szCs w:val="24"/>
              </w:rPr>
            </w:pPr>
            <w:r w:rsidRPr="009926E5">
              <w:rPr>
                <w:rFonts w:cs="Times New Roman"/>
                <w:b w:val="0"/>
                <w:szCs w:val="24"/>
              </w:rPr>
              <w:t>Kombinovaná doprava</w:t>
            </w:r>
          </w:p>
        </w:tc>
      </w:tr>
      <w:tr w:rsidR="008C7EA3" w:rsidRPr="009926E5" w:rsidTr="003A0B78">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rsidR="008C7EA3" w:rsidRPr="009926E5" w:rsidRDefault="008C7EA3" w:rsidP="003A0B78">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rsidR="008C7EA3" w:rsidRPr="009926E5" w:rsidRDefault="008C7EA3" w:rsidP="003A0B78">
            <w:pPr>
              <w:cnfStyle w:val="000000000000" w:firstRow="0" w:lastRow="0" w:firstColumn="0" w:lastColumn="0" w:oddVBand="0" w:evenVBand="0" w:oddHBand="0" w:evenHBand="0" w:firstRowFirstColumn="0" w:firstRowLastColumn="0" w:lastRowFirstColumn="0" w:lastRowLastColumn="0"/>
              <w:rPr>
                <w:rFonts w:cs="Times New Roman"/>
                <w:szCs w:val="24"/>
              </w:rPr>
            </w:pPr>
            <w:r w:rsidRPr="009926E5">
              <w:rPr>
                <w:rFonts w:cs="Times New Roman"/>
                <w:szCs w:val="24"/>
              </w:rPr>
              <w:t>501005</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rsidR="008C7EA3" w:rsidRPr="009926E5" w:rsidRDefault="008C7EA3" w:rsidP="003A0B78">
            <w:pPr>
              <w:rPr>
                <w:rFonts w:cs="Times New Roman"/>
                <w:b w:val="0"/>
                <w:szCs w:val="24"/>
              </w:rPr>
            </w:pPr>
            <w:r w:rsidRPr="009926E5">
              <w:rPr>
                <w:rFonts w:cs="Times New Roman"/>
                <w:b w:val="0"/>
                <w:szCs w:val="24"/>
              </w:rPr>
              <w:t>Ostatní výdaje spojené s drážní dopravou</w:t>
            </w:r>
          </w:p>
        </w:tc>
      </w:tr>
      <w:tr w:rsidR="008C7EA3" w:rsidRPr="009926E5" w:rsidTr="003A0B78">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rsidR="008C7EA3" w:rsidRPr="009926E5" w:rsidRDefault="008C7EA3" w:rsidP="003A0B78">
            <w:pPr>
              <w:rPr>
                <w:rFonts w:cs="Times New Roman"/>
                <w:szCs w:val="24"/>
              </w:rPr>
            </w:pPr>
            <w:r w:rsidRPr="009926E5">
              <w:rPr>
                <w:rFonts w:cs="Times New Roman"/>
                <w:szCs w:val="24"/>
              </w:rPr>
              <w:t>502</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rsidR="008C7EA3" w:rsidRPr="009926E5" w:rsidRDefault="008C7EA3" w:rsidP="003A0B78">
            <w:pPr>
              <w:cnfStyle w:val="000000000000" w:firstRow="0" w:lastRow="0" w:firstColumn="0" w:lastColumn="0" w:oddVBand="0" w:evenVBand="0" w:oddHBand="0" w:evenHBand="0" w:firstRowFirstColumn="0" w:firstRowLastColumn="0" w:lastRowFirstColumn="0" w:lastRowLastColumn="0"/>
              <w:rPr>
                <w:rFonts w:cs="Times New Roman"/>
                <w:b/>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rsidR="008C7EA3" w:rsidRPr="009926E5" w:rsidRDefault="008C7EA3" w:rsidP="003A0B78">
            <w:pPr>
              <w:rPr>
                <w:rFonts w:cs="Times New Roman"/>
                <w:szCs w:val="24"/>
              </w:rPr>
            </w:pPr>
            <w:r w:rsidRPr="009926E5">
              <w:rPr>
                <w:rFonts w:cs="Times New Roman"/>
                <w:szCs w:val="24"/>
              </w:rPr>
              <w:t>Pozemní komunikace</w:t>
            </w:r>
          </w:p>
        </w:tc>
      </w:tr>
      <w:tr w:rsidR="008C7EA3" w:rsidRPr="009926E5" w:rsidTr="003A0B78">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rsidR="008C7EA3" w:rsidRPr="009926E5" w:rsidRDefault="008C7EA3" w:rsidP="003A0B78">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rsidR="008C7EA3" w:rsidRPr="009926E5" w:rsidRDefault="008C7EA3" w:rsidP="003A0B78">
            <w:pPr>
              <w:cnfStyle w:val="000000000000" w:firstRow="0" w:lastRow="0" w:firstColumn="0" w:lastColumn="0" w:oddVBand="0" w:evenVBand="0" w:oddHBand="0" w:evenHBand="0" w:firstRowFirstColumn="0" w:firstRowLastColumn="0" w:lastRowFirstColumn="0" w:lastRowLastColumn="0"/>
              <w:rPr>
                <w:rFonts w:cs="Times New Roman"/>
                <w:szCs w:val="24"/>
              </w:rPr>
            </w:pPr>
            <w:r w:rsidRPr="009926E5">
              <w:rPr>
                <w:rFonts w:cs="Times New Roman"/>
                <w:szCs w:val="24"/>
              </w:rPr>
              <w:t>502001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rsidR="008C7EA3" w:rsidRPr="009926E5" w:rsidRDefault="008C7EA3" w:rsidP="003A0B78">
            <w:pPr>
              <w:rPr>
                <w:rFonts w:cs="Times New Roman"/>
                <w:b w:val="0"/>
                <w:szCs w:val="24"/>
              </w:rPr>
            </w:pPr>
            <w:r w:rsidRPr="009926E5">
              <w:rPr>
                <w:rFonts w:cs="Times New Roman"/>
                <w:b w:val="0"/>
                <w:szCs w:val="24"/>
              </w:rPr>
              <w:t>Pozemní komunikace</w:t>
            </w:r>
          </w:p>
        </w:tc>
      </w:tr>
      <w:tr w:rsidR="008C7EA3" w:rsidRPr="009926E5" w:rsidTr="003A0B78">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rsidR="008C7EA3" w:rsidRPr="005D4D19" w:rsidRDefault="008C7EA3" w:rsidP="003A0B78">
            <w:pPr>
              <w:rPr>
                <w:rFonts w:cs="Times New Roman"/>
                <w:szCs w:val="24"/>
              </w:rPr>
            </w:pPr>
            <w:r w:rsidRPr="005D4D19">
              <w:rPr>
                <w:rFonts w:cs="Times New Roman"/>
                <w:szCs w:val="24"/>
              </w:rPr>
              <w:t>503</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rsidR="008C7EA3" w:rsidRPr="005D4D19" w:rsidRDefault="008C7EA3" w:rsidP="003A0B78">
            <w:pPr>
              <w:cnfStyle w:val="000000000000" w:firstRow="0" w:lastRow="0" w:firstColumn="0" w:lastColumn="0" w:oddVBand="0" w:evenVBand="0" w:oddHBand="0" w:evenHBand="0" w:firstRowFirstColumn="0" w:firstRowLastColumn="0" w:lastRowFirstColumn="0" w:lastRowLastColumn="0"/>
              <w:rPr>
                <w:rFonts w:cs="Times New Roman"/>
                <w:b/>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rsidR="008C7EA3" w:rsidRPr="005D4D19" w:rsidRDefault="008C7EA3" w:rsidP="003A0B78">
            <w:pPr>
              <w:rPr>
                <w:rFonts w:cs="Times New Roman"/>
                <w:szCs w:val="24"/>
              </w:rPr>
            </w:pPr>
            <w:r w:rsidRPr="005D4D19">
              <w:rPr>
                <w:rFonts w:cs="Times New Roman"/>
                <w:szCs w:val="24"/>
              </w:rPr>
              <w:t>Dotace pro Státní fond dopravní infrastruktury</w:t>
            </w:r>
          </w:p>
        </w:tc>
      </w:tr>
      <w:tr w:rsidR="008C7EA3" w:rsidRPr="009926E5" w:rsidTr="003A0B78">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8C7EA3" w:rsidRPr="005D4D19" w:rsidRDefault="008C7EA3" w:rsidP="003A0B78">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8C7EA3" w:rsidRPr="005D4D19" w:rsidRDefault="008C7EA3" w:rsidP="003A0B78">
            <w:pPr>
              <w:cnfStyle w:val="000000000000" w:firstRow="0" w:lastRow="0" w:firstColumn="0" w:lastColumn="0" w:oddVBand="0" w:evenVBand="0" w:oddHBand="0" w:evenHBand="0" w:firstRowFirstColumn="0" w:firstRowLastColumn="0" w:lastRowFirstColumn="0" w:lastRowLastColumn="0"/>
              <w:rPr>
                <w:rFonts w:cs="Times New Roman"/>
                <w:szCs w:val="24"/>
              </w:rPr>
            </w:pPr>
            <w:r w:rsidRPr="005D4D19">
              <w:rPr>
                <w:rFonts w:cs="Times New Roman"/>
                <w:szCs w:val="24"/>
              </w:rPr>
              <w:t>503001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8C7EA3" w:rsidRPr="005D4D19" w:rsidRDefault="008C7EA3" w:rsidP="003A0B78">
            <w:pPr>
              <w:rPr>
                <w:rFonts w:cs="Times New Roman"/>
                <w:b w:val="0"/>
                <w:szCs w:val="24"/>
              </w:rPr>
            </w:pPr>
            <w:r w:rsidRPr="005D4D19">
              <w:rPr>
                <w:rFonts w:cs="Times New Roman"/>
                <w:b w:val="0"/>
                <w:szCs w:val="24"/>
              </w:rPr>
              <w:t>Dotace pro společné programy (projekty) EU a ČR</w:t>
            </w:r>
          </w:p>
        </w:tc>
      </w:tr>
      <w:tr w:rsidR="008C7EA3" w:rsidRPr="009926E5" w:rsidTr="003A0B78">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8C7EA3" w:rsidRPr="005D4D19" w:rsidRDefault="008C7EA3" w:rsidP="003A0B78">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8C7EA3" w:rsidRPr="005D4D19" w:rsidRDefault="008C7EA3" w:rsidP="003A0B78">
            <w:pPr>
              <w:cnfStyle w:val="000000000000" w:firstRow="0" w:lastRow="0" w:firstColumn="0" w:lastColumn="0" w:oddVBand="0" w:evenVBand="0" w:oddHBand="0" w:evenHBand="0" w:firstRowFirstColumn="0" w:firstRowLastColumn="0" w:lastRowFirstColumn="0" w:lastRowLastColumn="0"/>
              <w:rPr>
                <w:rFonts w:cs="Times New Roman"/>
                <w:szCs w:val="24"/>
              </w:rPr>
            </w:pPr>
            <w:r w:rsidRPr="005D4D19">
              <w:rPr>
                <w:rFonts w:cs="Times New Roman"/>
                <w:szCs w:val="24"/>
              </w:rPr>
              <w:t>503003</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8C7EA3" w:rsidRPr="005D4D19" w:rsidRDefault="008C7EA3" w:rsidP="003A0B78">
            <w:pPr>
              <w:rPr>
                <w:rFonts w:cs="Times New Roman"/>
                <w:b w:val="0"/>
                <w:szCs w:val="24"/>
              </w:rPr>
            </w:pPr>
            <w:r w:rsidRPr="005D4D19">
              <w:rPr>
                <w:rFonts w:cs="Times New Roman"/>
                <w:b w:val="0"/>
                <w:szCs w:val="24"/>
              </w:rPr>
              <w:t>Dotace na projekty spolufinancované z EIB</w:t>
            </w:r>
          </w:p>
        </w:tc>
      </w:tr>
      <w:tr w:rsidR="008C7EA3" w:rsidRPr="009926E5" w:rsidTr="003A0B78">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rsidR="008C7EA3" w:rsidRPr="005D4D19" w:rsidRDefault="008C7EA3" w:rsidP="003A0B78">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rsidR="008C7EA3" w:rsidRPr="005D4D19" w:rsidRDefault="008C7EA3" w:rsidP="003A0B78">
            <w:pPr>
              <w:cnfStyle w:val="000000000000" w:firstRow="0" w:lastRow="0" w:firstColumn="0" w:lastColumn="0" w:oddVBand="0" w:evenVBand="0" w:oddHBand="0" w:evenHBand="0" w:firstRowFirstColumn="0" w:firstRowLastColumn="0" w:lastRowFirstColumn="0" w:lastRowLastColumn="0"/>
              <w:rPr>
                <w:rFonts w:cs="Times New Roman"/>
                <w:szCs w:val="24"/>
              </w:rPr>
            </w:pPr>
            <w:r w:rsidRPr="005D4D19">
              <w:rPr>
                <w:rFonts w:cs="Times New Roman"/>
                <w:szCs w:val="24"/>
              </w:rPr>
              <w:t>503004</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rsidR="008C7EA3" w:rsidRPr="005D4D19" w:rsidRDefault="008C7EA3" w:rsidP="003A0B78">
            <w:pPr>
              <w:rPr>
                <w:rFonts w:cs="Times New Roman"/>
                <w:b w:val="0"/>
                <w:szCs w:val="24"/>
              </w:rPr>
            </w:pPr>
            <w:r w:rsidRPr="005D4D19">
              <w:rPr>
                <w:rFonts w:cs="Times New Roman"/>
                <w:b w:val="0"/>
                <w:szCs w:val="24"/>
              </w:rPr>
              <w:t>Ostatní dotace pro SFDI</w:t>
            </w:r>
          </w:p>
        </w:tc>
      </w:tr>
      <w:tr w:rsidR="008C7EA3" w:rsidRPr="009926E5" w:rsidTr="003A0B78">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rsidR="008C7EA3" w:rsidRPr="005D4D19" w:rsidRDefault="008C7EA3" w:rsidP="003A0B78">
            <w:pPr>
              <w:rPr>
                <w:rFonts w:cs="Times New Roman"/>
                <w:szCs w:val="24"/>
              </w:rPr>
            </w:pPr>
            <w:r w:rsidRPr="005D4D19">
              <w:rPr>
                <w:rFonts w:cs="Times New Roman"/>
                <w:szCs w:val="24"/>
              </w:rPr>
              <w:t>504</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rsidR="008C7EA3" w:rsidRPr="005D4D19" w:rsidRDefault="008C7EA3" w:rsidP="003A0B78">
            <w:pPr>
              <w:cnfStyle w:val="000000000000" w:firstRow="0" w:lastRow="0" w:firstColumn="0" w:lastColumn="0" w:oddVBand="0" w:evenVBand="0" w:oddHBand="0" w:evenHBand="0" w:firstRowFirstColumn="0" w:firstRowLastColumn="0" w:lastRowFirstColumn="0" w:lastRowLastColumn="0"/>
              <w:rPr>
                <w:rFonts w:cs="Times New Roman"/>
                <w:b/>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rsidR="008C7EA3" w:rsidRPr="005D4D19" w:rsidRDefault="008C7EA3" w:rsidP="003A0B78">
            <w:pPr>
              <w:rPr>
                <w:rFonts w:cs="Times New Roman"/>
                <w:szCs w:val="24"/>
              </w:rPr>
            </w:pPr>
            <w:r w:rsidRPr="005D4D19">
              <w:rPr>
                <w:rFonts w:cs="Times New Roman"/>
                <w:szCs w:val="24"/>
              </w:rPr>
              <w:t>Ostatní výdaje spojené s dopravní politikou státu</w:t>
            </w:r>
          </w:p>
        </w:tc>
      </w:tr>
      <w:tr w:rsidR="008C7EA3" w:rsidRPr="009926E5" w:rsidTr="003A0B78">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8C7EA3" w:rsidRPr="005D4D19" w:rsidRDefault="008C7EA3" w:rsidP="003A0B78">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8C7EA3" w:rsidRPr="005D4D19" w:rsidRDefault="008C7EA3" w:rsidP="003A0B78">
            <w:pPr>
              <w:cnfStyle w:val="000000000000" w:firstRow="0" w:lastRow="0" w:firstColumn="0" w:lastColumn="0" w:oddVBand="0" w:evenVBand="0" w:oddHBand="0" w:evenHBand="0" w:firstRowFirstColumn="0" w:firstRowLastColumn="0" w:lastRowFirstColumn="0" w:lastRowLastColumn="0"/>
              <w:rPr>
                <w:rFonts w:cs="Times New Roman"/>
                <w:szCs w:val="24"/>
              </w:rPr>
            </w:pPr>
            <w:r w:rsidRPr="005D4D19">
              <w:rPr>
                <w:rFonts w:cs="Times New Roman"/>
                <w:szCs w:val="24"/>
              </w:rPr>
              <w:t>504001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8C7EA3" w:rsidRPr="005D4D19" w:rsidRDefault="008C7EA3" w:rsidP="003A0B78">
            <w:pPr>
              <w:rPr>
                <w:rFonts w:cs="Times New Roman"/>
                <w:b w:val="0"/>
                <w:szCs w:val="24"/>
              </w:rPr>
            </w:pPr>
            <w:r w:rsidRPr="005D4D19">
              <w:rPr>
                <w:rFonts w:cs="Times New Roman"/>
                <w:b w:val="0"/>
                <w:szCs w:val="24"/>
              </w:rPr>
              <w:t>Další výdaje spojené s dopravní politikou státu</w:t>
            </w:r>
          </w:p>
        </w:tc>
      </w:tr>
      <w:tr w:rsidR="008C7EA3" w:rsidRPr="009926E5" w:rsidTr="003A0B78">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808080" w:themeColor="background1" w:themeShade="80"/>
              <w:right w:val="single" w:sz="4" w:space="0" w:color="7F7F7F" w:themeColor="text1" w:themeTint="80"/>
            </w:tcBorders>
          </w:tcPr>
          <w:p w:rsidR="008C7EA3" w:rsidRPr="005D4D19" w:rsidRDefault="008C7EA3" w:rsidP="003A0B78">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808080" w:themeColor="background1" w:themeShade="80"/>
              <w:right w:val="single" w:sz="4" w:space="0" w:color="7F7F7F" w:themeColor="text1" w:themeTint="80"/>
            </w:tcBorders>
          </w:tcPr>
          <w:p w:rsidR="008C7EA3" w:rsidRPr="005D4D19" w:rsidRDefault="008C7EA3" w:rsidP="003A0B78">
            <w:pPr>
              <w:cnfStyle w:val="000000000000" w:firstRow="0" w:lastRow="0" w:firstColumn="0" w:lastColumn="0" w:oddVBand="0" w:evenVBand="0" w:oddHBand="0" w:evenHBand="0" w:firstRowFirstColumn="0" w:firstRowLastColumn="0" w:lastRowFirstColumn="0" w:lastRowLastColumn="0"/>
              <w:rPr>
                <w:rFonts w:cs="Times New Roman"/>
                <w:szCs w:val="24"/>
              </w:rPr>
            </w:pPr>
            <w:r w:rsidRPr="005D4D19">
              <w:rPr>
                <w:rFonts w:cs="Times New Roman"/>
                <w:szCs w:val="24"/>
              </w:rPr>
              <w:t>504002</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808080" w:themeColor="background1" w:themeShade="80"/>
              <w:right w:val="single" w:sz="8" w:space="0" w:color="7F7F7F" w:themeColor="text1" w:themeTint="80"/>
            </w:tcBorders>
          </w:tcPr>
          <w:p w:rsidR="008C7EA3" w:rsidRPr="005D4D19" w:rsidRDefault="008C7EA3" w:rsidP="003A0B78">
            <w:pPr>
              <w:rPr>
                <w:rFonts w:cs="Times New Roman"/>
                <w:b w:val="0"/>
                <w:szCs w:val="24"/>
              </w:rPr>
            </w:pPr>
            <w:r w:rsidRPr="005D4D19">
              <w:rPr>
                <w:rFonts w:cs="Times New Roman"/>
                <w:b w:val="0"/>
                <w:szCs w:val="24"/>
              </w:rPr>
              <w:t>Výdaje spojené s kosmickými aktivitami</w:t>
            </w:r>
          </w:p>
        </w:tc>
      </w:tr>
      <w:tr w:rsidR="008C7EA3" w:rsidRPr="009926E5" w:rsidTr="003A0B78">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808080" w:themeColor="background1" w:themeShade="80"/>
              <w:left w:val="single" w:sz="8" w:space="0" w:color="7F7F7F" w:themeColor="text1" w:themeTint="80"/>
              <w:right w:val="single" w:sz="4" w:space="0" w:color="7F7F7F" w:themeColor="text1" w:themeTint="80"/>
            </w:tcBorders>
          </w:tcPr>
          <w:p w:rsidR="008C7EA3" w:rsidRPr="009926E5" w:rsidRDefault="008C7EA3" w:rsidP="003A0B78">
            <w:pPr>
              <w:rPr>
                <w:rFonts w:cs="Times New Roman"/>
                <w:szCs w:val="24"/>
              </w:rPr>
            </w:pPr>
            <w:r w:rsidRPr="009926E5">
              <w:rPr>
                <w:rFonts w:cs="Times New Roman"/>
                <w:szCs w:val="24"/>
              </w:rPr>
              <w:t>505</w:t>
            </w:r>
          </w:p>
        </w:tc>
        <w:tc>
          <w:tcPr>
            <w:tcW w:w="1257" w:type="dxa"/>
            <w:tcBorders>
              <w:top w:val="single" w:sz="8" w:space="0" w:color="808080" w:themeColor="background1" w:themeShade="80"/>
              <w:left w:val="single" w:sz="4" w:space="0" w:color="7F7F7F" w:themeColor="text1" w:themeTint="80"/>
              <w:bottom w:val="single" w:sz="4" w:space="0" w:color="999999" w:themeColor="text1" w:themeTint="66"/>
              <w:right w:val="single" w:sz="4" w:space="0" w:color="7F7F7F" w:themeColor="text1" w:themeTint="80"/>
            </w:tcBorders>
          </w:tcPr>
          <w:p w:rsidR="008C7EA3" w:rsidRPr="009926E5" w:rsidRDefault="008C7EA3" w:rsidP="003A0B78">
            <w:pPr>
              <w:cnfStyle w:val="000000000000" w:firstRow="0" w:lastRow="0" w:firstColumn="0" w:lastColumn="0" w:oddVBand="0" w:evenVBand="0" w:oddHBand="0" w:evenHBand="0" w:firstRowFirstColumn="0" w:firstRowLastColumn="0" w:lastRowFirstColumn="0" w:lastRowLastColumn="0"/>
              <w:rPr>
                <w:rFonts w:cs="Times New Roman"/>
                <w:b/>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808080" w:themeColor="background1" w:themeShade="80"/>
              <w:left w:val="single" w:sz="4" w:space="0" w:color="7F7F7F" w:themeColor="text1" w:themeTint="80"/>
              <w:bottom w:val="single" w:sz="4" w:space="0" w:color="999999" w:themeColor="text1" w:themeTint="66"/>
              <w:right w:val="single" w:sz="8" w:space="0" w:color="7F7F7F" w:themeColor="text1" w:themeTint="80"/>
            </w:tcBorders>
          </w:tcPr>
          <w:p w:rsidR="008C7EA3" w:rsidRPr="009926E5" w:rsidRDefault="008C7EA3" w:rsidP="003A0B78">
            <w:pPr>
              <w:rPr>
                <w:rFonts w:cs="Times New Roman"/>
                <w:bCs w:val="0"/>
                <w:szCs w:val="24"/>
              </w:rPr>
            </w:pPr>
            <w:r w:rsidRPr="009926E5">
              <w:rPr>
                <w:rFonts w:cs="Times New Roman"/>
                <w:bCs w:val="0"/>
                <w:szCs w:val="24"/>
              </w:rPr>
              <w:t>Výdaje spojené s výkonem předsednictví ČR v Radě EU</w:t>
            </w:r>
          </w:p>
        </w:tc>
      </w:tr>
      <w:tr w:rsidR="008C7EA3" w:rsidRPr="009926E5" w:rsidTr="003A0B7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5" w:type="dxa"/>
            <w:vMerge/>
            <w:tcBorders>
              <w:left w:val="single" w:sz="8" w:space="0" w:color="7F7F7F" w:themeColor="text1" w:themeTint="80"/>
              <w:bottom w:val="single" w:sz="8" w:space="0" w:color="7F7F7F" w:themeColor="text1" w:themeTint="80"/>
              <w:right w:val="single" w:sz="4" w:space="0" w:color="7F7F7F" w:themeColor="text1" w:themeTint="80"/>
            </w:tcBorders>
          </w:tcPr>
          <w:p w:rsidR="008C7EA3" w:rsidRPr="009926E5" w:rsidRDefault="008C7EA3" w:rsidP="003A0B78">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rsidR="008C7EA3" w:rsidRPr="009926E5" w:rsidRDefault="008C7EA3" w:rsidP="003A0B78">
            <w:pPr>
              <w:cnfStyle w:val="010000000000" w:firstRow="0" w:lastRow="1" w:firstColumn="0" w:lastColumn="0" w:oddVBand="0" w:evenVBand="0" w:oddHBand="0" w:evenHBand="0" w:firstRowFirstColumn="0" w:firstRowLastColumn="0" w:lastRowFirstColumn="0" w:lastRowLastColumn="0"/>
              <w:rPr>
                <w:rFonts w:cs="Times New Roman"/>
                <w:b w:val="0"/>
                <w:szCs w:val="24"/>
              </w:rPr>
            </w:pPr>
            <w:r w:rsidRPr="009926E5">
              <w:rPr>
                <w:rFonts w:cs="Times New Roman"/>
                <w:b w:val="0"/>
                <w:szCs w:val="24"/>
              </w:rPr>
              <w:t>505001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rsidR="008C7EA3" w:rsidRPr="009926E5" w:rsidRDefault="008C7EA3" w:rsidP="003A0B78">
            <w:pPr>
              <w:rPr>
                <w:rFonts w:cs="Times New Roman"/>
                <w:b w:val="0"/>
                <w:szCs w:val="24"/>
              </w:rPr>
            </w:pPr>
            <w:r w:rsidRPr="009926E5">
              <w:rPr>
                <w:rFonts w:cs="Times New Roman"/>
                <w:b w:val="0"/>
                <w:szCs w:val="24"/>
              </w:rPr>
              <w:t>Výdaje spojené s výkonem předsednictví ČR v Radě EU</w:t>
            </w:r>
          </w:p>
        </w:tc>
      </w:tr>
    </w:tbl>
    <w:p w:rsidR="008C7EA3" w:rsidRPr="00A03524" w:rsidRDefault="008C7EA3" w:rsidP="00CF4AED">
      <w:pPr>
        <w:pStyle w:val="Nadpis9"/>
      </w:pPr>
      <w:r w:rsidRPr="00A03524">
        <w:t>501 – Drážní a kombinovaná doprava</w:t>
      </w:r>
    </w:p>
    <w:p w:rsidR="008C7EA3" w:rsidRPr="00A03524" w:rsidRDefault="008C7EA3" w:rsidP="008C7EA3">
      <w:pPr>
        <w:pStyle w:val="Styl1"/>
      </w:pPr>
      <w:r w:rsidRPr="00A03524">
        <w:t xml:space="preserve">Výdajový blok je zaměřen na financování potřeb týkajících se drážní a kombinované dopravy. Dělí se na pět výdajových okruhů, jejichž podrobnější charakteristika vymezující funkční </w:t>
      </w:r>
      <w:r w:rsidRPr="00A03524">
        <w:br/>
        <w:t>a věcný obsah je uvedena v dalším textu.</w:t>
      </w:r>
    </w:p>
    <w:p w:rsidR="008C7EA3" w:rsidRPr="004009E7" w:rsidRDefault="008C7EA3" w:rsidP="008C7EA3">
      <w:pPr>
        <w:pStyle w:val="Styl1"/>
      </w:pPr>
      <w:bookmarkStart w:id="25" w:name="OLE_LINK1"/>
      <w:bookmarkStart w:id="26" w:name="OLE_LINK2"/>
      <w:r w:rsidRPr="004009E7">
        <w:t>V roce 2021 je na tento výdajový blok rozpočtováno celkem 10 098 25</w:t>
      </w:r>
      <w:r>
        <w:t>3</w:t>
      </w:r>
      <w:r w:rsidRPr="004009E7">
        <w:t xml:space="preserve"> tis. Kč, tj. 8,71 % souhrnného ukazatele výdaje celkem.</w:t>
      </w:r>
      <w:bookmarkEnd w:id="25"/>
      <w:bookmarkEnd w:id="26"/>
      <w:r w:rsidRPr="004009E7">
        <w:t xml:space="preserve"> Finanční prostředky jsou v</w:t>
      </w:r>
      <w:r w:rsidR="002242A2">
        <w:t> roce 2021 rozpočtovány na dva</w:t>
      </w:r>
      <w:r w:rsidRPr="004009E7">
        <w:t xml:space="preserve"> okruhy: Úhrada ztráty ze závazku veřejné služby ve veřejné drážní osobní dopravě </w:t>
      </w:r>
      <w:r w:rsidRPr="004009E7">
        <w:br/>
        <w:t>(8 497 235 tis. Kč) a Ostatní výdaje spojené s drážní dopravou (1 601 018 tis. Kč).</w:t>
      </w:r>
    </w:p>
    <w:p w:rsidR="008C7EA3" w:rsidRPr="005F51BF" w:rsidRDefault="008C7EA3" w:rsidP="00CF4AED">
      <w:pPr>
        <w:pStyle w:val="Nadpis9"/>
      </w:pPr>
      <w:r w:rsidRPr="005F51BF">
        <w:lastRenderedPageBreak/>
        <w:t>502 – Pozemní komunikace</w:t>
      </w:r>
    </w:p>
    <w:p w:rsidR="008C7EA3" w:rsidRPr="005F51BF" w:rsidRDefault="008C7EA3" w:rsidP="008C7EA3">
      <w:pPr>
        <w:pStyle w:val="Styl1"/>
      </w:pPr>
      <w:r w:rsidRPr="005F51BF">
        <w:t xml:space="preserve">V rámci výdajového bloku se financují potřeby související s výstavbou, rekonstrukcí a modernizací pozemních komunikací ve vlastnictví státu, které jsou financovány prostřednictvím kapitoly 327-MD. </w:t>
      </w:r>
    </w:p>
    <w:p w:rsidR="008C7EA3" w:rsidRPr="005F51BF" w:rsidRDefault="008C7EA3" w:rsidP="008C7EA3">
      <w:pPr>
        <w:pStyle w:val="Styl1"/>
      </w:pPr>
      <w:r w:rsidRPr="005F51BF">
        <w:t>V roce 202</w:t>
      </w:r>
      <w:r>
        <w:t>1</w:t>
      </w:r>
      <w:r w:rsidRPr="005F51BF">
        <w:t xml:space="preserve"> nejsou na tento výdajový blok rozpočtovány žádné prostředky. </w:t>
      </w:r>
    </w:p>
    <w:p w:rsidR="008C7EA3" w:rsidRPr="000D186A" w:rsidRDefault="008C7EA3" w:rsidP="00CF4AED">
      <w:pPr>
        <w:pStyle w:val="Nadpis9"/>
      </w:pPr>
      <w:r w:rsidRPr="000D186A">
        <w:t>503 – Dotace pro Státní fond dopravní infrastruktury</w:t>
      </w:r>
    </w:p>
    <w:p w:rsidR="008C7EA3" w:rsidRPr="000D186A" w:rsidRDefault="008C7EA3" w:rsidP="008C7EA3">
      <w:pPr>
        <w:pStyle w:val="Styl1"/>
      </w:pPr>
      <w:r w:rsidRPr="000D186A">
        <w:t xml:space="preserve">Výdajový blok se využívá k transferu finančních prostředků pro SFDI, kterému </w:t>
      </w:r>
      <w:r w:rsidRPr="000D186A">
        <w:br/>
        <w:t>§ 4, odst. 1 písm. j) zákona č. 104/2000 Sb., o Státním fondu dopravní infrastruktury, umožňuje přijímat dotace ze státního rozpočtu.</w:t>
      </w:r>
    </w:p>
    <w:p w:rsidR="008C7EA3" w:rsidRPr="000D186A" w:rsidRDefault="008C7EA3" w:rsidP="008C7EA3">
      <w:pPr>
        <w:pStyle w:val="Styl1"/>
      </w:pPr>
      <w:r w:rsidRPr="000D186A">
        <w:t>V roce 2021 je na tento výdajový blok rozpočtováno celkem 95 502 257 tis. Kč, tj. 82,33 % souhrnného ukazatele výdaje celkem. Výdajový blok se dělí na tři výdajové okruhy:</w:t>
      </w:r>
    </w:p>
    <w:p w:rsidR="008C7EA3" w:rsidRPr="006F5322" w:rsidRDefault="008C7EA3" w:rsidP="008C7EA3">
      <w:pPr>
        <w:pStyle w:val="Styl1"/>
        <w:numPr>
          <w:ilvl w:val="0"/>
          <w:numId w:val="32"/>
        </w:numPr>
        <w:spacing w:before="240"/>
        <w:ind w:left="567" w:hanging="283"/>
        <w:rPr>
          <w:b/>
          <w:bCs/>
        </w:rPr>
      </w:pPr>
      <w:r w:rsidRPr="006F5322">
        <w:rPr>
          <w:u w:val="single"/>
        </w:rPr>
        <w:t>Dotace pro společné programy (projekty) EU a ČR</w:t>
      </w:r>
      <w:r w:rsidRPr="006F5322">
        <w:t xml:space="preserve"> – prostřednictvím tohoto okruhu jsou poskytovány prostředky kryté příjmem EU na financování projektů Operačního programu Doprava, ve kterém SFDI plní funkci zprostředkujícího subjektu, dále také prostředky na financování komunitárních programů a </w:t>
      </w:r>
      <w:r w:rsidR="00DD6C96">
        <w:t xml:space="preserve">programů </w:t>
      </w:r>
      <w:r w:rsidRPr="006F5322">
        <w:t>RRF (Facilita na</w:t>
      </w:r>
      <w:r w:rsidR="00DD6C96">
        <w:t xml:space="preserve"> podporu oživení </w:t>
      </w:r>
      <w:r w:rsidR="00CE322F">
        <w:br/>
      </w:r>
      <w:r w:rsidR="00DD6C96">
        <w:t xml:space="preserve">a odolnosti), </w:t>
      </w:r>
      <w:r w:rsidRPr="006F5322">
        <w:t>u kterých zajišťuje SFDI národní spolufinancování. V roce 202</w:t>
      </w:r>
      <w:r w:rsidR="002242A2">
        <w:t>1</w:t>
      </w:r>
      <w:r w:rsidRPr="006F5322">
        <w:t xml:space="preserve"> </w:t>
      </w:r>
      <w:r w:rsidR="00CE322F">
        <w:br/>
      </w:r>
      <w:r w:rsidRPr="006F5322">
        <w:t xml:space="preserve">se předpokládají prostředky ve výši 36 977 257 tis. Kč, v tom prostředky EU činí </w:t>
      </w:r>
      <w:r w:rsidR="00CE322F">
        <w:br/>
      </w:r>
      <w:r w:rsidRPr="006F5322">
        <w:t>36 977 257 tis. Kč.</w:t>
      </w:r>
    </w:p>
    <w:p w:rsidR="008C7EA3" w:rsidRPr="004A0F6E" w:rsidRDefault="008C7EA3" w:rsidP="008C7EA3">
      <w:pPr>
        <w:pStyle w:val="Styl1"/>
        <w:numPr>
          <w:ilvl w:val="0"/>
          <w:numId w:val="32"/>
        </w:numPr>
        <w:spacing w:before="240"/>
        <w:ind w:left="567" w:hanging="283"/>
        <w:rPr>
          <w:b/>
          <w:bCs/>
        </w:rPr>
      </w:pPr>
      <w:r w:rsidRPr="004A0F6E">
        <w:rPr>
          <w:u w:val="single"/>
        </w:rPr>
        <w:t>Dotace na projekty spolufinancované z EIB</w:t>
      </w:r>
      <w:r w:rsidRPr="004A0F6E">
        <w:t xml:space="preserve"> – v rámci tohoto okruhu budou poskytovány finanční prostředky z úvěru přijatého Českou republikou </w:t>
      </w:r>
      <w:r w:rsidRPr="004A0F6E">
        <w:br/>
        <w:t xml:space="preserve">od Evropské investiční banky na základě UV č. 726/2018. Pro rok 2021 jsou rozpočtovány prostředky ve výši 1 801 390 tis. Kč. </w:t>
      </w:r>
    </w:p>
    <w:p w:rsidR="008C7EA3" w:rsidRPr="004A0F6E" w:rsidRDefault="008C7EA3" w:rsidP="008C7EA3">
      <w:pPr>
        <w:pStyle w:val="Styl1"/>
        <w:numPr>
          <w:ilvl w:val="0"/>
          <w:numId w:val="32"/>
        </w:numPr>
        <w:spacing w:before="240"/>
        <w:ind w:left="567" w:hanging="283"/>
        <w:rPr>
          <w:b/>
          <w:bCs/>
        </w:rPr>
      </w:pPr>
      <w:r w:rsidRPr="004A0F6E">
        <w:rPr>
          <w:u w:val="single"/>
        </w:rPr>
        <w:t>Ostatní dotace pro SFDI</w:t>
      </w:r>
      <w:r w:rsidRPr="004A0F6E">
        <w:t xml:space="preserve"> – prostřednictvím tohoto okruhu se poskytují prostředky </w:t>
      </w:r>
      <w:r w:rsidRPr="004A0F6E">
        <w:br/>
        <w:t xml:space="preserve">na krytí deficitu rozpočtu SFDI a další aktivity, které nespadají do ostatních výdajových okruhů. Pro rok 2021 se navrhuje částka na krytí deficitu ve výši </w:t>
      </w:r>
      <w:r w:rsidRPr="004A0F6E">
        <w:br/>
        <w:t xml:space="preserve">56 723 610 tis. Kč, která je určena na posílení prostředků na spolufinancování OPD, </w:t>
      </w:r>
      <w:r w:rsidRPr="004A0F6E">
        <w:br/>
        <w:t>na výstavbu, opravy a udržování dopravní infrastruktury.</w:t>
      </w:r>
    </w:p>
    <w:p w:rsidR="008C7EA3" w:rsidRPr="00B411BE" w:rsidRDefault="008C7EA3" w:rsidP="008C7EA3">
      <w:pPr>
        <w:spacing w:before="240" w:after="120"/>
        <w:rPr>
          <w:rFonts w:cs="Times New Roman"/>
          <w:b/>
          <w:szCs w:val="24"/>
          <w:u w:val="single"/>
        </w:rPr>
      </w:pPr>
      <w:r w:rsidRPr="00B411BE">
        <w:rPr>
          <w:rFonts w:cs="Times New Roman"/>
          <w:b/>
          <w:szCs w:val="24"/>
          <w:u w:val="single"/>
        </w:rPr>
        <w:t>504 – Ostatní výdaje spojené s </w:t>
      </w:r>
      <w:r w:rsidRPr="00CF4AED">
        <w:rPr>
          <w:rStyle w:val="Nadpis9Char"/>
        </w:rPr>
        <w:t>dopravní</w:t>
      </w:r>
      <w:r w:rsidRPr="00B411BE">
        <w:rPr>
          <w:rFonts w:cs="Times New Roman"/>
          <w:b/>
          <w:szCs w:val="24"/>
          <w:u w:val="single"/>
        </w:rPr>
        <w:t xml:space="preserve"> politikou státu</w:t>
      </w:r>
    </w:p>
    <w:p w:rsidR="008C7EA3" w:rsidRPr="00B411BE" w:rsidRDefault="008C7EA3" w:rsidP="008C7EA3">
      <w:pPr>
        <w:pStyle w:val="Styl1"/>
      </w:pPr>
      <w:r w:rsidRPr="00B411BE">
        <w:t>Výdajový blok zahrnuje všechny ostatní výdaje, které nespadají do předchozích výdajových bloků mimo výdajů spojených s výkonem předsednictví ČR v Radě EU. V roce 2021 je na tento výdajový blok rozpočtováno 10 393 508 tis. Kč, tj. 8,96 % souhrnného ukazatele výdaje celkem.</w:t>
      </w:r>
    </w:p>
    <w:p w:rsidR="008C7EA3" w:rsidRPr="00B411BE" w:rsidRDefault="008C7EA3" w:rsidP="008C7EA3">
      <w:pPr>
        <w:pStyle w:val="Styl1"/>
        <w:rPr>
          <w:i/>
        </w:rPr>
      </w:pPr>
      <w:r w:rsidRPr="00B411BE">
        <w:t>Podrobnější charakteristika vymezující funkční a věcný obsah tohoto bloku je uvedena v dalších částech kapitolního sešitu.</w:t>
      </w:r>
    </w:p>
    <w:p w:rsidR="008C7EA3" w:rsidRPr="00B411BE" w:rsidRDefault="008C7EA3" w:rsidP="00CF4AED">
      <w:pPr>
        <w:pStyle w:val="Nadpis9"/>
      </w:pPr>
      <w:r w:rsidRPr="00B411BE">
        <w:lastRenderedPageBreak/>
        <w:t>505 – Výdaje spojené s výkonem předsednictví ČR v Radě EU</w:t>
      </w:r>
    </w:p>
    <w:p w:rsidR="008C7EA3" w:rsidRDefault="008C7EA3" w:rsidP="008C7EA3">
      <w:pPr>
        <w:pStyle w:val="Styl1"/>
      </w:pPr>
      <w:r w:rsidRPr="00B411BE">
        <w:t xml:space="preserve">Výdajový blok zahrnuje výdaje určené na předsednictví ČR v Radě Evropské unie. ČR </w:t>
      </w:r>
      <w:r w:rsidRPr="00B411BE">
        <w:br/>
        <w:t xml:space="preserve">se v druhé polovině roku 2022 ujme půlročního předsednictví, v příštím roce </w:t>
      </w:r>
      <w:r w:rsidR="002242A2">
        <w:t xml:space="preserve">bude pokračovat </w:t>
      </w:r>
      <w:r w:rsidRPr="00B411BE">
        <w:t xml:space="preserve">příprava. V roce 2021 jsou na výdajový blok rozpočtované prostředky ve výši 3 420 tis. Kč. </w:t>
      </w:r>
    </w:p>
    <w:p w:rsidR="00423CD3" w:rsidRPr="00423CD3" w:rsidRDefault="00423CD3" w:rsidP="00423CD3">
      <w:pPr>
        <w:pStyle w:val="Titulek"/>
        <w:keepNext/>
      </w:pPr>
      <w:r w:rsidRPr="00423CD3">
        <w:t xml:space="preserve">Tabulka č. </w:t>
      </w:r>
      <w:fldSimple w:instr=" SEQ Tabulka \* ARABIC ">
        <w:r w:rsidR="006076E7">
          <w:rPr>
            <w:noProof/>
          </w:rPr>
          <w:t>6</w:t>
        </w:r>
      </w:fldSimple>
      <w:r w:rsidRPr="00423CD3">
        <w:t xml:space="preserve"> Přehled celkových výdajů v rámci kapitoly 327 MD (v tis. Kč)</w:t>
      </w:r>
    </w:p>
    <w:tbl>
      <w:tblPr>
        <w:tblStyle w:val="Svtltabulkasmkou1"/>
        <w:tblW w:w="9346"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1550"/>
        <w:gridCol w:w="1275"/>
        <w:gridCol w:w="1276"/>
        <w:gridCol w:w="1276"/>
        <w:gridCol w:w="1276"/>
        <w:gridCol w:w="1276"/>
        <w:gridCol w:w="1417"/>
      </w:tblGrid>
      <w:tr w:rsidR="00423CD3" w:rsidRPr="00423CD3" w:rsidTr="00905890">
        <w:tc>
          <w:tcPr>
            <w:tcW w:w="1550" w:type="dxa"/>
            <w:vMerge w:val="restart"/>
            <w:tcBorders>
              <w:top w:val="single" w:sz="8" w:space="0" w:color="7F7F7F" w:themeColor="text1" w:themeTint="80"/>
            </w:tcBorders>
            <w:shd w:val="thinReverseDiagStripe" w:color="D9D9D9" w:themeColor="background1" w:themeShade="D9" w:fill="FFFFFF" w:themeFill="background1"/>
            <w:vAlign w:val="center"/>
          </w:tcPr>
          <w:p w:rsidR="00423CD3" w:rsidRPr="00423CD3" w:rsidRDefault="00423CD3" w:rsidP="00905890">
            <w:pPr>
              <w:pStyle w:val="Zkladntext"/>
              <w:jc w:val="center"/>
              <w:rPr>
                <w:b/>
                <w:sz w:val="22"/>
                <w:szCs w:val="22"/>
              </w:rPr>
            </w:pPr>
            <w:r w:rsidRPr="00423CD3">
              <w:rPr>
                <w:b/>
                <w:sz w:val="22"/>
                <w:szCs w:val="22"/>
              </w:rPr>
              <w:t>Výdaje celkem</w:t>
            </w:r>
          </w:p>
        </w:tc>
        <w:tc>
          <w:tcPr>
            <w:tcW w:w="1275"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423CD3" w:rsidRPr="00423CD3" w:rsidRDefault="00423CD3" w:rsidP="00905890">
            <w:pPr>
              <w:jc w:val="center"/>
              <w:rPr>
                <w:rFonts w:cs="Times New Roman"/>
                <w:b/>
                <w:sz w:val="22"/>
              </w:rPr>
            </w:pPr>
            <w:r w:rsidRPr="00423CD3">
              <w:rPr>
                <w:rFonts w:cs="Times New Roman"/>
                <w:b/>
                <w:sz w:val="22"/>
              </w:rPr>
              <w:t>Skutečnost 2016</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423CD3" w:rsidRPr="00423CD3" w:rsidRDefault="00423CD3" w:rsidP="00905890">
            <w:pPr>
              <w:jc w:val="center"/>
              <w:rPr>
                <w:rFonts w:cs="Times New Roman"/>
                <w:b/>
                <w:sz w:val="22"/>
              </w:rPr>
            </w:pPr>
            <w:r w:rsidRPr="00423CD3">
              <w:rPr>
                <w:rFonts w:cs="Times New Roman"/>
                <w:b/>
                <w:sz w:val="22"/>
              </w:rPr>
              <w:t>Skutečnost 2017</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423CD3" w:rsidRPr="00423CD3" w:rsidRDefault="00423CD3" w:rsidP="00905890">
            <w:pPr>
              <w:jc w:val="center"/>
              <w:rPr>
                <w:rFonts w:cs="Times New Roman"/>
                <w:b/>
                <w:sz w:val="22"/>
              </w:rPr>
            </w:pPr>
            <w:r w:rsidRPr="00423CD3">
              <w:rPr>
                <w:rFonts w:cs="Times New Roman"/>
                <w:b/>
                <w:sz w:val="22"/>
              </w:rPr>
              <w:t>Skutečnost 2018</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423CD3" w:rsidRPr="00423CD3" w:rsidRDefault="00423CD3" w:rsidP="00905890">
            <w:pPr>
              <w:jc w:val="center"/>
              <w:rPr>
                <w:rFonts w:cs="Times New Roman"/>
                <w:b/>
                <w:sz w:val="22"/>
              </w:rPr>
            </w:pPr>
            <w:r w:rsidRPr="00423CD3">
              <w:rPr>
                <w:rFonts w:cs="Times New Roman"/>
                <w:b/>
                <w:sz w:val="22"/>
              </w:rPr>
              <w:t>Skutečnost 2019</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423CD3" w:rsidRPr="00423CD3" w:rsidRDefault="00423CD3" w:rsidP="00905890">
            <w:pPr>
              <w:jc w:val="center"/>
              <w:rPr>
                <w:rFonts w:cs="Times New Roman"/>
                <w:b/>
                <w:sz w:val="22"/>
              </w:rPr>
            </w:pPr>
            <w:r w:rsidRPr="00423CD3">
              <w:rPr>
                <w:rFonts w:cs="Times New Roman"/>
                <w:b/>
                <w:sz w:val="22"/>
              </w:rPr>
              <w:t>Schválený rozpočet 2020</w:t>
            </w:r>
          </w:p>
        </w:tc>
        <w:tc>
          <w:tcPr>
            <w:tcW w:w="1417"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423CD3" w:rsidRPr="00423CD3" w:rsidRDefault="00423CD3" w:rsidP="00905890">
            <w:pPr>
              <w:jc w:val="center"/>
              <w:rPr>
                <w:rFonts w:cs="Times New Roman"/>
                <w:b/>
                <w:sz w:val="22"/>
              </w:rPr>
            </w:pPr>
            <w:r w:rsidRPr="00423CD3">
              <w:rPr>
                <w:rFonts w:cs="Times New Roman"/>
                <w:b/>
                <w:sz w:val="22"/>
              </w:rPr>
              <w:t>Návrh rozpočtu 2021</w:t>
            </w:r>
          </w:p>
        </w:tc>
      </w:tr>
      <w:tr w:rsidR="00423CD3" w:rsidRPr="00FF0A6B" w:rsidTr="00905890">
        <w:tc>
          <w:tcPr>
            <w:tcW w:w="1550" w:type="dxa"/>
            <w:vMerge/>
            <w:tcBorders>
              <w:bottom w:val="single" w:sz="8" w:space="0" w:color="7F7F7F" w:themeColor="text1" w:themeTint="80"/>
            </w:tcBorders>
          </w:tcPr>
          <w:p w:rsidR="00423CD3" w:rsidRPr="00423CD3" w:rsidRDefault="00423CD3" w:rsidP="00905890">
            <w:pPr>
              <w:rPr>
                <w:rFonts w:cs="Times New Roman"/>
                <w:b/>
                <w:szCs w:val="24"/>
              </w:rPr>
            </w:pPr>
          </w:p>
        </w:tc>
        <w:tc>
          <w:tcPr>
            <w:tcW w:w="1275" w:type="dxa"/>
            <w:tcBorders>
              <w:top w:val="single" w:sz="8" w:space="0" w:color="7F7F7F" w:themeColor="text1" w:themeTint="80"/>
              <w:bottom w:val="single" w:sz="8" w:space="0" w:color="7F7F7F" w:themeColor="text1" w:themeTint="80"/>
            </w:tcBorders>
            <w:vAlign w:val="center"/>
          </w:tcPr>
          <w:p w:rsidR="00423CD3" w:rsidRPr="00423CD3" w:rsidRDefault="00423CD3" w:rsidP="00905890">
            <w:pPr>
              <w:pStyle w:val="Zkladntext"/>
              <w:spacing w:before="120"/>
              <w:jc w:val="right"/>
              <w:rPr>
                <w:bCs w:val="0"/>
                <w:sz w:val="22"/>
                <w:szCs w:val="22"/>
              </w:rPr>
            </w:pPr>
            <w:r w:rsidRPr="00423CD3">
              <w:rPr>
                <w:bCs w:val="0"/>
                <w:sz w:val="22"/>
                <w:szCs w:val="22"/>
              </w:rPr>
              <w:t>54 408 771</w:t>
            </w:r>
          </w:p>
        </w:tc>
        <w:tc>
          <w:tcPr>
            <w:tcW w:w="1276" w:type="dxa"/>
            <w:tcBorders>
              <w:top w:val="single" w:sz="8" w:space="0" w:color="7F7F7F" w:themeColor="text1" w:themeTint="80"/>
              <w:bottom w:val="single" w:sz="8" w:space="0" w:color="7F7F7F" w:themeColor="text1" w:themeTint="80"/>
            </w:tcBorders>
            <w:vAlign w:val="center"/>
          </w:tcPr>
          <w:p w:rsidR="00423CD3" w:rsidRPr="00423CD3" w:rsidRDefault="00423CD3" w:rsidP="00905890">
            <w:pPr>
              <w:pStyle w:val="Zkladntext"/>
              <w:spacing w:before="120"/>
              <w:jc w:val="right"/>
              <w:rPr>
                <w:bCs w:val="0"/>
                <w:sz w:val="22"/>
                <w:szCs w:val="22"/>
              </w:rPr>
            </w:pPr>
            <w:r w:rsidRPr="00423CD3">
              <w:rPr>
                <w:bCs w:val="0"/>
                <w:sz w:val="22"/>
                <w:szCs w:val="22"/>
              </w:rPr>
              <w:t>56 442 910</w:t>
            </w:r>
          </w:p>
        </w:tc>
        <w:tc>
          <w:tcPr>
            <w:tcW w:w="1276" w:type="dxa"/>
            <w:tcBorders>
              <w:top w:val="single" w:sz="8" w:space="0" w:color="7F7F7F" w:themeColor="text1" w:themeTint="80"/>
              <w:bottom w:val="single" w:sz="8" w:space="0" w:color="7F7F7F" w:themeColor="text1" w:themeTint="80"/>
            </w:tcBorders>
            <w:vAlign w:val="center"/>
          </w:tcPr>
          <w:p w:rsidR="00423CD3" w:rsidRPr="00423CD3" w:rsidRDefault="00423CD3" w:rsidP="00905890">
            <w:pPr>
              <w:pStyle w:val="Zkladntext"/>
              <w:spacing w:before="120"/>
              <w:jc w:val="right"/>
              <w:rPr>
                <w:bCs w:val="0"/>
                <w:sz w:val="22"/>
                <w:szCs w:val="22"/>
              </w:rPr>
            </w:pPr>
            <w:r w:rsidRPr="00423CD3">
              <w:rPr>
                <w:bCs w:val="0"/>
                <w:sz w:val="22"/>
                <w:szCs w:val="22"/>
              </w:rPr>
              <w:t>51 935 675</w:t>
            </w:r>
          </w:p>
        </w:tc>
        <w:tc>
          <w:tcPr>
            <w:tcW w:w="1276" w:type="dxa"/>
            <w:tcBorders>
              <w:top w:val="single" w:sz="8" w:space="0" w:color="7F7F7F" w:themeColor="text1" w:themeTint="80"/>
              <w:bottom w:val="single" w:sz="8" w:space="0" w:color="7F7F7F" w:themeColor="text1" w:themeTint="80"/>
            </w:tcBorders>
          </w:tcPr>
          <w:p w:rsidR="00423CD3" w:rsidRPr="00423CD3" w:rsidRDefault="00423CD3" w:rsidP="00905890">
            <w:pPr>
              <w:pStyle w:val="Zkladntext"/>
              <w:spacing w:before="120"/>
              <w:jc w:val="right"/>
              <w:rPr>
                <w:bCs w:val="0"/>
                <w:sz w:val="22"/>
                <w:szCs w:val="22"/>
              </w:rPr>
            </w:pPr>
            <w:r w:rsidRPr="00423CD3">
              <w:rPr>
                <w:bCs w:val="0"/>
                <w:sz w:val="22"/>
                <w:szCs w:val="22"/>
              </w:rPr>
              <w:t>75 228 814</w:t>
            </w:r>
          </w:p>
        </w:tc>
        <w:tc>
          <w:tcPr>
            <w:tcW w:w="1276" w:type="dxa"/>
            <w:tcBorders>
              <w:top w:val="single" w:sz="8" w:space="0" w:color="7F7F7F" w:themeColor="text1" w:themeTint="80"/>
              <w:bottom w:val="single" w:sz="8" w:space="0" w:color="7F7F7F" w:themeColor="text1" w:themeTint="80"/>
            </w:tcBorders>
          </w:tcPr>
          <w:p w:rsidR="00423CD3" w:rsidRPr="00423CD3" w:rsidRDefault="00423CD3" w:rsidP="00905890">
            <w:pPr>
              <w:pStyle w:val="Zkladntext"/>
              <w:spacing w:before="120"/>
              <w:jc w:val="right"/>
              <w:rPr>
                <w:bCs w:val="0"/>
                <w:sz w:val="22"/>
                <w:szCs w:val="22"/>
              </w:rPr>
            </w:pPr>
            <w:r w:rsidRPr="00423CD3">
              <w:rPr>
                <w:bCs w:val="0"/>
                <w:sz w:val="22"/>
                <w:szCs w:val="22"/>
              </w:rPr>
              <w:t>90 472 681</w:t>
            </w:r>
          </w:p>
        </w:tc>
        <w:tc>
          <w:tcPr>
            <w:tcW w:w="1417" w:type="dxa"/>
            <w:tcBorders>
              <w:top w:val="single" w:sz="8" w:space="0" w:color="7F7F7F" w:themeColor="text1" w:themeTint="80"/>
              <w:bottom w:val="single" w:sz="8" w:space="0" w:color="7F7F7F" w:themeColor="text1" w:themeTint="80"/>
            </w:tcBorders>
          </w:tcPr>
          <w:p w:rsidR="00423CD3" w:rsidRPr="0085313C" w:rsidRDefault="00423CD3" w:rsidP="00905890">
            <w:pPr>
              <w:pStyle w:val="Zkladntext"/>
              <w:spacing w:before="120"/>
              <w:jc w:val="right"/>
              <w:rPr>
                <w:bCs w:val="0"/>
                <w:sz w:val="22"/>
                <w:szCs w:val="22"/>
              </w:rPr>
            </w:pPr>
            <w:r w:rsidRPr="00423CD3">
              <w:rPr>
                <w:bCs w:val="0"/>
                <w:sz w:val="22"/>
                <w:szCs w:val="22"/>
              </w:rPr>
              <w:t>115 997 438</w:t>
            </w:r>
          </w:p>
        </w:tc>
      </w:tr>
    </w:tbl>
    <w:p w:rsidR="008C7EA3" w:rsidRPr="00883844" w:rsidRDefault="008C7EA3" w:rsidP="008C7EA3">
      <w:pPr>
        <w:pStyle w:val="Nadpis3"/>
      </w:pPr>
      <w:bookmarkStart w:id="27" w:name="_Toc432592775"/>
      <w:bookmarkStart w:id="28" w:name="_Toc462314388"/>
      <w:bookmarkStart w:id="29" w:name="_Toc489274094"/>
      <w:bookmarkStart w:id="30" w:name="_Toc21936865"/>
      <w:bookmarkStart w:id="31" w:name="_Toc53750565"/>
      <w:r w:rsidRPr="00883844">
        <w:t>Specifické ukazatele</w:t>
      </w:r>
      <w:bookmarkEnd w:id="27"/>
      <w:bookmarkEnd w:id="28"/>
      <w:bookmarkEnd w:id="29"/>
      <w:bookmarkEnd w:id="30"/>
      <w:bookmarkEnd w:id="31"/>
    </w:p>
    <w:p w:rsidR="008C7EA3" w:rsidRDefault="008C7EA3" w:rsidP="008C7EA3">
      <w:pPr>
        <w:pStyle w:val="Styl1"/>
      </w:pPr>
      <w:r w:rsidRPr="00883844">
        <w:t xml:space="preserve">Specifické ukazatelé jsou součástí přílohy č. 4 k zákonu o státním rozpočtu České republiky </w:t>
      </w:r>
      <w:r w:rsidR="00CF4AED">
        <w:br/>
      </w:r>
      <w:r w:rsidRPr="00883844">
        <w:t xml:space="preserve">na příslušný rozpočtový rok. </w:t>
      </w:r>
    </w:p>
    <w:p w:rsidR="00423CD3" w:rsidRPr="00883844" w:rsidRDefault="00423CD3" w:rsidP="00423CD3">
      <w:pPr>
        <w:pStyle w:val="Titulek"/>
        <w:keepNext/>
      </w:pPr>
      <w:r w:rsidRPr="00883844">
        <w:t xml:space="preserve">Tabulka č. </w:t>
      </w:r>
      <w:r w:rsidRPr="00883844">
        <w:rPr>
          <w:noProof/>
        </w:rPr>
        <w:fldChar w:fldCharType="begin"/>
      </w:r>
      <w:r w:rsidRPr="00883844">
        <w:rPr>
          <w:noProof/>
        </w:rPr>
        <w:instrText xml:space="preserve"> SEQ Tabulka \* ARABIC </w:instrText>
      </w:r>
      <w:r w:rsidRPr="00883844">
        <w:rPr>
          <w:noProof/>
        </w:rPr>
        <w:fldChar w:fldCharType="separate"/>
      </w:r>
      <w:r w:rsidR="006076E7">
        <w:rPr>
          <w:noProof/>
        </w:rPr>
        <w:t>7</w:t>
      </w:r>
      <w:r w:rsidRPr="00883844">
        <w:rPr>
          <w:noProof/>
        </w:rPr>
        <w:fldChar w:fldCharType="end"/>
      </w:r>
      <w:r w:rsidRPr="00883844">
        <w:t xml:space="preserve"> Specifické „výdajové“ ukazatele kapitoly 327-MD (v tis. Kč)</w:t>
      </w:r>
    </w:p>
    <w:tbl>
      <w:tblPr>
        <w:tblStyle w:val="Svtltabulkasmkou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840"/>
        <w:gridCol w:w="2211"/>
      </w:tblGrid>
      <w:tr w:rsidR="00423CD3" w:rsidRPr="001A0CD7" w:rsidTr="00423C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Borders>
              <w:top w:val="single" w:sz="8" w:space="0" w:color="7F7F7F" w:themeColor="text1" w:themeTint="80"/>
              <w:bottom w:val="single" w:sz="4" w:space="0" w:color="7F7F7F" w:themeColor="text1" w:themeTint="80"/>
            </w:tcBorders>
          </w:tcPr>
          <w:p w:rsidR="00423CD3" w:rsidRPr="00883844" w:rsidRDefault="00423CD3" w:rsidP="00905890">
            <w:pPr>
              <w:pStyle w:val="Nvod"/>
              <w:keepNext/>
              <w:spacing w:before="160"/>
            </w:pPr>
            <w:r w:rsidRPr="00883844">
              <w:t>Drážní a kombinovaná doprava</w:t>
            </w:r>
          </w:p>
        </w:tc>
        <w:tc>
          <w:tcPr>
            <w:tcW w:w="2211" w:type="dxa"/>
            <w:tcBorders>
              <w:top w:val="single" w:sz="8" w:space="0" w:color="7F7F7F" w:themeColor="text1" w:themeTint="80"/>
              <w:bottom w:val="single" w:sz="4" w:space="0" w:color="7F7F7F" w:themeColor="text1" w:themeTint="80"/>
            </w:tcBorders>
          </w:tcPr>
          <w:p w:rsidR="00423CD3" w:rsidRPr="00883844" w:rsidRDefault="00423CD3" w:rsidP="00905890">
            <w:pPr>
              <w:pStyle w:val="Nvod"/>
              <w:keepNext/>
              <w:spacing w:before="160"/>
              <w:ind w:left="0" w:firstLine="0"/>
              <w:jc w:val="right"/>
              <w:cnfStyle w:val="100000000000" w:firstRow="1" w:lastRow="0" w:firstColumn="0" w:lastColumn="0" w:oddVBand="0" w:evenVBand="0" w:oddHBand="0" w:evenHBand="0" w:firstRowFirstColumn="0" w:firstRowLastColumn="0" w:lastRowFirstColumn="0" w:lastRowLastColumn="0"/>
            </w:pPr>
            <w:r w:rsidRPr="00883844">
              <w:t>10 098 25</w:t>
            </w:r>
            <w:r>
              <w:t>3</w:t>
            </w:r>
            <w:r w:rsidRPr="00883844">
              <w:t xml:space="preserve">     </w:t>
            </w:r>
          </w:p>
        </w:tc>
      </w:tr>
      <w:tr w:rsidR="00423CD3" w:rsidRPr="001A0CD7" w:rsidTr="00423CD3">
        <w:tc>
          <w:tcPr>
            <w:cnfStyle w:val="001000000000" w:firstRow="0" w:lastRow="0" w:firstColumn="1" w:lastColumn="0" w:oddVBand="0" w:evenVBand="0" w:oddHBand="0" w:evenHBand="0" w:firstRowFirstColumn="0" w:firstRowLastColumn="0" w:lastRowFirstColumn="0" w:lastRowLastColumn="0"/>
            <w:tcW w:w="6840" w:type="dxa"/>
            <w:tcBorders>
              <w:top w:val="single" w:sz="4" w:space="0" w:color="7F7F7F" w:themeColor="text1" w:themeTint="80"/>
              <w:bottom w:val="single" w:sz="4" w:space="0" w:color="7F7F7F" w:themeColor="text1" w:themeTint="80"/>
            </w:tcBorders>
          </w:tcPr>
          <w:p w:rsidR="00423CD3" w:rsidRPr="00883844" w:rsidRDefault="00423CD3" w:rsidP="00905890">
            <w:pPr>
              <w:pStyle w:val="Nvod"/>
              <w:keepNext/>
              <w:spacing w:before="160"/>
            </w:pPr>
            <w:r w:rsidRPr="00883844">
              <w:t xml:space="preserve">Pozemní komunikace </w:t>
            </w:r>
          </w:p>
        </w:tc>
        <w:tc>
          <w:tcPr>
            <w:tcW w:w="2211" w:type="dxa"/>
            <w:tcBorders>
              <w:top w:val="single" w:sz="4" w:space="0" w:color="7F7F7F" w:themeColor="text1" w:themeTint="80"/>
              <w:bottom w:val="single" w:sz="4" w:space="0" w:color="7F7F7F" w:themeColor="text1" w:themeTint="80"/>
            </w:tcBorders>
          </w:tcPr>
          <w:p w:rsidR="00423CD3" w:rsidRPr="00883844" w:rsidRDefault="00423CD3" w:rsidP="00905890">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rPr>
                <w:b/>
              </w:rPr>
            </w:pPr>
            <w:r w:rsidRPr="00883844">
              <w:rPr>
                <w:b/>
              </w:rPr>
              <w:t>0</w:t>
            </w:r>
          </w:p>
        </w:tc>
      </w:tr>
      <w:tr w:rsidR="00423CD3" w:rsidRPr="001A0CD7" w:rsidTr="00423CD3">
        <w:tc>
          <w:tcPr>
            <w:cnfStyle w:val="001000000000" w:firstRow="0" w:lastRow="0" w:firstColumn="1" w:lastColumn="0" w:oddVBand="0" w:evenVBand="0" w:oddHBand="0" w:evenHBand="0" w:firstRowFirstColumn="0" w:firstRowLastColumn="0" w:lastRowFirstColumn="0" w:lastRowLastColumn="0"/>
            <w:tcW w:w="6840" w:type="dxa"/>
            <w:tcBorders>
              <w:top w:val="single" w:sz="4" w:space="0" w:color="7F7F7F" w:themeColor="text1" w:themeTint="80"/>
              <w:bottom w:val="nil"/>
            </w:tcBorders>
          </w:tcPr>
          <w:p w:rsidR="00423CD3" w:rsidRPr="00883844" w:rsidRDefault="00423CD3" w:rsidP="00905890">
            <w:pPr>
              <w:pStyle w:val="Nvod"/>
              <w:keepNext/>
              <w:spacing w:before="160"/>
            </w:pPr>
            <w:r w:rsidRPr="00883844">
              <w:t xml:space="preserve">Dotace pro Státní fond dopravní infrastruktury </w:t>
            </w:r>
          </w:p>
        </w:tc>
        <w:tc>
          <w:tcPr>
            <w:tcW w:w="2211" w:type="dxa"/>
            <w:tcBorders>
              <w:top w:val="single" w:sz="4" w:space="0" w:color="7F7F7F" w:themeColor="text1" w:themeTint="80"/>
              <w:bottom w:val="nil"/>
            </w:tcBorders>
          </w:tcPr>
          <w:p w:rsidR="00423CD3" w:rsidRPr="00883844" w:rsidRDefault="00423CD3" w:rsidP="00905890">
            <w:pPr>
              <w:pStyle w:val="Nvod"/>
              <w:keepNext/>
              <w:spacing w:before="160"/>
              <w:ind w:left="0" w:firstLine="12"/>
              <w:jc w:val="right"/>
              <w:cnfStyle w:val="000000000000" w:firstRow="0" w:lastRow="0" w:firstColumn="0" w:lastColumn="0" w:oddVBand="0" w:evenVBand="0" w:oddHBand="0" w:evenHBand="0" w:firstRowFirstColumn="0" w:firstRowLastColumn="0" w:lastRowFirstColumn="0" w:lastRowLastColumn="0"/>
              <w:rPr>
                <w:b/>
              </w:rPr>
            </w:pPr>
            <w:r w:rsidRPr="00883844">
              <w:rPr>
                <w:b/>
              </w:rPr>
              <w:t>95 502 257</w:t>
            </w:r>
          </w:p>
        </w:tc>
      </w:tr>
      <w:tr w:rsidR="00423CD3" w:rsidRPr="001A0CD7" w:rsidTr="00423CD3">
        <w:tc>
          <w:tcPr>
            <w:cnfStyle w:val="001000000000" w:firstRow="0" w:lastRow="0" w:firstColumn="1" w:lastColumn="0" w:oddVBand="0" w:evenVBand="0" w:oddHBand="0" w:evenHBand="0" w:firstRowFirstColumn="0" w:firstRowLastColumn="0" w:lastRowFirstColumn="0" w:lastRowLastColumn="0"/>
            <w:tcW w:w="6840" w:type="dxa"/>
            <w:tcBorders>
              <w:top w:val="nil"/>
              <w:bottom w:val="nil"/>
            </w:tcBorders>
          </w:tcPr>
          <w:p w:rsidR="00423CD3" w:rsidRPr="00883844" w:rsidRDefault="00423CD3" w:rsidP="00905890">
            <w:pPr>
              <w:pStyle w:val="Nvod"/>
              <w:keepNext/>
              <w:spacing w:before="160"/>
              <w:ind w:left="0" w:firstLine="0"/>
              <w:rPr>
                <w:b w:val="0"/>
              </w:rPr>
            </w:pPr>
            <w:r w:rsidRPr="00883844">
              <w:rPr>
                <w:b w:val="0"/>
              </w:rPr>
              <w:t xml:space="preserve">v tom: dotace pro společné programy (projekty) EU a ČR </w:t>
            </w:r>
          </w:p>
        </w:tc>
        <w:tc>
          <w:tcPr>
            <w:tcW w:w="2211" w:type="dxa"/>
            <w:tcBorders>
              <w:top w:val="nil"/>
              <w:bottom w:val="nil"/>
            </w:tcBorders>
          </w:tcPr>
          <w:p w:rsidR="00423CD3" w:rsidRPr="00883844" w:rsidRDefault="00423CD3" w:rsidP="00905890">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pPr>
            <w:r w:rsidRPr="00883844">
              <w:t>36 977 257</w:t>
            </w:r>
          </w:p>
        </w:tc>
      </w:tr>
      <w:tr w:rsidR="00423CD3" w:rsidRPr="001A0CD7" w:rsidTr="00423CD3">
        <w:tc>
          <w:tcPr>
            <w:cnfStyle w:val="001000000000" w:firstRow="0" w:lastRow="0" w:firstColumn="1" w:lastColumn="0" w:oddVBand="0" w:evenVBand="0" w:oddHBand="0" w:evenHBand="0" w:firstRowFirstColumn="0" w:firstRowLastColumn="0" w:lastRowFirstColumn="0" w:lastRowLastColumn="0"/>
            <w:tcW w:w="6840" w:type="dxa"/>
            <w:tcBorders>
              <w:top w:val="nil"/>
              <w:bottom w:val="nil"/>
            </w:tcBorders>
          </w:tcPr>
          <w:p w:rsidR="00423CD3" w:rsidRPr="00883844" w:rsidRDefault="00423CD3" w:rsidP="00905890">
            <w:pPr>
              <w:pStyle w:val="Nvod"/>
              <w:keepNext/>
              <w:spacing w:before="160"/>
              <w:ind w:left="0" w:firstLine="0"/>
              <w:rPr>
                <w:b w:val="0"/>
              </w:rPr>
            </w:pPr>
            <w:r w:rsidRPr="00883844">
              <w:rPr>
                <w:b w:val="0"/>
              </w:rPr>
              <w:t xml:space="preserve">            ostatní dotace pro SFDI</w:t>
            </w:r>
          </w:p>
        </w:tc>
        <w:tc>
          <w:tcPr>
            <w:tcW w:w="2211" w:type="dxa"/>
            <w:tcBorders>
              <w:top w:val="nil"/>
              <w:bottom w:val="nil"/>
            </w:tcBorders>
          </w:tcPr>
          <w:p w:rsidR="00423CD3" w:rsidRPr="00883844" w:rsidRDefault="00423CD3" w:rsidP="00905890">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pPr>
            <w:r w:rsidRPr="00883844">
              <w:t>56 723 6</w:t>
            </w:r>
            <w:r>
              <w:t>1</w:t>
            </w:r>
            <w:r w:rsidRPr="00883844">
              <w:t>0</w:t>
            </w:r>
          </w:p>
        </w:tc>
      </w:tr>
      <w:tr w:rsidR="00423CD3" w:rsidRPr="001A0CD7" w:rsidTr="00423CD3">
        <w:tc>
          <w:tcPr>
            <w:cnfStyle w:val="001000000000" w:firstRow="0" w:lastRow="0" w:firstColumn="1" w:lastColumn="0" w:oddVBand="0" w:evenVBand="0" w:oddHBand="0" w:evenHBand="0" w:firstRowFirstColumn="0" w:firstRowLastColumn="0" w:lastRowFirstColumn="0" w:lastRowLastColumn="0"/>
            <w:tcW w:w="6840" w:type="dxa"/>
            <w:tcBorders>
              <w:top w:val="nil"/>
              <w:bottom w:val="single" w:sz="4" w:space="0" w:color="7F7F7F" w:themeColor="text1" w:themeTint="80"/>
            </w:tcBorders>
          </w:tcPr>
          <w:p w:rsidR="00423CD3" w:rsidRPr="00883844" w:rsidRDefault="00423CD3" w:rsidP="00905890">
            <w:pPr>
              <w:pStyle w:val="Nvod"/>
              <w:keepNext/>
              <w:spacing w:before="160"/>
              <w:ind w:left="360" w:firstLine="0"/>
              <w:rPr>
                <w:b w:val="0"/>
              </w:rPr>
            </w:pPr>
            <w:r w:rsidRPr="00883844">
              <w:rPr>
                <w:b w:val="0"/>
              </w:rPr>
              <w:t xml:space="preserve">      dotace na projekty spolufinancované z EIB</w:t>
            </w:r>
          </w:p>
        </w:tc>
        <w:tc>
          <w:tcPr>
            <w:tcW w:w="2211" w:type="dxa"/>
            <w:tcBorders>
              <w:top w:val="nil"/>
              <w:bottom w:val="single" w:sz="4" w:space="0" w:color="7F7F7F" w:themeColor="text1" w:themeTint="80"/>
            </w:tcBorders>
          </w:tcPr>
          <w:p w:rsidR="00423CD3" w:rsidRPr="00883844" w:rsidRDefault="00423CD3" w:rsidP="00905890">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pPr>
            <w:r w:rsidRPr="00883844">
              <w:t>1 801 390</w:t>
            </w:r>
          </w:p>
        </w:tc>
      </w:tr>
      <w:tr w:rsidR="00423CD3" w:rsidRPr="001A0CD7" w:rsidTr="00423CD3">
        <w:tc>
          <w:tcPr>
            <w:cnfStyle w:val="001000000000" w:firstRow="0" w:lastRow="0" w:firstColumn="1" w:lastColumn="0" w:oddVBand="0" w:evenVBand="0" w:oddHBand="0" w:evenHBand="0" w:firstRowFirstColumn="0" w:firstRowLastColumn="0" w:lastRowFirstColumn="0" w:lastRowLastColumn="0"/>
            <w:tcW w:w="6840" w:type="dxa"/>
            <w:tcBorders>
              <w:top w:val="single" w:sz="4" w:space="0" w:color="7F7F7F" w:themeColor="text1" w:themeTint="80"/>
              <w:bottom w:val="single" w:sz="8" w:space="0" w:color="7F7F7F" w:themeColor="text1" w:themeTint="80"/>
            </w:tcBorders>
          </w:tcPr>
          <w:p w:rsidR="00423CD3" w:rsidRPr="00883844" w:rsidRDefault="00423CD3" w:rsidP="00905890">
            <w:pPr>
              <w:pStyle w:val="Nvod"/>
              <w:keepNext/>
              <w:spacing w:before="160"/>
            </w:pPr>
            <w:r w:rsidRPr="00883844">
              <w:t>Ostatní výdaje spojené s dopravní politikou státu</w:t>
            </w:r>
          </w:p>
        </w:tc>
        <w:tc>
          <w:tcPr>
            <w:tcW w:w="2211" w:type="dxa"/>
            <w:tcBorders>
              <w:top w:val="single" w:sz="4" w:space="0" w:color="7F7F7F" w:themeColor="text1" w:themeTint="80"/>
              <w:bottom w:val="single" w:sz="8" w:space="0" w:color="7F7F7F" w:themeColor="text1" w:themeTint="80"/>
            </w:tcBorders>
          </w:tcPr>
          <w:p w:rsidR="00423CD3" w:rsidRPr="00883844" w:rsidRDefault="00423CD3" w:rsidP="00905890">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rPr>
                <w:b/>
              </w:rPr>
            </w:pPr>
            <w:r w:rsidRPr="00883844">
              <w:rPr>
                <w:b/>
              </w:rPr>
              <w:t>10 393 508</w:t>
            </w:r>
          </w:p>
        </w:tc>
      </w:tr>
      <w:tr w:rsidR="00423CD3" w:rsidRPr="001A0CD7" w:rsidTr="00423CD3">
        <w:tc>
          <w:tcPr>
            <w:cnfStyle w:val="001000000000" w:firstRow="0" w:lastRow="0" w:firstColumn="1" w:lastColumn="0" w:oddVBand="0" w:evenVBand="0" w:oddHBand="0" w:evenHBand="0" w:firstRowFirstColumn="0" w:firstRowLastColumn="0" w:lastRowFirstColumn="0" w:lastRowLastColumn="0"/>
            <w:tcW w:w="6840" w:type="dxa"/>
            <w:tcBorders>
              <w:top w:val="single" w:sz="8" w:space="0" w:color="7F7F7F" w:themeColor="text1" w:themeTint="80"/>
              <w:bottom w:val="single" w:sz="8" w:space="0" w:color="7F7F7F" w:themeColor="text1" w:themeTint="80"/>
            </w:tcBorders>
          </w:tcPr>
          <w:p w:rsidR="00423CD3" w:rsidRPr="00883844" w:rsidRDefault="00423CD3" w:rsidP="00905890">
            <w:pPr>
              <w:pStyle w:val="Nvod"/>
              <w:keepNext/>
              <w:spacing w:before="160"/>
            </w:pPr>
            <w:r w:rsidRPr="00883844">
              <w:rPr>
                <w:szCs w:val="24"/>
              </w:rPr>
              <w:t>Výdaje spojené s výkonem předsednictví ČR v Radě EU</w:t>
            </w:r>
          </w:p>
        </w:tc>
        <w:tc>
          <w:tcPr>
            <w:tcW w:w="2211" w:type="dxa"/>
            <w:tcBorders>
              <w:top w:val="single" w:sz="8" w:space="0" w:color="7F7F7F" w:themeColor="text1" w:themeTint="80"/>
              <w:bottom w:val="single" w:sz="8" w:space="0" w:color="7F7F7F" w:themeColor="text1" w:themeTint="80"/>
            </w:tcBorders>
          </w:tcPr>
          <w:p w:rsidR="00423CD3" w:rsidRPr="00883844" w:rsidRDefault="00423CD3" w:rsidP="00905890">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rPr>
                <w:b/>
              </w:rPr>
            </w:pPr>
            <w:r w:rsidRPr="00883844">
              <w:rPr>
                <w:b/>
              </w:rPr>
              <w:t>3 420</w:t>
            </w:r>
          </w:p>
        </w:tc>
      </w:tr>
    </w:tbl>
    <w:p w:rsidR="00423CD3" w:rsidRPr="00C463E9" w:rsidRDefault="00423CD3" w:rsidP="00423CD3">
      <w:pPr>
        <w:pStyle w:val="Titulek"/>
        <w:keepNext/>
        <w:spacing w:before="240"/>
      </w:pPr>
      <w:bookmarkStart w:id="32" w:name="_Toc368665061"/>
      <w:bookmarkStart w:id="33" w:name="_Toc463338095"/>
      <w:bookmarkStart w:id="34" w:name="_Toc488937060"/>
      <w:bookmarkStart w:id="35" w:name="_Toc526424761"/>
      <w:bookmarkStart w:id="36" w:name="_Toc21936911"/>
      <w:bookmarkStart w:id="37" w:name="_Toc54190949"/>
      <w:r w:rsidRPr="00C463E9">
        <w:rPr>
          <w:noProof/>
        </w:rPr>
        <w:drawing>
          <wp:anchor distT="0" distB="0" distL="114300" distR="114300" simplePos="0" relativeHeight="251659264" behindDoc="0" locked="0" layoutInCell="1" allowOverlap="1" wp14:anchorId="7D9CD08C" wp14:editId="03F99050">
            <wp:simplePos x="0" y="0"/>
            <wp:positionH relativeFrom="margin">
              <wp:posOffset>-125095</wp:posOffset>
            </wp:positionH>
            <wp:positionV relativeFrom="paragraph">
              <wp:posOffset>394335</wp:posOffset>
            </wp:positionV>
            <wp:extent cx="6030595" cy="2599690"/>
            <wp:effectExtent l="0" t="0" r="8255" b="10160"/>
            <wp:wrapSquare wrapText="bothSides"/>
            <wp:docPr id="9" name="Graf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r w:rsidRPr="00C463E9">
        <w:t xml:space="preserve">Graf č. </w:t>
      </w:r>
      <w:r w:rsidRPr="00C463E9">
        <w:rPr>
          <w:noProof/>
        </w:rPr>
        <w:fldChar w:fldCharType="begin"/>
      </w:r>
      <w:r w:rsidRPr="00C463E9">
        <w:rPr>
          <w:noProof/>
        </w:rPr>
        <w:instrText xml:space="preserve"> SEQ Graf_č. \* ARABIC </w:instrText>
      </w:r>
      <w:r w:rsidRPr="00C463E9">
        <w:rPr>
          <w:noProof/>
        </w:rPr>
        <w:fldChar w:fldCharType="separate"/>
      </w:r>
      <w:r w:rsidR="006076E7">
        <w:rPr>
          <w:noProof/>
        </w:rPr>
        <w:t>4</w:t>
      </w:r>
      <w:r w:rsidRPr="00C463E9">
        <w:rPr>
          <w:noProof/>
        </w:rPr>
        <w:fldChar w:fldCharType="end"/>
      </w:r>
      <w:r w:rsidRPr="00C463E9">
        <w:t>: Přehled specifických ukazatelů v kapitole 327</w:t>
      </w:r>
      <w:r w:rsidRPr="00C463E9">
        <w:noBreakHyphen/>
        <w:t>MD (v tis. Kč)</w:t>
      </w:r>
      <w:bookmarkEnd w:id="32"/>
      <w:bookmarkEnd w:id="33"/>
      <w:bookmarkEnd w:id="34"/>
      <w:bookmarkEnd w:id="35"/>
      <w:bookmarkEnd w:id="36"/>
      <w:bookmarkEnd w:id="37"/>
    </w:p>
    <w:p w:rsidR="00423CD3" w:rsidRPr="00883844" w:rsidRDefault="00423CD3" w:rsidP="008C7EA3">
      <w:pPr>
        <w:pStyle w:val="Styl1"/>
      </w:pPr>
    </w:p>
    <w:p w:rsidR="008C7EA3" w:rsidRPr="00264449" w:rsidRDefault="008C7EA3" w:rsidP="008C7EA3">
      <w:pPr>
        <w:pStyle w:val="Styl1"/>
        <w:spacing w:before="360"/>
      </w:pPr>
      <w:r w:rsidRPr="00264449">
        <w:lastRenderedPageBreak/>
        <w:t>Výdaje kapitoly 327</w:t>
      </w:r>
      <w:r w:rsidRPr="00264449">
        <w:noBreakHyphen/>
        <w:t xml:space="preserve">MD jsou dále podrobně popsány v následujících textech, a to v členění </w:t>
      </w:r>
      <w:r w:rsidR="00CF4AED">
        <w:br/>
      </w:r>
      <w:r w:rsidRPr="00264449">
        <w:t xml:space="preserve">na běžné a kapitálové výdaje, na výdaje směrované do programového financování (EDS/SMVS) a na prostředky z rozpočtu Evropské unie. </w:t>
      </w:r>
    </w:p>
    <w:p w:rsidR="008C7EA3" w:rsidRPr="00264449" w:rsidRDefault="008C7EA3" w:rsidP="00CF4AED">
      <w:pPr>
        <w:pStyle w:val="Nadpis9"/>
      </w:pPr>
      <w:r w:rsidRPr="00264449">
        <w:t>Drážní a kombinovaná doprava</w:t>
      </w:r>
    </w:p>
    <w:p w:rsidR="008C7EA3" w:rsidRPr="00264449" w:rsidRDefault="008C7EA3" w:rsidP="008C7EA3">
      <w:pPr>
        <w:pStyle w:val="Styl1"/>
        <w:numPr>
          <w:ilvl w:val="0"/>
          <w:numId w:val="15"/>
        </w:numPr>
        <w:ind w:left="567" w:hanging="283"/>
      </w:pPr>
      <w:r w:rsidRPr="00264449">
        <w:t xml:space="preserve">financované z prostředků státního rozpočtu (8 502 235 tis. Kč) </w:t>
      </w:r>
    </w:p>
    <w:tbl>
      <w:tblPr>
        <w:tblStyle w:val="Svtltabulkasmkou1"/>
        <w:tblW w:w="0" w:type="auto"/>
        <w:tblLook w:val="00A0" w:firstRow="1" w:lastRow="0" w:firstColumn="1" w:lastColumn="0" w:noHBand="0" w:noVBand="0"/>
      </w:tblPr>
      <w:tblGrid>
        <w:gridCol w:w="6873"/>
        <w:gridCol w:w="2177"/>
      </w:tblGrid>
      <w:tr w:rsidR="008C7EA3" w:rsidRPr="001A0CD7" w:rsidTr="003A0B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nil"/>
            </w:tcBorders>
          </w:tcPr>
          <w:p w:rsidR="008C7EA3" w:rsidRPr="00264449" w:rsidRDefault="008C7EA3" w:rsidP="003A0B78">
            <w:pPr>
              <w:rPr>
                <w:rFonts w:cs="Times New Roman"/>
                <w:b w:val="0"/>
                <w:szCs w:val="24"/>
              </w:rPr>
            </w:pPr>
            <w:r w:rsidRPr="00264449">
              <w:rPr>
                <w:rFonts w:cs="Times New Roman"/>
                <w:b w:val="0"/>
                <w:szCs w:val="24"/>
              </w:rPr>
              <w:t>Úhrada ztráty ze závazku veř. služby ve veř. drážní osobní dopravě</w:t>
            </w:r>
          </w:p>
        </w:tc>
        <w:tc>
          <w:tcPr>
            <w:tcW w:w="2177" w:type="dxa"/>
            <w:tcBorders>
              <w:top w:val="single" w:sz="8" w:space="0" w:color="7F7F7F" w:themeColor="text1" w:themeTint="80"/>
              <w:bottom w:val="nil"/>
              <w:right w:val="single" w:sz="8" w:space="0" w:color="7F7F7F" w:themeColor="text1" w:themeTint="80"/>
            </w:tcBorders>
          </w:tcPr>
          <w:p w:rsidR="008C7EA3" w:rsidRPr="00264449" w:rsidRDefault="008C7EA3" w:rsidP="003A0B78">
            <w:pPr>
              <w:jc w:val="right"/>
              <w:cnfStyle w:val="100000000000" w:firstRow="1" w:lastRow="0" w:firstColumn="0" w:lastColumn="0" w:oddVBand="0" w:evenVBand="0" w:oddHBand="0" w:evenHBand="0" w:firstRowFirstColumn="0" w:firstRowLastColumn="0" w:lastRowFirstColumn="0" w:lastRowLastColumn="0"/>
              <w:rPr>
                <w:rFonts w:cs="Times New Roman"/>
                <w:b w:val="0"/>
                <w:szCs w:val="24"/>
              </w:rPr>
            </w:pPr>
            <w:r w:rsidRPr="00264449">
              <w:rPr>
                <w:rFonts w:cs="Times New Roman"/>
                <w:b w:val="0"/>
                <w:szCs w:val="24"/>
              </w:rPr>
              <w:t>8 497 235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873" w:type="dxa"/>
            <w:tcBorders>
              <w:top w:val="nil"/>
              <w:left w:val="single" w:sz="8" w:space="0" w:color="7F7F7F" w:themeColor="text1" w:themeTint="80"/>
              <w:bottom w:val="nil"/>
            </w:tcBorders>
          </w:tcPr>
          <w:p w:rsidR="008C7EA3" w:rsidRPr="00264449" w:rsidRDefault="008C7EA3" w:rsidP="003A0B78">
            <w:pPr>
              <w:ind w:left="720" w:hanging="720"/>
              <w:rPr>
                <w:rFonts w:cs="Times New Roman"/>
                <w:b w:val="0"/>
                <w:i/>
                <w:szCs w:val="24"/>
              </w:rPr>
            </w:pPr>
            <w:r w:rsidRPr="00264449">
              <w:rPr>
                <w:rFonts w:cs="Times New Roman"/>
                <w:b w:val="0"/>
                <w:i/>
                <w:szCs w:val="24"/>
              </w:rPr>
              <w:t>v tom: financování dopravní obslužnosti veřejnou železniční osobní dopravou (kraje a hl. m. Praha)</w:t>
            </w:r>
          </w:p>
        </w:tc>
        <w:tc>
          <w:tcPr>
            <w:tcW w:w="2177" w:type="dxa"/>
            <w:tcBorders>
              <w:top w:val="nil"/>
              <w:bottom w:val="nil"/>
              <w:right w:val="single" w:sz="8" w:space="0" w:color="7F7F7F" w:themeColor="text1" w:themeTint="80"/>
            </w:tcBorders>
          </w:tcPr>
          <w:p w:rsidR="008C7EA3" w:rsidRPr="00264449" w:rsidRDefault="008C7EA3" w:rsidP="003A0B78">
            <w:pPr>
              <w:spacing w:before="120"/>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264449">
              <w:rPr>
                <w:rFonts w:cs="Times New Roman"/>
                <w:i/>
                <w:szCs w:val="24"/>
              </w:rPr>
              <w:t xml:space="preserve"> 3 352 995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873" w:type="dxa"/>
            <w:tcBorders>
              <w:top w:val="nil"/>
              <w:left w:val="single" w:sz="8" w:space="0" w:color="7F7F7F" w:themeColor="text1" w:themeTint="80"/>
              <w:bottom w:val="single" w:sz="8" w:space="0" w:color="7F7F7F" w:themeColor="text1" w:themeTint="80"/>
            </w:tcBorders>
          </w:tcPr>
          <w:p w:rsidR="008C7EA3" w:rsidRPr="00264449" w:rsidRDefault="008C7EA3" w:rsidP="003A0B78">
            <w:pPr>
              <w:ind w:left="720" w:hanging="720"/>
              <w:rPr>
                <w:rFonts w:cs="Times New Roman"/>
                <w:b w:val="0"/>
                <w:i/>
                <w:szCs w:val="24"/>
              </w:rPr>
            </w:pPr>
            <w:r w:rsidRPr="00264449">
              <w:rPr>
                <w:rFonts w:cs="Times New Roman"/>
                <w:b w:val="0"/>
                <w:i/>
                <w:szCs w:val="24"/>
              </w:rPr>
              <w:t xml:space="preserve">            financování smlouvy o závazku veř. služby na zajištění dopr. potřeb státu zabezpečovaných veř. žel. osobní přepravou</w:t>
            </w:r>
          </w:p>
        </w:tc>
        <w:tc>
          <w:tcPr>
            <w:tcW w:w="2177" w:type="dxa"/>
            <w:tcBorders>
              <w:top w:val="nil"/>
              <w:bottom w:val="single" w:sz="8" w:space="0" w:color="7F7F7F" w:themeColor="text1" w:themeTint="80"/>
              <w:right w:val="single" w:sz="8" w:space="0" w:color="7F7F7F" w:themeColor="text1" w:themeTint="80"/>
            </w:tcBorders>
          </w:tcPr>
          <w:p w:rsidR="008C7EA3" w:rsidRPr="00264449"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264449">
              <w:rPr>
                <w:rFonts w:cs="Times New Roman"/>
                <w:i/>
                <w:szCs w:val="24"/>
              </w:rPr>
              <w:t>5 144 240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nil"/>
            </w:tcBorders>
          </w:tcPr>
          <w:p w:rsidR="008C7EA3" w:rsidRPr="00264449" w:rsidRDefault="008C7EA3" w:rsidP="003A0B78">
            <w:pPr>
              <w:rPr>
                <w:rFonts w:cs="Times New Roman"/>
                <w:b w:val="0"/>
                <w:szCs w:val="24"/>
              </w:rPr>
            </w:pPr>
            <w:r w:rsidRPr="00264449">
              <w:rPr>
                <w:rFonts w:cs="Times New Roman"/>
                <w:b w:val="0"/>
                <w:szCs w:val="24"/>
              </w:rPr>
              <w:t>Ostatní výdaje spojené s drážní dopravou</w:t>
            </w:r>
          </w:p>
        </w:tc>
        <w:tc>
          <w:tcPr>
            <w:tcW w:w="2177" w:type="dxa"/>
            <w:tcBorders>
              <w:top w:val="single" w:sz="8" w:space="0" w:color="7F7F7F" w:themeColor="text1" w:themeTint="80"/>
              <w:bottom w:val="nil"/>
              <w:right w:val="single" w:sz="8" w:space="0" w:color="7F7F7F" w:themeColor="text1" w:themeTint="80"/>
            </w:tcBorders>
          </w:tcPr>
          <w:p w:rsidR="008C7EA3" w:rsidRPr="00264449"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264449">
              <w:rPr>
                <w:rFonts w:cs="Times New Roman"/>
                <w:szCs w:val="24"/>
              </w:rPr>
              <w:t>5 000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873" w:type="dxa"/>
            <w:tcBorders>
              <w:top w:val="nil"/>
              <w:left w:val="single" w:sz="8" w:space="0" w:color="7F7F7F" w:themeColor="text1" w:themeTint="80"/>
              <w:bottom w:val="single" w:sz="8" w:space="0" w:color="7F7F7F" w:themeColor="text1" w:themeTint="80"/>
            </w:tcBorders>
          </w:tcPr>
          <w:p w:rsidR="008C7EA3" w:rsidRPr="00264449" w:rsidRDefault="008C7EA3" w:rsidP="003A0B78">
            <w:pPr>
              <w:ind w:left="720" w:hanging="720"/>
              <w:rPr>
                <w:rFonts w:cs="Times New Roman"/>
                <w:b w:val="0"/>
                <w:i/>
                <w:szCs w:val="24"/>
              </w:rPr>
            </w:pPr>
            <w:r w:rsidRPr="00264449">
              <w:rPr>
                <w:rFonts w:cs="Times New Roman"/>
                <w:b w:val="0"/>
                <w:i/>
                <w:szCs w:val="24"/>
              </w:rPr>
              <w:t>v tom: 127 67 Podpora obnovy historických železničních kolejových vozidel v období 2021 – 2024</w:t>
            </w:r>
          </w:p>
        </w:tc>
        <w:tc>
          <w:tcPr>
            <w:tcW w:w="2177" w:type="dxa"/>
            <w:tcBorders>
              <w:top w:val="nil"/>
              <w:bottom w:val="single" w:sz="8" w:space="0" w:color="7F7F7F" w:themeColor="text1" w:themeTint="80"/>
              <w:right w:val="single" w:sz="8" w:space="0" w:color="7F7F7F" w:themeColor="text1" w:themeTint="80"/>
            </w:tcBorders>
          </w:tcPr>
          <w:p w:rsidR="008C7EA3" w:rsidRPr="00264449"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264449">
              <w:rPr>
                <w:rFonts w:cs="Times New Roman"/>
                <w:i/>
                <w:szCs w:val="24"/>
              </w:rPr>
              <w:t>5 000 tis. Kč</w:t>
            </w:r>
          </w:p>
        </w:tc>
      </w:tr>
    </w:tbl>
    <w:p w:rsidR="008C7EA3" w:rsidRPr="001A0CD7" w:rsidRDefault="008C7EA3" w:rsidP="008C7EA3">
      <w:pPr>
        <w:pStyle w:val="Styl1"/>
        <w:numPr>
          <w:ilvl w:val="0"/>
          <w:numId w:val="16"/>
        </w:numPr>
        <w:ind w:left="567" w:hanging="283"/>
        <w:rPr>
          <w:color w:val="FF0000"/>
        </w:rPr>
      </w:pPr>
      <w:r w:rsidRPr="00264449">
        <w:t>financované z prostředků fondů Evropské unie OPD 2014 – 2020 (1 596 018 tis. Kč)</w:t>
      </w:r>
    </w:p>
    <w:tbl>
      <w:tblPr>
        <w:tblStyle w:val="Svtltabulkasmkou1"/>
        <w:tblW w:w="0" w:type="auto"/>
        <w:tblLook w:val="00A0" w:firstRow="1" w:lastRow="0" w:firstColumn="1" w:lastColumn="0" w:noHBand="0" w:noVBand="0"/>
      </w:tblPr>
      <w:tblGrid>
        <w:gridCol w:w="6873"/>
        <w:gridCol w:w="2177"/>
      </w:tblGrid>
      <w:tr w:rsidR="008C7EA3" w:rsidRPr="00097B3B" w:rsidTr="003A0B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nil"/>
            </w:tcBorders>
          </w:tcPr>
          <w:p w:rsidR="008C7EA3" w:rsidRPr="00097B3B" w:rsidRDefault="008C7EA3" w:rsidP="003A0B78">
            <w:pPr>
              <w:rPr>
                <w:rFonts w:cs="Times New Roman"/>
                <w:b w:val="0"/>
                <w:szCs w:val="24"/>
              </w:rPr>
            </w:pPr>
            <w:r w:rsidRPr="00097B3B">
              <w:rPr>
                <w:rFonts w:cs="Times New Roman"/>
                <w:b w:val="0"/>
                <w:szCs w:val="24"/>
              </w:rPr>
              <w:t>Ostatní výdaje spojené s drážní dopravou</w:t>
            </w:r>
          </w:p>
        </w:tc>
        <w:tc>
          <w:tcPr>
            <w:tcW w:w="2177" w:type="dxa"/>
            <w:tcBorders>
              <w:top w:val="single" w:sz="8" w:space="0" w:color="7F7F7F" w:themeColor="text1" w:themeTint="80"/>
              <w:bottom w:val="nil"/>
              <w:right w:val="single" w:sz="8" w:space="0" w:color="7F7F7F" w:themeColor="text1" w:themeTint="80"/>
            </w:tcBorders>
            <w:vAlign w:val="center"/>
          </w:tcPr>
          <w:p w:rsidR="008C7EA3" w:rsidRPr="00CA5F1C" w:rsidRDefault="008C7EA3" w:rsidP="003A0B78">
            <w:pPr>
              <w:jc w:val="right"/>
              <w:cnfStyle w:val="100000000000" w:firstRow="1" w:lastRow="0" w:firstColumn="0" w:lastColumn="0" w:oddVBand="0" w:evenVBand="0" w:oddHBand="0" w:evenHBand="0" w:firstRowFirstColumn="0" w:firstRowLastColumn="0" w:lastRowFirstColumn="0" w:lastRowLastColumn="0"/>
              <w:rPr>
                <w:rFonts w:cs="Times New Roman"/>
                <w:b w:val="0"/>
                <w:szCs w:val="24"/>
              </w:rPr>
            </w:pPr>
            <w:r w:rsidRPr="00CA5F1C">
              <w:rPr>
                <w:rFonts w:cs="Times New Roman"/>
                <w:b w:val="0"/>
                <w:szCs w:val="24"/>
              </w:rPr>
              <w:t>1 596 018 tis. Kč</w:t>
            </w:r>
          </w:p>
        </w:tc>
      </w:tr>
      <w:tr w:rsidR="008C7EA3" w:rsidRPr="00097B3B" w:rsidTr="003A0B78">
        <w:tc>
          <w:tcPr>
            <w:cnfStyle w:val="001000000000" w:firstRow="0" w:lastRow="0" w:firstColumn="1" w:lastColumn="0" w:oddVBand="0" w:evenVBand="0" w:oddHBand="0" w:evenHBand="0" w:firstRowFirstColumn="0" w:firstRowLastColumn="0" w:lastRowFirstColumn="0" w:lastRowLastColumn="0"/>
            <w:tcW w:w="6873" w:type="dxa"/>
            <w:tcBorders>
              <w:top w:val="nil"/>
              <w:left w:val="single" w:sz="8" w:space="0" w:color="7F7F7F" w:themeColor="text1" w:themeTint="80"/>
              <w:bottom w:val="single" w:sz="8" w:space="0" w:color="7F7F7F" w:themeColor="text1" w:themeTint="80"/>
            </w:tcBorders>
          </w:tcPr>
          <w:p w:rsidR="008C7EA3" w:rsidRPr="00097B3B" w:rsidRDefault="008C7EA3" w:rsidP="003A0B78">
            <w:pPr>
              <w:ind w:left="720" w:hanging="720"/>
              <w:rPr>
                <w:rFonts w:cs="Times New Roman"/>
                <w:b w:val="0"/>
                <w:i/>
                <w:szCs w:val="24"/>
              </w:rPr>
            </w:pPr>
            <w:r w:rsidRPr="00097B3B">
              <w:rPr>
                <w:rFonts w:cs="Times New Roman"/>
                <w:b w:val="0"/>
                <w:i/>
                <w:szCs w:val="24"/>
              </w:rPr>
              <w:t>v tom: 127 65 Pořízení a modernizace žel. kolejových vozidel</w:t>
            </w:r>
          </w:p>
          <w:p w:rsidR="008C7EA3" w:rsidRPr="00097B3B" w:rsidRDefault="008C7EA3" w:rsidP="003A0B78">
            <w:pPr>
              <w:ind w:left="720" w:hanging="720"/>
              <w:rPr>
                <w:rFonts w:cs="Times New Roman"/>
                <w:b w:val="0"/>
                <w:i/>
                <w:szCs w:val="24"/>
              </w:rPr>
            </w:pPr>
            <w:r w:rsidRPr="00097B3B">
              <w:rPr>
                <w:rFonts w:cs="Times New Roman"/>
                <w:b w:val="0"/>
                <w:i/>
                <w:szCs w:val="24"/>
              </w:rPr>
              <w:t xml:space="preserve">           127 77 Podpora financování dopravy</w:t>
            </w:r>
          </w:p>
        </w:tc>
        <w:tc>
          <w:tcPr>
            <w:tcW w:w="2177" w:type="dxa"/>
            <w:tcBorders>
              <w:top w:val="nil"/>
              <w:bottom w:val="single" w:sz="8" w:space="0" w:color="7F7F7F" w:themeColor="text1" w:themeTint="80"/>
              <w:right w:val="single" w:sz="8" w:space="0" w:color="7F7F7F" w:themeColor="text1" w:themeTint="80"/>
            </w:tcBorders>
            <w:vAlign w:val="center"/>
          </w:tcPr>
          <w:p w:rsidR="008C7EA3" w:rsidRPr="00097B3B"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97B3B">
              <w:rPr>
                <w:rFonts w:cs="Times New Roman"/>
                <w:i/>
                <w:szCs w:val="24"/>
              </w:rPr>
              <w:t>1 162 910 tis. Kč</w:t>
            </w:r>
          </w:p>
          <w:p w:rsidR="008C7EA3" w:rsidRPr="00097B3B"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97B3B">
              <w:rPr>
                <w:rFonts w:cs="Times New Roman"/>
                <w:i/>
                <w:szCs w:val="24"/>
              </w:rPr>
              <w:t>433 108 tis. Kč</w:t>
            </w:r>
          </w:p>
        </w:tc>
      </w:tr>
    </w:tbl>
    <w:p w:rsidR="008C7EA3" w:rsidRPr="00097B3B" w:rsidRDefault="008C7EA3" w:rsidP="00CF4AED">
      <w:pPr>
        <w:pStyle w:val="Nadpis9"/>
      </w:pPr>
      <w:r w:rsidRPr="00097B3B">
        <w:t xml:space="preserve">Pozemní komunikace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shd w:val="clear" w:color="auto" w:fill="DEEAF6" w:themeFill="accent1" w:themeFillTint="33"/>
        <w:tblLook w:val="00A0" w:firstRow="1" w:lastRow="0" w:firstColumn="1" w:lastColumn="0" w:noHBand="0" w:noVBand="0"/>
      </w:tblPr>
      <w:tblGrid>
        <w:gridCol w:w="6878"/>
        <w:gridCol w:w="2173"/>
      </w:tblGrid>
      <w:tr w:rsidR="008C7EA3" w:rsidRPr="00097B3B" w:rsidTr="003A0B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9" w:type="dxa"/>
            <w:tcBorders>
              <w:bottom w:val="none" w:sz="0" w:space="0" w:color="auto"/>
            </w:tcBorders>
            <w:shd w:val="clear" w:color="auto" w:fill="auto"/>
          </w:tcPr>
          <w:p w:rsidR="008C7EA3" w:rsidRPr="00097B3B" w:rsidRDefault="008C7EA3" w:rsidP="003A0B78">
            <w:pPr>
              <w:rPr>
                <w:rFonts w:cs="Times New Roman"/>
                <w:b w:val="0"/>
                <w:szCs w:val="24"/>
              </w:rPr>
            </w:pPr>
            <w:r w:rsidRPr="00097B3B">
              <w:rPr>
                <w:rFonts w:cs="Times New Roman"/>
                <w:b w:val="0"/>
                <w:szCs w:val="24"/>
              </w:rPr>
              <w:t>Pozemní komunikace</w:t>
            </w:r>
          </w:p>
        </w:tc>
        <w:tc>
          <w:tcPr>
            <w:tcW w:w="2173" w:type="dxa"/>
            <w:tcBorders>
              <w:bottom w:val="none" w:sz="0" w:space="0" w:color="auto"/>
            </w:tcBorders>
            <w:shd w:val="clear" w:color="auto" w:fill="auto"/>
          </w:tcPr>
          <w:p w:rsidR="008C7EA3" w:rsidRPr="00097B3B" w:rsidRDefault="008C7EA3" w:rsidP="003A0B78">
            <w:pPr>
              <w:jc w:val="right"/>
              <w:cnfStyle w:val="100000000000" w:firstRow="1" w:lastRow="0" w:firstColumn="0" w:lastColumn="0" w:oddVBand="0" w:evenVBand="0" w:oddHBand="0" w:evenHBand="0" w:firstRowFirstColumn="0" w:firstRowLastColumn="0" w:lastRowFirstColumn="0" w:lastRowLastColumn="0"/>
              <w:rPr>
                <w:rFonts w:cs="Times New Roman"/>
                <w:b w:val="0"/>
                <w:szCs w:val="24"/>
              </w:rPr>
            </w:pPr>
            <w:r w:rsidRPr="00097B3B">
              <w:rPr>
                <w:rFonts w:cs="Times New Roman"/>
                <w:b w:val="0"/>
                <w:szCs w:val="24"/>
              </w:rPr>
              <w:t>0 tis. Kč</w:t>
            </w:r>
          </w:p>
        </w:tc>
      </w:tr>
    </w:tbl>
    <w:p w:rsidR="008C7EA3" w:rsidRPr="00F12136" w:rsidRDefault="008C7EA3" w:rsidP="00CF4AED">
      <w:pPr>
        <w:pStyle w:val="Nadpis9"/>
      </w:pPr>
      <w:r w:rsidRPr="00F12136">
        <w:t>Dotace pro Státní fond dopravní infrastruktury</w:t>
      </w:r>
    </w:p>
    <w:p w:rsidR="008C7EA3" w:rsidRPr="00F12136" w:rsidRDefault="008C7EA3" w:rsidP="008C7EA3">
      <w:pPr>
        <w:pStyle w:val="Styl1"/>
        <w:numPr>
          <w:ilvl w:val="0"/>
          <w:numId w:val="33"/>
        </w:numPr>
        <w:tabs>
          <w:tab w:val="left" w:pos="1418"/>
        </w:tabs>
        <w:spacing w:before="240"/>
        <w:ind w:left="567" w:hanging="283"/>
        <w:rPr>
          <w:rStyle w:val="Siln"/>
          <w:b w:val="0"/>
        </w:rPr>
      </w:pPr>
      <w:r w:rsidRPr="00F12136">
        <w:rPr>
          <w:rStyle w:val="Siln"/>
          <w:b w:val="0"/>
        </w:rPr>
        <w:t xml:space="preserve">financované z prostředků státního rozpočtu (56 723 610 tis. Kč)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shd w:val="clear" w:color="auto" w:fill="DEEAF6" w:themeFill="accent1" w:themeFillTint="33"/>
        <w:tblLook w:val="00A0" w:firstRow="1" w:lastRow="0" w:firstColumn="1" w:lastColumn="0" w:noHBand="0" w:noVBand="0"/>
      </w:tblPr>
      <w:tblGrid>
        <w:gridCol w:w="6866"/>
        <w:gridCol w:w="2185"/>
      </w:tblGrid>
      <w:tr w:rsidR="008C7EA3" w:rsidRPr="00F12136" w:rsidTr="003A0B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67" w:type="dxa"/>
            <w:tcBorders>
              <w:bottom w:val="none" w:sz="0" w:space="0" w:color="auto"/>
            </w:tcBorders>
            <w:shd w:val="clear" w:color="auto" w:fill="auto"/>
          </w:tcPr>
          <w:p w:rsidR="008C7EA3" w:rsidRPr="00F12136" w:rsidRDefault="008C7EA3" w:rsidP="003A0B78">
            <w:pPr>
              <w:rPr>
                <w:rFonts w:cs="Times New Roman"/>
                <w:b w:val="0"/>
                <w:szCs w:val="24"/>
              </w:rPr>
            </w:pPr>
            <w:r w:rsidRPr="00F12136">
              <w:rPr>
                <w:rFonts w:cs="Times New Roman"/>
                <w:b w:val="0"/>
                <w:szCs w:val="24"/>
              </w:rPr>
              <w:t>Ostatní dotace pro SFDI – krytí deficitu rozpočtu SFDI</w:t>
            </w:r>
          </w:p>
          <w:p w:rsidR="008C7EA3" w:rsidRPr="00F12136" w:rsidRDefault="008C7EA3" w:rsidP="003A0B78">
            <w:pPr>
              <w:rPr>
                <w:rFonts w:cs="Times New Roman"/>
                <w:b w:val="0"/>
                <w:szCs w:val="24"/>
              </w:rPr>
            </w:pPr>
            <w:r w:rsidRPr="00F12136">
              <w:rPr>
                <w:rFonts w:cs="Times New Roman"/>
                <w:b w:val="0"/>
                <w:i/>
                <w:szCs w:val="24"/>
              </w:rPr>
              <w:t>v tom: 127 77 Podpora financování dopravy</w:t>
            </w:r>
          </w:p>
        </w:tc>
        <w:tc>
          <w:tcPr>
            <w:tcW w:w="2185" w:type="dxa"/>
            <w:tcBorders>
              <w:bottom w:val="none" w:sz="0" w:space="0" w:color="auto"/>
            </w:tcBorders>
            <w:shd w:val="clear" w:color="auto" w:fill="auto"/>
          </w:tcPr>
          <w:p w:rsidR="008C7EA3" w:rsidRPr="00F12136" w:rsidRDefault="008C7EA3" w:rsidP="003A0B78">
            <w:pPr>
              <w:jc w:val="right"/>
              <w:cnfStyle w:val="100000000000" w:firstRow="1" w:lastRow="0" w:firstColumn="0" w:lastColumn="0" w:oddVBand="0" w:evenVBand="0" w:oddHBand="0" w:evenHBand="0" w:firstRowFirstColumn="0" w:firstRowLastColumn="0" w:lastRowFirstColumn="0" w:lastRowLastColumn="0"/>
              <w:rPr>
                <w:rFonts w:cs="Times New Roman"/>
                <w:b w:val="0"/>
                <w:szCs w:val="24"/>
              </w:rPr>
            </w:pPr>
            <w:r w:rsidRPr="00F12136">
              <w:rPr>
                <w:rFonts w:cs="Times New Roman"/>
                <w:b w:val="0"/>
                <w:szCs w:val="24"/>
              </w:rPr>
              <w:t>56 723 610 tis. Kč</w:t>
            </w:r>
          </w:p>
          <w:p w:rsidR="008C7EA3" w:rsidRPr="00F12136" w:rsidRDefault="008C7EA3" w:rsidP="003A0B78">
            <w:pPr>
              <w:jc w:val="right"/>
              <w:cnfStyle w:val="100000000000" w:firstRow="1" w:lastRow="0" w:firstColumn="0" w:lastColumn="0" w:oddVBand="0" w:evenVBand="0" w:oddHBand="0" w:evenHBand="0" w:firstRowFirstColumn="0" w:firstRowLastColumn="0" w:lastRowFirstColumn="0" w:lastRowLastColumn="0"/>
              <w:rPr>
                <w:rFonts w:cs="Times New Roman"/>
                <w:b w:val="0"/>
                <w:i/>
                <w:szCs w:val="24"/>
              </w:rPr>
            </w:pPr>
            <w:r w:rsidRPr="00F12136">
              <w:rPr>
                <w:rFonts w:cs="Times New Roman"/>
                <w:b w:val="0"/>
                <w:i/>
                <w:szCs w:val="24"/>
              </w:rPr>
              <w:t>56 723 610 tis. Kč</w:t>
            </w:r>
          </w:p>
        </w:tc>
      </w:tr>
    </w:tbl>
    <w:p w:rsidR="008C7EA3" w:rsidRPr="0050785B" w:rsidRDefault="008C7EA3" w:rsidP="008C7EA3">
      <w:pPr>
        <w:pStyle w:val="Styl1"/>
        <w:numPr>
          <w:ilvl w:val="0"/>
          <w:numId w:val="33"/>
        </w:numPr>
        <w:spacing w:before="240"/>
        <w:ind w:left="567" w:hanging="283"/>
      </w:pPr>
      <w:r w:rsidRPr="0050785B">
        <w:t>financované z prostředků spolufinanc. z úvěrů přijatých od EIB (1 801 390 tis. Kč)</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shd w:val="clear" w:color="auto" w:fill="DEEAF6" w:themeFill="accent1" w:themeFillTint="33"/>
        <w:tblLook w:val="00A0" w:firstRow="1" w:lastRow="0" w:firstColumn="1" w:lastColumn="0" w:noHBand="0" w:noVBand="0"/>
      </w:tblPr>
      <w:tblGrid>
        <w:gridCol w:w="6866"/>
        <w:gridCol w:w="2185"/>
      </w:tblGrid>
      <w:tr w:rsidR="008C7EA3" w:rsidRPr="0050785B" w:rsidTr="003A0B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67" w:type="dxa"/>
            <w:tcBorders>
              <w:bottom w:val="none" w:sz="0" w:space="0" w:color="auto"/>
            </w:tcBorders>
            <w:shd w:val="clear" w:color="auto" w:fill="auto"/>
          </w:tcPr>
          <w:p w:rsidR="008C7EA3" w:rsidRPr="0050785B" w:rsidRDefault="008C7EA3" w:rsidP="003A0B78">
            <w:pPr>
              <w:rPr>
                <w:rFonts w:cs="Times New Roman"/>
                <w:b w:val="0"/>
                <w:szCs w:val="24"/>
              </w:rPr>
            </w:pPr>
            <w:r w:rsidRPr="0050785B">
              <w:rPr>
                <w:rFonts w:cs="Times New Roman"/>
                <w:b w:val="0"/>
                <w:szCs w:val="24"/>
              </w:rPr>
              <w:t>Dotace na projekty spolufinancované z EIB</w:t>
            </w:r>
          </w:p>
          <w:p w:rsidR="008C7EA3" w:rsidRPr="0050785B" w:rsidRDefault="008C7EA3" w:rsidP="003A0B78">
            <w:pPr>
              <w:rPr>
                <w:rFonts w:cs="Times New Roman"/>
                <w:b w:val="0"/>
                <w:i/>
                <w:szCs w:val="24"/>
              </w:rPr>
            </w:pPr>
            <w:r w:rsidRPr="0050785B">
              <w:rPr>
                <w:rFonts w:cs="Times New Roman"/>
                <w:b w:val="0"/>
                <w:i/>
                <w:szCs w:val="24"/>
              </w:rPr>
              <w:t>v tom: 127 77 Podpora financování dopravy</w:t>
            </w:r>
          </w:p>
        </w:tc>
        <w:tc>
          <w:tcPr>
            <w:tcW w:w="2185" w:type="dxa"/>
            <w:tcBorders>
              <w:bottom w:val="none" w:sz="0" w:space="0" w:color="auto"/>
            </w:tcBorders>
            <w:shd w:val="clear" w:color="auto" w:fill="auto"/>
          </w:tcPr>
          <w:p w:rsidR="008C7EA3" w:rsidRPr="0050785B" w:rsidRDefault="008C7EA3" w:rsidP="003A0B78">
            <w:pPr>
              <w:jc w:val="right"/>
              <w:cnfStyle w:val="100000000000" w:firstRow="1" w:lastRow="0" w:firstColumn="0" w:lastColumn="0" w:oddVBand="0" w:evenVBand="0" w:oddHBand="0" w:evenHBand="0" w:firstRowFirstColumn="0" w:firstRowLastColumn="0" w:lastRowFirstColumn="0" w:lastRowLastColumn="0"/>
              <w:rPr>
                <w:rFonts w:cs="Times New Roman"/>
                <w:b w:val="0"/>
                <w:szCs w:val="24"/>
              </w:rPr>
            </w:pPr>
            <w:r w:rsidRPr="0050785B">
              <w:rPr>
                <w:rFonts w:cs="Times New Roman"/>
                <w:b w:val="0"/>
                <w:szCs w:val="24"/>
              </w:rPr>
              <w:t>1 801 390 tis. Kč</w:t>
            </w:r>
          </w:p>
          <w:p w:rsidR="008C7EA3" w:rsidRPr="0050785B" w:rsidRDefault="008C7EA3" w:rsidP="003A0B78">
            <w:pPr>
              <w:jc w:val="right"/>
              <w:cnfStyle w:val="100000000000" w:firstRow="1" w:lastRow="0" w:firstColumn="0" w:lastColumn="0" w:oddVBand="0" w:evenVBand="0" w:oddHBand="0" w:evenHBand="0" w:firstRowFirstColumn="0" w:firstRowLastColumn="0" w:lastRowFirstColumn="0" w:lastRowLastColumn="0"/>
              <w:rPr>
                <w:rFonts w:cs="Times New Roman"/>
                <w:b w:val="0"/>
                <w:i/>
                <w:szCs w:val="24"/>
              </w:rPr>
            </w:pPr>
            <w:r w:rsidRPr="0050785B">
              <w:rPr>
                <w:rFonts w:cs="Times New Roman"/>
                <w:b w:val="0"/>
                <w:i/>
                <w:szCs w:val="24"/>
              </w:rPr>
              <w:t>1 801 390 tis. Kč</w:t>
            </w:r>
          </w:p>
        </w:tc>
      </w:tr>
    </w:tbl>
    <w:p w:rsidR="008C7EA3" w:rsidRPr="002431D5" w:rsidRDefault="008C7EA3" w:rsidP="008C7EA3">
      <w:pPr>
        <w:pStyle w:val="Styl1"/>
        <w:numPr>
          <w:ilvl w:val="0"/>
          <w:numId w:val="33"/>
        </w:numPr>
        <w:spacing w:before="240"/>
        <w:ind w:left="567" w:hanging="283"/>
      </w:pPr>
      <w:r w:rsidRPr="002431D5">
        <w:t>financované z prostředků fondů Evropské unie (36 977 257 tis. Kč)</w:t>
      </w:r>
    </w:p>
    <w:tbl>
      <w:tblPr>
        <w:tblStyle w:val="Svtltabulkasmkou1zvraznn1"/>
        <w:tblW w:w="9067"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941"/>
        <w:gridCol w:w="2126"/>
      </w:tblGrid>
      <w:tr w:rsidR="008C7EA3" w:rsidRPr="001A0CD7" w:rsidTr="003A0B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1" w:type="dxa"/>
            <w:tcBorders>
              <w:bottom w:val="single" w:sz="8" w:space="0" w:color="7F7F7F" w:themeColor="text1" w:themeTint="80"/>
            </w:tcBorders>
            <w:shd w:val="clear" w:color="auto" w:fill="auto"/>
          </w:tcPr>
          <w:p w:rsidR="008C7EA3" w:rsidRPr="002431D5" w:rsidRDefault="008C7EA3" w:rsidP="003A0B78">
            <w:pPr>
              <w:rPr>
                <w:rFonts w:cs="Times New Roman"/>
                <w:b w:val="0"/>
                <w:szCs w:val="24"/>
              </w:rPr>
            </w:pPr>
            <w:r w:rsidRPr="002431D5">
              <w:rPr>
                <w:rFonts w:cs="Times New Roman"/>
                <w:b w:val="0"/>
                <w:szCs w:val="24"/>
              </w:rPr>
              <w:t>Dotace pro společné programy (projekty) EU a ČR (v tom:)</w:t>
            </w:r>
          </w:p>
        </w:tc>
        <w:tc>
          <w:tcPr>
            <w:tcW w:w="2126" w:type="dxa"/>
            <w:tcBorders>
              <w:bottom w:val="single" w:sz="8" w:space="0" w:color="7F7F7F" w:themeColor="text1" w:themeTint="80"/>
            </w:tcBorders>
            <w:shd w:val="clear" w:color="auto" w:fill="auto"/>
          </w:tcPr>
          <w:p w:rsidR="008C7EA3" w:rsidRPr="001A0CD7" w:rsidRDefault="008C7EA3" w:rsidP="003A0B78">
            <w:pPr>
              <w:jc w:val="right"/>
              <w:cnfStyle w:val="100000000000" w:firstRow="1" w:lastRow="0" w:firstColumn="0" w:lastColumn="0" w:oddVBand="0" w:evenVBand="0" w:oddHBand="0" w:evenHBand="0" w:firstRowFirstColumn="0" w:firstRowLastColumn="0" w:lastRowFirstColumn="0" w:lastRowLastColumn="0"/>
              <w:rPr>
                <w:rFonts w:cs="Times New Roman"/>
                <w:b w:val="0"/>
                <w:color w:val="FF0000"/>
                <w:szCs w:val="24"/>
              </w:rPr>
            </w:pPr>
            <w:r w:rsidRPr="002431D5">
              <w:rPr>
                <w:rFonts w:cs="Times New Roman"/>
                <w:b w:val="0"/>
                <w:szCs w:val="24"/>
              </w:rPr>
              <w:t>36 977 257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nil"/>
            </w:tcBorders>
            <w:shd w:val="clear" w:color="auto" w:fill="auto"/>
          </w:tcPr>
          <w:p w:rsidR="008C7EA3" w:rsidRPr="006E124D" w:rsidRDefault="008C7EA3" w:rsidP="003A0B78">
            <w:pPr>
              <w:rPr>
                <w:rFonts w:cs="Times New Roman"/>
                <w:b w:val="0"/>
                <w:szCs w:val="24"/>
              </w:rPr>
            </w:pPr>
            <w:r w:rsidRPr="006E124D">
              <w:rPr>
                <w:rFonts w:cs="Times New Roman"/>
                <w:b w:val="0"/>
                <w:szCs w:val="24"/>
              </w:rPr>
              <w:t xml:space="preserve">Operační program Doprava 2014 - 2020 </w:t>
            </w:r>
          </w:p>
        </w:tc>
        <w:tc>
          <w:tcPr>
            <w:tcW w:w="2126" w:type="dxa"/>
            <w:tcBorders>
              <w:top w:val="single" w:sz="8" w:space="0" w:color="7F7F7F" w:themeColor="text1" w:themeTint="80"/>
              <w:bottom w:val="nil"/>
            </w:tcBorders>
            <w:shd w:val="clear" w:color="auto" w:fill="auto"/>
          </w:tcPr>
          <w:p w:rsidR="008C7EA3" w:rsidRPr="006E124D"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6E124D">
              <w:rPr>
                <w:rFonts w:cs="Times New Roman"/>
                <w:szCs w:val="24"/>
              </w:rPr>
              <w:t>16 628 469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941" w:type="dxa"/>
            <w:tcBorders>
              <w:top w:val="nil"/>
              <w:bottom w:val="nil"/>
            </w:tcBorders>
            <w:shd w:val="clear" w:color="auto" w:fill="auto"/>
          </w:tcPr>
          <w:p w:rsidR="008C7EA3" w:rsidRPr="006E124D" w:rsidRDefault="008C7EA3" w:rsidP="003A0B78">
            <w:pPr>
              <w:rPr>
                <w:rFonts w:cs="Times New Roman"/>
                <w:b w:val="0"/>
                <w:i/>
                <w:szCs w:val="24"/>
              </w:rPr>
            </w:pPr>
            <w:r w:rsidRPr="006E124D">
              <w:rPr>
                <w:rFonts w:cs="Times New Roman"/>
                <w:b w:val="0"/>
                <w:i/>
                <w:szCs w:val="24"/>
              </w:rPr>
              <w:t>z toho: 127 77 Podpora financování dopravy</w:t>
            </w:r>
          </w:p>
        </w:tc>
        <w:tc>
          <w:tcPr>
            <w:tcW w:w="2126" w:type="dxa"/>
            <w:tcBorders>
              <w:top w:val="nil"/>
              <w:bottom w:val="nil"/>
            </w:tcBorders>
            <w:shd w:val="clear" w:color="auto" w:fill="auto"/>
          </w:tcPr>
          <w:p w:rsidR="008C7EA3" w:rsidRPr="006E124D"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6E124D">
              <w:rPr>
                <w:rFonts w:cs="Times New Roman"/>
                <w:i/>
                <w:szCs w:val="24"/>
              </w:rPr>
              <w:t>16 566 434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941" w:type="dxa"/>
            <w:tcBorders>
              <w:top w:val="nil"/>
              <w:bottom w:val="single" w:sz="8" w:space="0" w:color="7F7F7F" w:themeColor="text1" w:themeTint="80"/>
            </w:tcBorders>
            <w:shd w:val="clear" w:color="auto" w:fill="auto"/>
          </w:tcPr>
          <w:p w:rsidR="008C7EA3" w:rsidRPr="006E124D" w:rsidRDefault="008C7EA3" w:rsidP="003A0B78">
            <w:pPr>
              <w:rPr>
                <w:rFonts w:cs="Times New Roman"/>
                <w:b w:val="0"/>
                <w:i/>
                <w:szCs w:val="24"/>
              </w:rPr>
            </w:pPr>
            <w:r w:rsidRPr="006E124D">
              <w:rPr>
                <w:rFonts w:cs="Times New Roman"/>
                <w:b w:val="0"/>
                <w:i/>
                <w:szCs w:val="24"/>
              </w:rPr>
              <w:t xml:space="preserve">           127 06 Rozvoj a obnova MTZ syst. řízení MD-PO, SFDI</w:t>
            </w:r>
          </w:p>
        </w:tc>
        <w:tc>
          <w:tcPr>
            <w:tcW w:w="2126" w:type="dxa"/>
            <w:tcBorders>
              <w:top w:val="nil"/>
              <w:bottom w:val="single" w:sz="8" w:space="0" w:color="7F7F7F" w:themeColor="text1" w:themeTint="80"/>
            </w:tcBorders>
            <w:shd w:val="clear" w:color="auto" w:fill="auto"/>
          </w:tcPr>
          <w:p w:rsidR="008C7EA3" w:rsidRPr="006E124D"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6E124D">
              <w:rPr>
                <w:rFonts w:cs="Times New Roman"/>
                <w:i/>
                <w:szCs w:val="24"/>
              </w:rPr>
              <w:t>4</w:t>
            </w:r>
            <w:r>
              <w:rPr>
                <w:rFonts w:cs="Times New Roman"/>
                <w:i/>
                <w:szCs w:val="24"/>
              </w:rPr>
              <w:t> </w:t>
            </w:r>
            <w:r w:rsidRPr="006E124D">
              <w:rPr>
                <w:rFonts w:cs="Times New Roman"/>
                <w:i/>
                <w:szCs w:val="24"/>
              </w:rPr>
              <w:t>473</w:t>
            </w:r>
            <w:r>
              <w:rPr>
                <w:rFonts w:cs="Times New Roman"/>
                <w:i/>
                <w:szCs w:val="24"/>
              </w:rPr>
              <w:t xml:space="preserve"> tis</w:t>
            </w:r>
            <w:r w:rsidRPr="006E124D">
              <w:rPr>
                <w:rFonts w:cs="Times New Roman"/>
                <w:i/>
                <w:szCs w:val="24"/>
              </w:rPr>
              <w:t>.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nil"/>
            </w:tcBorders>
            <w:shd w:val="clear" w:color="auto" w:fill="auto"/>
          </w:tcPr>
          <w:p w:rsidR="008C7EA3" w:rsidRPr="006E124D" w:rsidRDefault="008C7EA3" w:rsidP="003A0B78">
            <w:pPr>
              <w:rPr>
                <w:rFonts w:cs="Times New Roman"/>
                <w:b w:val="0"/>
                <w:szCs w:val="24"/>
              </w:rPr>
            </w:pPr>
            <w:r w:rsidRPr="006E124D">
              <w:rPr>
                <w:rFonts w:cs="Times New Roman"/>
                <w:b w:val="0"/>
                <w:szCs w:val="24"/>
              </w:rPr>
              <w:t>Komunitární programy</w:t>
            </w:r>
          </w:p>
        </w:tc>
        <w:tc>
          <w:tcPr>
            <w:tcW w:w="2126" w:type="dxa"/>
            <w:tcBorders>
              <w:top w:val="single" w:sz="8" w:space="0" w:color="7F7F7F" w:themeColor="text1" w:themeTint="80"/>
              <w:bottom w:val="nil"/>
            </w:tcBorders>
            <w:shd w:val="clear" w:color="auto" w:fill="auto"/>
          </w:tcPr>
          <w:p w:rsidR="008C7EA3" w:rsidRPr="006E124D"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6E124D">
              <w:rPr>
                <w:rFonts w:cs="Times New Roman"/>
                <w:szCs w:val="24"/>
              </w:rPr>
              <w:t xml:space="preserve"> 5 348 788 tis. Kč</w:t>
            </w:r>
          </w:p>
        </w:tc>
      </w:tr>
      <w:tr w:rsidR="008C7EA3" w:rsidRPr="001A0CD7" w:rsidTr="003A0B78">
        <w:trPr>
          <w:trHeight w:val="346"/>
        </w:trPr>
        <w:tc>
          <w:tcPr>
            <w:cnfStyle w:val="001000000000" w:firstRow="0" w:lastRow="0" w:firstColumn="1" w:lastColumn="0" w:oddVBand="0" w:evenVBand="0" w:oddHBand="0" w:evenHBand="0" w:firstRowFirstColumn="0" w:firstRowLastColumn="0" w:lastRowFirstColumn="0" w:lastRowLastColumn="0"/>
            <w:tcW w:w="6941" w:type="dxa"/>
            <w:tcBorders>
              <w:top w:val="nil"/>
              <w:bottom w:val="single" w:sz="8" w:space="0" w:color="7F7F7F" w:themeColor="text1" w:themeTint="80"/>
            </w:tcBorders>
            <w:shd w:val="clear" w:color="auto" w:fill="auto"/>
          </w:tcPr>
          <w:p w:rsidR="008C7EA3" w:rsidRPr="006E124D" w:rsidRDefault="008C7EA3" w:rsidP="003A0B78">
            <w:pPr>
              <w:rPr>
                <w:rFonts w:cs="Times New Roman"/>
                <w:b w:val="0"/>
                <w:i/>
                <w:szCs w:val="24"/>
              </w:rPr>
            </w:pPr>
            <w:r w:rsidRPr="006E124D">
              <w:rPr>
                <w:rFonts w:cs="Times New Roman"/>
                <w:b w:val="0"/>
                <w:i/>
                <w:szCs w:val="24"/>
              </w:rPr>
              <w:t>z toho: 127 77 Podpora financování dopravy</w:t>
            </w:r>
          </w:p>
        </w:tc>
        <w:tc>
          <w:tcPr>
            <w:tcW w:w="2126" w:type="dxa"/>
            <w:tcBorders>
              <w:top w:val="nil"/>
              <w:bottom w:val="single" w:sz="8" w:space="0" w:color="7F7F7F" w:themeColor="text1" w:themeTint="80"/>
            </w:tcBorders>
            <w:shd w:val="clear" w:color="auto" w:fill="auto"/>
          </w:tcPr>
          <w:p w:rsidR="008C7EA3" w:rsidRPr="006E124D"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6E124D">
              <w:rPr>
                <w:rFonts w:cs="Times New Roman"/>
                <w:i/>
                <w:szCs w:val="24"/>
              </w:rPr>
              <w:t>5 343 248 tis. Kč</w:t>
            </w:r>
          </w:p>
        </w:tc>
      </w:tr>
      <w:tr w:rsidR="008C7EA3" w:rsidRPr="001A0CD7" w:rsidTr="003A0B78">
        <w:trPr>
          <w:trHeight w:val="296"/>
        </w:trPr>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nil"/>
            </w:tcBorders>
            <w:shd w:val="clear" w:color="auto" w:fill="auto"/>
          </w:tcPr>
          <w:p w:rsidR="008C7EA3" w:rsidRPr="006E124D" w:rsidRDefault="00DD6C96" w:rsidP="003A0B78">
            <w:pPr>
              <w:rPr>
                <w:rFonts w:cs="Times New Roman"/>
                <w:b w:val="0"/>
                <w:szCs w:val="24"/>
              </w:rPr>
            </w:pPr>
            <w:r>
              <w:rPr>
                <w:rFonts w:cs="Times New Roman"/>
                <w:b w:val="0"/>
                <w:szCs w:val="24"/>
              </w:rPr>
              <w:t>RRF – Facilita</w:t>
            </w:r>
            <w:r w:rsidR="008C7EA3" w:rsidRPr="006E124D">
              <w:rPr>
                <w:rFonts w:cs="Times New Roman"/>
                <w:b w:val="0"/>
                <w:szCs w:val="24"/>
              </w:rPr>
              <w:t xml:space="preserve"> na </w:t>
            </w:r>
            <w:r w:rsidR="008C7EA3">
              <w:rPr>
                <w:rFonts w:cs="Times New Roman"/>
                <w:b w:val="0"/>
                <w:szCs w:val="24"/>
              </w:rPr>
              <w:t>podporu oživení a odolnosti</w:t>
            </w:r>
          </w:p>
        </w:tc>
        <w:tc>
          <w:tcPr>
            <w:tcW w:w="2126" w:type="dxa"/>
            <w:tcBorders>
              <w:top w:val="single" w:sz="8" w:space="0" w:color="7F7F7F" w:themeColor="text1" w:themeTint="80"/>
              <w:bottom w:val="nil"/>
            </w:tcBorders>
            <w:shd w:val="clear" w:color="auto" w:fill="auto"/>
          </w:tcPr>
          <w:p w:rsidR="008C7EA3" w:rsidRPr="006E124D"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6E124D">
              <w:rPr>
                <w:rFonts w:cs="Times New Roman"/>
                <w:szCs w:val="24"/>
              </w:rPr>
              <w:t>15 000 000 tis. Kč</w:t>
            </w:r>
          </w:p>
        </w:tc>
      </w:tr>
      <w:tr w:rsidR="008C7EA3" w:rsidRPr="001A0CD7" w:rsidTr="003A0B78">
        <w:trPr>
          <w:trHeight w:val="150"/>
        </w:trPr>
        <w:tc>
          <w:tcPr>
            <w:cnfStyle w:val="001000000000" w:firstRow="0" w:lastRow="0" w:firstColumn="1" w:lastColumn="0" w:oddVBand="0" w:evenVBand="0" w:oddHBand="0" w:evenHBand="0" w:firstRowFirstColumn="0" w:firstRowLastColumn="0" w:lastRowFirstColumn="0" w:lastRowLastColumn="0"/>
            <w:tcW w:w="6941" w:type="dxa"/>
            <w:tcBorders>
              <w:top w:val="nil"/>
              <w:bottom w:val="single" w:sz="8" w:space="0" w:color="7F7F7F" w:themeColor="text1" w:themeTint="80"/>
            </w:tcBorders>
            <w:shd w:val="clear" w:color="auto" w:fill="auto"/>
          </w:tcPr>
          <w:p w:rsidR="008C7EA3" w:rsidRPr="006E124D" w:rsidRDefault="00423CD3" w:rsidP="003A0B78">
            <w:pPr>
              <w:rPr>
                <w:rFonts w:cs="Times New Roman"/>
                <w:b w:val="0"/>
                <w:i/>
                <w:szCs w:val="24"/>
              </w:rPr>
            </w:pPr>
            <w:r>
              <w:rPr>
                <w:rFonts w:cs="Times New Roman"/>
                <w:b w:val="0"/>
                <w:i/>
                <w:szCs w:val="24"/>
              </w:rPr>
              <w:t>v</w:t>
            </w:r>
            <w:r w:rsidR="002242A2">
              <w:rPr>
                <w:rFonts w:cs="Times New Roman"/>
                <w:b w:val="0"/>
                <w:i/>
                <w:szCs w:val="24"/>
              </w:rPr>
              <w:t xml:space="preserve"> tom</w:t>
            </w:r>
            <w:r w:rsidR="008C7EA3" w:rsidRPr="006E124D">
              <w:rPr>
                <w:rFonts w:cs="Times New Roman"/>
                <w:b w:val="0"/>
                <w:i/>
                <w:szCs w:val="24"/>
              </w:rPr>
              <w:t>: 127 77 Podpora financování dopravy</w:t>
            </w:r>
          </w:p>
        </w:tc>
        <w:tc>
          <w:tcPr>
            <w:tcW w:w="2126" w:type="dxa"/>
            <w:tcBorders>
              <w:top w:val="nil"/>
              <w:bottom w:val="single" w:sz="8" w:space="0" w:color="7F7F7F" w:themeColor="text1" w:themeTint="80"/>
            </w:tcBorders>
            <w:shd w:val="clear" w:color="auto" w:fill="auto"/>
          </w:tcPr>
          <w:p w:rsidR="008C7EA3" w:rsidRPr="006E124D"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6E124D">
              <w:rPr>
                <w:rFonts w:cs="Times New Roman"/>
                <w:i/>
                <w:szCs w:val="24"/>
              </w:rPr>
              <w:t>15 000 000 tis. Kč</w:t>
            </w:r>
          </w:p>
        </w:tc>
      </w:tr>
    </w:tbl>
    <w:p w:rsidR="008C7EA3" w:rsidRPr="001A0CD7" w:rsidRDefault="008C7EA3" w:rsidP="008C7EA3">
      <w:pPr>
        <w:spacing w:before="240" w:after="80"/>
        <w:rPr>
          <w:rFonts w:cs="Times New Roman"/>
          <w:b/>
          <w:color w:val="FF0000"/>
          <w:szCs w:val="24"/>
          <w:u w:val="single"/>
        </w:rPr>
      </w:pPr>
    </w:p>
    <w:p w:rsidR="008C7EA3" w:rsidRPr="00C45E51" w:rsidRDefault="008C7EA3" w:rsidP="00CF4AED">
      <w:pPr>
        <w:pStyle w:val="Nadpis9"/>
      </w:pPr>
      <w:r w:rsidRPr="00C45E51">
        <w:lastRenderedPageBreak/>
        <w:t>Ostatní výdaje spojené s dopravní politikou státu</w:t>
      </w:r>
    </w:p>
    <w:p w:rsidR="008C7EA3" w:rsidRPr="00C45E51" w:rsidRDefault="008C7EA3" w:rsidP="00CF4AED">
      <w:pPr>
        <w:pStyle w:val="Styl1"/>
        <w:numPr>
          <w:ilvl w:val="0"/>
          <w:numId w:val="33"/>
        </w:numPr>
        <w:spacing w:before="180" w:after="180"/>
        <w:ind w:left="568" w:hanging="284"/>
      </w:pPr>
      <w:r w:rsidRPr="00C45E51">
        <w:t>financované z prostře</w:t>
      </w:r>
      <w:r w:rsidR="002242A2">
        <w:t>dků státního rozpočtu (9 263 760</w:t>
      </w:r>
      <w:r w:rsidRPr="00C45E51">
        <w:t xml:space="preserve"> tis. Kč)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857"/>
        <w:gridCol w:w="2193"/>
      </w:tblGrid>
      <w:tr w:rsidR="008C7EA3" w:rsidRPr="00C45E51" w:rsidTr="003A0B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7" w:type="dxa"/>
            <w:tcBorders>
              <w:bottom w:val="single" w:sz="8" w:space="0" w:color="7F7F7F" w:themeColor="text1" w:themeTint="80"/>
            </w:tcBorders>
            <w:shd w:val="clear" w:color="auto" w:fill="auto"/>
          </w:tcPr>
          <w:p w:rsidR="008C7EA3" w:rsidRPr="00C45E51" w:rsidRDefault="008C7EA3" w:rsidP="003A0B78">
            <w:pPr>
              <w:rPr>
                <w:rFonts w:cs="Times New Roman"/>
                <w:szCs w:val="24"/>
              </w:rPr>
            </w:pPr>
            <w:r w:rsidRPr="00C45E51">
              <w:rPr>
                <w:rFonts w:cs="Times New Roman"/>
                <w:szCs w:val="24"/>
              </w:rPr>
              <w:t xml:space="preserve">Další výdaje spojené s dopravní politikou státu </w:t>
            </w:r>
            <w:r w:rsidRPr="00C45E51">
              <w:rPr>
                <w:rFonts w:cs="Times New Roman"/>
                <w:b w:val="0"/>
              </w:rPr>
              <w:t>(v tom:)</w:t>
            </w:r>
          </w:p>
        </w:tc>
        <w:tc>
          <w:tcPr>
            <w:tcW w:w="2193" w:type="dxa"/>
            <w:tcBorders>
              <w:bottom w:val="single" w:sz="8" w:space="0" w:color="7F7F7F" w:themeColor="text1" w:themeTint="80"/>
            </w:tcBorders>
            <w:shd w:val="clear" w:color="auto" w:fill="auto"/>
          </w:tcPr>
          <w:p w:rsidR="008C7EA3" w:rsidRPr="00C45E51" w:rsidRDefault="008C7EA3" w:rsidP="003A0B78">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C45E51">
              <w:rPr>
                <w:rFonts w:cs="Times New Roman"/>
                <w:szCs w:val="24"/>
              </w:rPr>
              <w:t>8 056 000 tis. Kč</w:t>
            </w:r>
          </w:p>
        </w:tc>
      </w:tr>
      <w:tr w:rsidR="008C7EA3" w:rsidRPr="00C45E51" w:rsidTr="003A0B78">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rsidR="008C7EA3" w:rsidRPr="00C45E51" w:rsidRDefault="008C7EA3" w:rsidP="003A0B78">
            <w:pPr>
              <w:rPr>
                <w:rFonts w:cs="Times New Roman"/>
                <w:b w:val="0"/>
                <w:szCs w:val="24"/>
              </w:rPr>
            </w:pPr>
            <w:r w:rsidRPr="00C45E51">
              <w:rPr>
                <w:rFonts w:cs="Times New Roman"/>
                <w:b w:val="0"/>
                <w:szCs w:val="24"/>
              </w:rPr>
              <w:t>Výdaje organizačních složek státu (mimo ústřední orgán a  trans. do zahr.)</w:t>
            </w:r>
            <w:r w:rsidRPr="00C45E51">
              <w:rPr>
                <w:rFonts w:cs="Times New Roman"/>
                <w:b w:val="0"/>
                <w:szCs w:val="24"/>
                <w:vertAlign w:val="superscript"/>
              </w:rPr>
              <w:t>*)</w:t>
            </w:r>
          </w:p>
        </w:tc>
        <w:tc>
          <w:tcPr>
            <w:tcW w:w="2193" w:type="dxa"/>
            <w:tcBorders>
              <w:top w:val="single" w:sz="8" w:space="0" w:color="7F7F7F" w:themeColor="text1" w:themeTint="80"/>
              <w:bottom w:val="nil"/>
            </w:tcBorders>
            <w:shd w:val="clear" w:color="auto" w:fill="auto"/>
            <w:vAlign w:val="center"/>
          </w:tcPr>
          <w:p w:rsidR="008C7EA3" w:rsidRPr="00C45E51" w:rsidRDefault="008C7EA3" w:rsidP="002242A2">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C45E51">
              <w:rPr>
                <w:rFonts w:cs="Times New Roman"/>
                <w:szCs w:val="24"/>
              </w:rPr>
              <w:t xml:space="preserve">474 </w:t>
            </w:r>
            <w:r w:rsidR="002242A2">
              <w:rPr>
                <w:rFonts w:cs="Times New Roman"/>
                <w:szCs w:val="24"/>
              </w:rPr>
              <w:t>381</w:t>
            </w:r>
            <w:r w:rsidRPr="00C45E51">
              <w:rPr>
                <w:rFonts w:cs="Times New Roman"/>
                <w:szCs w:val="24"/>
              </w:rPr>
              <w:t xml:space="preserve"> tis. Kč </w:t>
            </w:r>
          </w:p>
        </w:tc>
      </w:tr>
      <w:tr w:rsidR="008C7EA3" w:rsidRPr="00C45E51" w:rsidTr="003A0B78">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8" w:space="0" w:color="7F7F7F" w:themeColor="text1" w:themeTint="80"/>
            </w:tcBorders>
            <w:shd w:val="clear" w:color="auto" w:fill="auto"/>
          </w:tcPr>
          <w:p w:rsidR="008C7EA3" w:rsidRPr="00C45E51" w:rsidRDefault="008C7EA3" w:rsidP="003A0B78">
            <w:pPr>
              <w:rPr>
                <w:rFonts w:cs="Times New Roman"/>
                <w:b w:val="0"/>
                <w:i/>
                <w:szCs w:val="24"/>
              </w:rPr>
            </w:pPr>
            <w:r w:rsidRPr="00C45E51">
              <w:rPr>
                <w:rFonts w:cs="Times New Roman"/>
                <w:b w:val="0"/>
                <w:i/>
                <w:szCs w:val="24"/>
              </w:rPr>
              <w:t xml:space="preserve">z toho:  SPS - Komunitární programy </w:t>
            </w:r>
          </w:p>
        </w:tc>
        <w:tc>
          <w:tcPr>
            <w:tcW w:w="2193" w:type="dxa"/>
            <w:tcBorders>
              <w:top w:val="nil"/>
              <w:bottom w:val="single" w:sz="8" w:space="0" w:color="7F7F7F" w:themeColor="text1" w:themeTint="80"/>
            </w:tcBorders>
            <w:shd w:val="clear" w:color="auto" w:fill="auto"/>
          </w:tcPr>
          <w:p w:rsidR="008C7EA3" w:rsidRPr="00C45E51" w:rsidRDefault="002242A2"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Pr>
                <w:rFonts w:cs="Times New Roman"/>
                <w:i/>
                <w:szCs w:val="24"/>
              </w:rPr>
              <w:t>167</w:t>
            </w:r>
            <w:r w:rsidR="008C7EA3" w:rsidRPr="00C45E51">
              <w:rPr>
                <w:rFonts w:cs="Times New Roman"/>
                <w:i/>
                <w:szCs w:val="24"/>
              </w:rPr>
              <w:t xml:space="preserve"> tis. Kč</w:t>
            </w:r>
          </w:p>
        </w:tc>
      </w:tr>
      <w:tr w:rsidR="008C7EA3" w:rsidRPr="00C45E51" w:rsidTr="003A0B78">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rsidR="008C7EA3" w:rsidRPr="00C45E51" w:rsidRDefault="008C7EA3" w:rsidP="003A0B78">
            <w:pPr>
              <w:rPr>
                <w:rFonts w:cs="Times New Roman"/>
                <w:b w:val="0"/>
                <w:szCs w:val="24"/>
              </w:rPr>
            </w:pPr>
            <w:r w:rsidRPr="00C45E51">
              <w:rPr>
                <w:rFonts w:cs="Times New Roman"/>
                <w:b w:val="0"/>
                <w:szCs w:val="24"/>
              </w:rPr>
              <w:t>Výdaje Ústředního orgánu MD (bez transferu do zahraničí)</w:t>
            </w:r>
            <w:r w:rsidRPr="00C45E51">
              <w:rPr>
                <w:rFonts w:cs="Times New Roman"/>
                <w:b w:val="0"/>
                <w:szCs w:val="24"/>
                <w:vertAlign w:val="superscript"/>
              </w:rPr>
              <w:t>*)</w:t>
            </w:r>
          </w:p>
        </w:tc>
        <w:tc>
          <w:tcPr>
            <w:tcW w:w="2193" w:type="dxa"/>
            <w:tcBorders>
              <w:top w:val="single" w:sz="8" w:space="0" w:color="7F7F7F" w:themeColor="text1" w:themeTint="80"/>
              <w:bottom w:val="nil"/>
            </w:tcBorders>
            <w:shd w:val="clear" w:color="auto" w:fill="auto"/>
          </w:tcPr>
          <w:p w:rsidR="008C7EA3" w:rsidRPr="00C45E51" w:rsidRDefault="008C7EA3" w:rsidP="002242A2">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C45E51">
              <w:rPr>
                <w:rFonts w:cs="Times New Roman"/>
                <w:szCs w:val="24"/>
              </w:rPr>
              <w:t xml:space="preserve">7 166 </w:t>
            </w:r>
            <w:r w:rsidR="002242A2">
              <w:rPr>
                <w:rFonts w:cs="Times New Roman"/>
                <w:szCs w:val="24"/>
              </w:rPr>
              <w:t>641</w:t>
            </w:r>
            <w:r w:rsidRPr="00C45E51">
              <w:rPr>
                <w:rFonts w:cs="Times New Roman"/>
                <w:szCs w:val="24"/>
              </w:rPr>
              <w:t xml:space="preserve"> tis. Kč</w:t>
            </w:r>
          </w:p>
        </w:tc>
      </w:tr>
      <w:tr w:rsidR="008C7EA3" w:rsidRPr="00C45E51" w:rsidTr="003A0B78">
        <w:tc>
          <w:tcPr>
            <w:cnfStyle w:val="001000000000" w:firstRow="0" w:lastRow="0" w:firstColumn="1" w:lastColumn="0" w:oddVBand="0" w:evenVBand="0" w:oddHBand="0" w:evenHBand="0" w:firstRowFirstColumn="0" w:firstRowLastColumn="0" w:lastRowFirstColumn="0" w:lastRowLastColumn="0"/>
            <w:tcW w:w="6857" w:type="dxa"/>
            <w:tcBorders>
              <w:top w:val="nil"/>
              <w:bottom w:val="nil"/>
              <w:right w:val="single" w:sz="4" w:space="0" w:color="7F7F7F" w:themeColor="text1" w:themeTint="80"/>
            </w:tcBorders>
            <w:shd w:val="clear" w:color="auto" w:fill="auto"/>
          </w:tcPr>
          <w:p w:rsidR="008C7EA3" w:rsidRPr="00C45E51" w:rsidRDefault="008C7EA3" w:rsidP="003A0B78">
            <w:pPr>
              <w:rPr>
                <w:rFonts w:cs="Times New Roman"/>
                <w:b w:val="0"/>
                <w:i/>
                <w:szCs w:val="24"/>
              </w:rPr>
            </w:pPr>
            <w:r w:rsidRPr="00C45E51">
              <w:rPr>
                <w:rFonts w:cs="Times New Roman"/>
                <w:b w:val="0"/>
                <w:i/>
                <w:szCs w:val="24"/>
              </w:rPr>
              <w:t xml:space="preserve">z toho: kompenzace slev jízdného  </w:t>
            </w:r>
          </w:p>
        </w:tc>
        <w:tc>
          <w:tcPr>
            <w:tcW w:w="2193" w:type="dxa"/>
            <w:tcBorders>
              <w:top w:val="nil"/>
              <w:left w:val="single" w:sz="4" w:space="0" w:color="7F7F7F" w:themeColor="text1" w:themeTint="80"/>
              <w:bottom w:val="nil"/>
            </w:tcBorders>
            <w:shd w:val="clear" w:color="auto" w:fill="auto"/>
          </w:tcPr>
          <w:p w:rsidR="008C7EA3" w:rsidRPr="00C45E51"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C45E51">
              <w:rPr>
                <w:rFonts w:cs="Times New Roman"/>
                <w:i/>
                <w:szCs w:val="24"/>
              </w:rPr>
              <w:t xml:space="preserve">6 000 000 tis. Kč </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857" w:type="dxa"/>
            <w:tcBorders>
              <w:top w:val="nil"/>
              <w:bottom w:val="nil"/>
              <w:right w:val="single" w:sz="4" w:space="0" w:color="7F7F7F" w:themeColor="text1" w:themeTint="80"/>
            </w:tcBorders>
            <w:shd w:val="clear" w:color="auto" w:fill="auto"/>
          </w:tcPr>
          <w:p w:rsidR="008C7EA3" w:rsidRPr="007661D5" w:rsidRDefault="008C7EA3" w:rsidP="003A0B78">
            <w:pPr>
              <w:rPr>
                <w:rFonts w:cs="Times New Roman"/>
                <w:b w:val="0"/>
                <w:i/>
                <w:szCs w:val="24"/>
              </w:rPr>
            </w:pPr>
            <w:r w:rsidRPr="007661D5">
              <w:rPr>
                <w:rFonts w:cs="Times New Roman"/>
                <w:b w:val="0"/>
                <w:i/>
                <w:szCs w:val="24"/>
              </w:rPr>
              <w:t xml:space="preserve">            dopravně správní agendy</w:t>
            </w:r>
          </w:p>
          <w:p w:rsidR="008C7EA3" w:rsidRPr="007661D5" w:rsidRDefault="008C7EA3" w:rsidP="003A0B78">
            <w:pPr>
              <w:rPr>
                <w:rFonts w:cs="Times New Roman"/>
                <w:b w:val="0"/>
                <w:i/>
                <w:szCs w:val="24"/>
              </w:rPr>
            </w:pPr>
            <w:r w:rsidRPr="007661D5">
              <w:rPr>
                <w:rFonts w:cs="Times New Roman"/>
                <w:b w:val="0"/>
                <w:i/>
                <w:szCs w:val="24"/>
              </w:rPr>
              <w:t xml:space="preserve">            OP Doprava 2014 - 2020 </w:t>
            </w:r>
          </w:p>
          <w:p w:rsidR="008C7EA3" w:rsidRPr="007661D5" w:rsidRDefault="008C7EA3" w:rsidP="003A0B78">
            <w:pPr>
              <w:rPr>
                <w:rFonts w:cs="Times New Roman"/>
                <w:b w:val="0"/>
                <w:i/>
                <w:szCs w:val="24"/>
              </w:rPr>
            </w:pPr>
            <w:r w:rsidRPr="007661D5">
              <w:rPr>
                <w:rFonts w:cs="Times New Roman"/>
                <w:b w:val="0"/>
                <w:i/>
                <w:szCs w:val="24"/>
              </w:rPr>
              <w:t xml:space="preserve">            Komunitární programy          </w:t>
            </w:r>
          </w:p>
        </w:tc>
        <w:tc>
          <w:tcPr>
            <w:tcW w:w="2193" w:type="dxa"/>
            <w:tcBorders>
              <w:top w:val="nil"/>
              <w:left w:val="single" w:sz="4" w:space="0" w:color="7F7F7F" w:themeColor="text1" w:themeTint="80"/>
              <w:bottom w:val="nil"/>
            </w:tcBorders>
            <w:shd w:val="clear" w:color="auto" w:fill="auto"/>
          </w:tcPr>
          <w:p w:rsidR="008C7EA3" w:rsidRPr="007661D5"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7661D5">
              <w:rPr>
                <w:rFonts w:cs="Times New Roman"/>
                <w:i/>
                <w:szCs w:val="24"/>
              </w:rPr>
              <w:t>280 000 tis. Kč</w:t>
            </w:r>
          </w:p>
          <w:p w:rsidR="008C7EA3" w:rsidRPr="007661D5"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7661D5">
              <w:rPr>
                <w:rFonts w:cs="Times New Roman"/>
                <w:i/>
                <w:szCs w:val="24"/>
              </w:rPr>
              <w:t>11 830 tis. Kč</w:t>
            </w:r>
          </w:p>
          <w:p w:rsidR="008C7EA3" w:rsidRPr="007661D5" w:rsidRDefault="002242A2"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Pr>
                <w:rFonts w:cs="Times New Roman"/>
                <w:i/>
                <w:szCs w:val="24"/>
              </w:rPr>
              <w:t>1 627</w:t>
            </w:r>
            <w:r w:rsidR="008C7EA3" w:rsidRPr="007661D5">
              <w:rPr>
                <w:rFonts w:cs="Times New Roman"/>
                <w:i/>
                <w:szCs w:val="24"/>
              </w:rPr>
              <w:t xml:space="preserve">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8C7EA3" w:rsidRPr="00285D7F" w:rsidRDefault="008C7EA3" w:rsidP="003A0B78">
            <w:pPr>
              <w:rPr>
                <w:rFonts w:cs="Times New Roman"/>
                <w:b w:val="0"/>
                <w:szCs w:val="24"/>
              </w:rPr>
            </w:pPr>
            <w:r w:rsidRPr="00285D7F">
              <w:rPr>
                <w:rFonts w:cs="Times New Roman"/>
                <w:b w:val="0"/>
                <w:szCs w:val="24"/>
              </w:rPr>
              <w:t xml:space="preserve">Výdaje příspěvkových organizací </w:t>
            </w:r>
            <w:r w:rsidRPr="00285D7F">
              <w:rPr>
                <w:rFonts w:cs="Times New Roman"/>
                <w:b w:val="0"/>
                <w:szCs w:val="24"/>
                <w:vertAlign w:val="superscript"/>
              </w:rPr>
              <w:t>**)</w:t>
            </w:r>
          </w:p>
        </w:tc>
        <w:tc>
          <w:tcPr>
            <w:tcW w:w="2193" w:type="dxa"/>
            <w:tcBorders>
              <w:top w:val="single" w:sz="8" w:space="0" w:color="7F7F7F" w:themeColor="text1" w:themeTint="80"/>
              <w:bottom w:val="single" w:sz="8" w:space="0" w:color="7F7F7F" w:themeColor="text1" w:themeTint="80"/>
            </w:tcBorders>
            <w:shd w:val="clear" w:color="auto" w:fill="auto"/>
          </w:tcPr>
          <w:p w:rsidR="008C7EA3" w:rsidRPr="00285D7F"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285D7F">
              <w:rPr>
                <w:rFonts w:cs="Times New Roman"/>
                <w:szCs w:val="24"/>
              </w:rPr>
              <w:t>162 738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8C7EA3" w:rsidRPr="00285D7F" w:rsidRDefault="008C7EA3" w:rsidP="003A0B78">
            <w:pPr>
              <w:rPr>
                <w:rFonts w:cs="Times New Roman"/>
                <w:b w:val="0"/>
                <w:szCs w:val="24"/>
              </w:rPr>
            </w:pPr>
            <w:r w:rsidRPr="00285D7F">
              <w:rPr>
                <w:rFonts w:cs="Times New Roman"/>
                <w:b w:val="0"/>
                <w:szCs w:val="24"/>
              </w:rPr>
              <w:t>Transfery veřejným výzkumným institucím</w:t>
            </w:r>
          </w:p>
        </w:tc>
        <w:tc>
          <w:tcPr>
            <w:tcW w:w="2193" w:type="dxa"/>
            <w:tcBorders>
              <w:top w:val="single" w:sz="8" w:space="0" w:color="7F7F7F" w:themeColor="text1" w:themeTint="80"/>
              <w:bottom w:val="single" w:sz="8" w:space="0" w:color="7F7F7F" w:themeColor="text1" w:themeTint="80"/>
            </w:tcBorders>
            <w:shd w:val="clear" w:color="auto" w:fill="auto"/>
          </w:tcPr>
          <w:p w:rsidR="008C7EA3" w:rsidRPr="00285D7F"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285D7F">
              <w:rPr>
                <w:rFonts w:cs="Times New Roman"/>
                <w:szCs w:val="24"/>
              </w:rPr>
              <w:t>143 907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8C7EA3" w:rsidRPr="00285D7F" w:rsidRDefault="008C7EA3" w:rsidP="003A0B78">
            <w:pPr>
              <w:rPr>
                <w:rFonts w:cs="Times New Roman"/>
                <w:b w:val="0"/>
                <w:szCs w:val="24"/>
              </w:rPr>
            </w:pPr>
            <w:r w:rsidRPr="00285D7F">
              <w:rPr>
                <w:rFonts w:cs="Times New Roman"/>
                <w:b w:val="0"/>
                <w:szCs w:val="24"/>
              </w:rPr>
              <w:t>Neinvestiční transfery občanským sdružením</w:t>
            </w:r>
          </w:p>
        </w:tc>
        <w:tc>
          <w:tcPr>
            <w:tcW w:w="2193" w:type="dxa"/>
            <w:tcBorders>
              <w:top w:val="single" w:sz="8" w:space="0" w:color="7F7F7F" w:themeColor="text1" w:themeTint="80"/>
              <w:bottom w:val="single" w:sz="8" w:space="0" w:color="7F7F7F" w:themeColor="text1" w:themeTint="80"/>
            </w:tcBorders>
            <w:shd w:val="clear" w:color="auto" w:fill="auto"/>
          </w:tcPr>
          <w:p w:rsidR="008C7EA3" w:rsidRPr="00285D7F"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285D7F">
              <w:rPr>
                <w:rFonts w:cs="Times New Roman"/>
                <w:szCs w:val="24"/>
              </w:rPr>
              <w:t>8 900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8C7EA3" w:rsidRPr="00285D7F" w:rsidRDefault="008C7EA3" w:rsidP="003A0B78">
            <w:pPr>
              <w:rPr>
                <w:rFonts w:cs="Times New Roman"/>
                <w:b w:val="0"/>
                <w:szCs w:val="24"/>
              </w:rPr>
            </w:pPr>
            <w:r w:rsidRPr="00285D7F">
              <w:rPr>
                <w:rFonts w:cs="Times New Roman"/>
                <w:b w:val="0"/>
                <w:szCs w:val="24"/>
              </w:rPr>
              <w:t>Neinvestiční dotace veřejným rozpočtům územní úrovně</w:t>
            </w:r>
          </w:p>
        </w:tc>
        <w:tc>
          <w:tcPr>
            <w:tcW w:w="2193" w:type="dxa"/>
            <w:tcBorders>
              <w:top w:val="single" w:sz="8" w:space="0" w:color="7F7F7F" w:themeColor="text1" w:themeTint="80"/>
              <w:bottom w:val="single" w:sz="8" w:space="0" w:color="7F7F7F" w:themeColor="text1" w:themeTint="80"/>
            </w:tcBorders>
            <w:shd w:val="clear" w:color="auto" w:fill="auto"/>
          </w:tcPr>
          <w:p w:rsidR="008C7EA3" w:rsidRPr="00285D7F"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285D7F">
              <w:rPr>
                <w:rFonts w:cs="Times New Roman"/>
                <w:szCs w:val="24"/>
              </w:rPr>
              <w:t>2 500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8C7EA3" w:rsidRPr="00285D7F" w:rsidRDefault="008C7EA3" w:rsidP="003A0B78">
            <w:pPr>
              <w:rPr>
                <w:rFonts w:cs="Times New Roman"/>
                <w:b w:val="0"/>
                <w:i/>
                <w:szCs w:val="24"/>
              </w:rPr>
            </w:pPr>
            <w:r w:rsidRPr="00285D7F">
              <w:rPr>
                <w:rFonts w:cs="Times New Roman"/>
                <w:b w:val="0"/>
                <w:szCs w:val="24"/>
              </w:rPr>
              <w:t>Neinvestiční transfery do zahraničí</w:t>
            </w:r>
          </w:p>
        </w:tc>
        <w:tc>
          <w:tcPr>
            <w:tcW w:w="2193" w:type="dxa"/>
            <w:tcBorders>
              <w:top w:val="single" w:sz="8" w:space="0" w:color="7F7F7F" w:themeColor="text1" w:themeTint="80"/>
              <w:bottom w:val="single" w:sz="8" w:space="0" w:color="7F7F7F" w:themeColor="text1" w:themeTint="80"/>
            </w:tcBorders>
            <w:shd w:val="clear" w:color="auto" w:fill="auto"/>
          </w:tcPr>
          <w:p w:rsidR="008C7EA3" w:rsidRPr="00285D7F"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285D7F">
              <w:rPr>
                <w:rFonts w:cs="Times New Roman"/>
                <w:szCs w:val="24"/>
              </w:rPr>
              <w:t>19 156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8C7EA3" w:rsidRPr="00285D7F" w:rsidRDefault="008C7EA3" w:rsidP="003A0B78">
            <w:pPr>
              <w:rPr>
                <w:rFonts w:cs="Times New Roman"/>
                <w:b w:val="0"/>
                <w:szCs w:val="24"/>
              </w:rPr>
            </w:pPr>
            <w:r w:rsidRPr="00285D7F">
              <w:rPr>
                <w:rFonts w:cs="Times New Roman"/>
                <w:b w:val="0"/>
                <w:szCs w:val="24"/>
              </w:rPr>
              <w:t>Úhrada služeb poskytnutých osvobozeným letům ve vzd. prostoru ČR</w:t>
            </w:r>
          </w:p>
        </w:tc>
        <w:tc>
          <w:tcPr>
            <w:tcW w:w="2193" w:type="dxa"/>
            <w:tcBorders>
              <w:top w:val="single" w:sz="8" w:space="0" w:color="7F7F7F" w:themeColor="text1" w:themeTint="80"/>
              <w:bottom w:val="single" w:sz="8" w:space="0" w:color="7F7F7F" w:themeColor="text1" w:themeTint="80"/>
            </w:tcBorders>
            <w:shd w:val="clear" w:color="auto" w:fill="auto"/>
          </w:tcPr>
          <w:p w:rsidR="008C7EA3" w:rsidRPr="00285D7F"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285D7F">
              <w:rPr>
                <w:rFonts w:cs="Times New Roman"/>
                <w:szCs w:val="24"/>
              </w:rPr>
              <w:t>77 777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8C7EA3" w:rsidRPr="00285D7F" w:rsidRDefault="008C7EA3" w:rsidP="003A0B78">
            <w:pPr>
              <w:rPr>
                <w:rFonts w:cs="Times New Roman"/>
                <w:szCs w:val="24"/>
              </w:rPr>
            </w:pPr>
            <w:r w:rsidRPr="00285D7F">
              <w:rPr>
                <w:rFonts w:cs="Times New Roman"/>
                <w:szCs w:val="24"/>
              </w:rPr>
              <w:t xml:space="preserve">Výdaje spojené s kosmickými aktivitami </w:t>
            </w:r>
            <w:r w:rsidRPr="00285D7F">
              <w:rPr>
                <w:rFonts w:cs="Times New Roman"/>
                <w:b w:val="0"/>
                <w:szCs w:val="24"/>
              </w:rPr>
              <w:t>(v tom:)</w:t>
            </w:r>
          </w:p>
        </w:tc>
        <w:tc>
          <w:tcPr>
            <w:tcW w:w="2193" w:type="dxa"/>
            <w:tcBorders>
              <w:top w:val="single" w:sz="8" w:space="0" w:color="7F7F7F" w:themeColor="text1" w:themeTint="80"/>
              <w:bottom w:val="single" w:sz="8" w:space="0" w:color="7F7F7F" w:themeColor="text1" w:themeTint="80"/>
            </w:tcBorders>
            <w:shd w:val="clear" w:color="auto" w:fill="auto"/>
          </w:tcPr>
          <w:p w:rsidR="008C7EA3" w:rsidRPr="00285D7F"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b/>
                <w:szCs w:val="24"/>
              </w:rPr>
            </w:pPr>
            <w:r w:rsidRPr="00285D7F">
              <w:rPr>
                <w:rFonts w:cs="Times New Roman"/>
                <w:b/>
                <w:szCs w:val="24"/>
              </w:rPr>
              <w:t>1 207 760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8C7EA3" w:rsidRPr="00285D7F" w:rsidRDefault="008C7EA3" w:rsidP="003A0B78">
            <w:pPr>
              <w:rPr>
                <w:rFonts w:cs="Times New Roman"/>
                <w:b w:val="0"/>
                <w:szCs w:val="24"/>
              </w:rPr>
            </w:pPr>
            <w:r w:rsidRPr="00285D7F">
              <w:rPr>
                <w:rFonts w:cs="Times New Roman"/>
                <w:b w:val="0"/>
                <w:szCs w:val="24"/>
              </w:rPr>
              <w:t>Výdaje Ústředního orgánu MD</w:t>
            </w:r>
          </w:p>
        </w:tc>
        <w:tc>
          <w:tcPr>
            <w:tcW w:w="2193" w:type="dxa"/>
            <w:tcBorders>
              <w:top w:val="single" w:sz="8" w:space="0" w:color="7F7F7F" w:themeColor="text1" w:themeTint="80"/>
              <w:bottom w:val="single" w:sz="8" w:space="0" w:color="7F7F7F" w:themeColor="text1" w:themeTint="80"/>
            </w:tcBorders>
            <w:shd w:val="clear" w:color="auto" w:fill="auto"/>
          </w:tcPr>
          <w:p w:rsidR="008C7EA3" w:rsidRPr="00285D7F"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285D7F">
              <w:rPr>
                <w:rFonts w:cs="Times New Roman"/>
                <w:szCs w:val="24"/>
              </w:rPr>
              <w:t>2 480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8C7EA3" w:rsidRPr="00285D7F" w:rsidRDefault="008C7EA3" w:rsidP="003A0B78">
            <w:pPr>
              <w:rPr>
                <w:rFonts w:cs="Times New Roman"/>
                <w:b w:val="0"/>
                <w:szCs w:val="24"/>
              </w:rPr>
            </w:pPr>
            <w:r w:rsidRPr="00285D7F">
              <w:rPr>
                <w:rFonts w:cs="Times New Roman"/>
                <w:b w:val="0"/>
                <w:szCs w:val="24"/>
              </w:rPr>
              <w:t>Neinvestiční transfery do zahraničí</w:t>
            </w:r>
          </w:p>
          <w:p w:rsidR="008C7EA3" w:rsidRPr="00285D7F" w:rsidRDefault="008C7EA3" w:rsidP="003A0B78">
            <w:pPr>
              <w:rPr>
                <w:rFonts w:cs="Times New Roman"/>
                <w:b w:val="0"/>
                <w:szCs w:val="24"/>
              </w:rPr>
            </w:pPr>
            <w:r w:rsidRPr="00285D7F">
              <w:rPr>
                <w:rFonts w:cs="Times New Roman"/>
                <w:b w:val="0"/>
                <w:i/>
                <w:szCs w:val="24"/>
              </w:rPr>
              <w:t>z toho: výdaje na volitelné programy ESA</w:t>
            </w:r>
          </w:p>
        </w:tc>
        <w:tc>
          <w:tcPr>
            <w:tcW w:w="2193" w:type="dxa"/>
            <w:tcBorders>
              <w:top w:val="single" w:sz="8" w:space="0" w:color="7F7F7F" w:themeColor="text1" w:themeTint="80"/>
              <w:bottom w:val="single" w:sz="8" w:space="0" w:color="7F7F7F" w:themeColor="text1" w:themeTint="80"/>
            </w:tcBorders>
            <w:shd w:val="clear" w:color="auto" w:fill="auto"/>
          </w:tcPr>
          <w:p w:rsidR="008C7EA3" w:rsidRPr="00285D7F"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285D7F">
              <w:rPr>
                <w:rFonts w:cs="Times New Roman"/>
                <w:szCs w:val="24"/>
              </w:rPr>
              <w:t>1 205 280 tis. Kč</w:t>
            </w:r>
          </w:p>
          <w:p w:rsidR="008C7EA3" w:rsidRPr="00285D7F"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285D7F">
              <w:rPr>
                <w:rFonts w:cs="Times New Roman"/>
                <w:i/>
                <w:szCs w:val="24"/>
              </w:rPr>
              <w:t>1 205 000 tis. Kč</w:t>
            </w:r>
          </w:p>
        </w:tc>
      </w:tr>
    </w:tbl>
    <w:p w:rsidR="008C7EA3" w:rsidRPr="00285D7F" w:rsidRDefault="008C7EA3" w:rsidP="00CF4AED">
      <w:pPr>
        <w:pStyle w:val="Styl1"/>
        <w:numPr>
          <w:ilvl w:val="0"/>
          <w:numId w:val="33"/>
        </w:numPr>
        <w:spacing w:before="180"/>
        <w:ind w:left="568" w:hanging="284"/>
      </w:pPr>
      <w:r w:rsidRPr="00285D7F">
        <w:t>financované z prostředků fondů Evropské unie (1 129 748 tis. Kč)</w:t>
      </w:r>
    </w:p>
    <w:tbl>
      <w:tblPr>
        <w:tblStyle w:val="Svtltabulkasmkou1zvraznn1"/>
        <w:tblW w:w="0" w:type="auto"/>
        <w:tblLook w:val="00A0" w:firstRow="1" w:lastRow="0" w:firstColumn="1" w:lastColumn="0" w:noHBand="0" w:noVBand="0"/>
      </w:tblPr>
      <w:tblGrid>
        <w:gridCol w:w="6857"/>
        <w:gridCol w:w="2193"/>
      </w:tblGrid>
      <w:tr w:rsidR="008C7EA3" w:rsidRPr="00285D7F" w:rsidTr="003A0B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8C7EA3" w:rsidRPr="00285D7F" w:rsidRDefault="008C7EA3" w:rsidP="003A0B78">
            <w:pPr>
              <w:rPr>
                <w:rFonts w:cs="Times New Roman"/>
                <w:szCs w:val="24"/>
              </w:rPr>
            </w:pPr>
            <w:r w:rsidRPr="00285D7F">
              <w:rPr>
                <w:rFonts w:cs="Times New Roman"/>
                <w:szCs w:val="24"/>
              </w:rPr>
              <w:t xml:space="preserve">Další výdaje spojené s dopravní politikou státu </w:t>
            </w:r>
            <w:r w:rsidRPr="00285D7F">
              <w:rPr>
                <w:rFonts w:cs="Times New Roman"/>
                <w:b w:val="0"/>
              </w:rPr>
              <w:t>(v tom:)</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tcPr>
          <w:p w:rsidR="008C7EA3" w:rsidRPr="00285D7F" w:rsidRDefault="008C7EA3" w:rsidP="003A0B78">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285D7F">
              <w:rPr>
                <w:rFonts w:cs="Times New Roman"/>
                <w:szCs w:val="24"/>
              </w:rPr>
              <w:t>1 129 748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nil"/>
              <w:right w:val="single" w:sz="4" w:space="0" w:color="7F7F7F" w:themeColor="text1" w:themeTint="80"/>
            </w:tcBorders>
            <w:shd w:val="clear" w:color="auto" w:fill="auto"/>
          </w:tcPr>
          <w:p w:rsidR="008C7EA3" w:rsidRPr="007661D5" w:rsidRDefault="008C7EA3" w:rsidP="003A0B78">
            <w:pPr>
              <w:rPr>
                <w:rFonts w:cs="Times New Roman"/>
                <w:b w:val="0"/>
                <w:szCs w:val="24"/>
              </w:rPr>
            </w:pPr>
            <w:r w:rsidRPr="007661D5">
              <w:rPr>
                <w:rFonts w:cs="Times New Roman"/>
                <w:b w:val="0"/>
                <w:szCs w:val="24"/>
              </w:rPr>
              <w:t>Výdaje Ústředního orgánu MD</w:t>
            </w:r>
          </w:p>
          <w:p w:rsidR="008C7EA3" w:rsidRPr="007661D5" w:rsidRDefault="008C7EA3" w:rsidP="003A0B78">
            <w:pPr>
              <w:tabs>
                <w:tab w:val="left" w:pos="3970"/>
              </w:tabs>
              <w:rPr>
                <w:rFonts w:cs="Times New Roman"/>
                <w:b w:val="0"/>
                <w:i/>
                <w:szCs w:val="24"/>
              </w:rPr>
            </w:pPr>
            <w:r w:rsidRPr="007661D5">
              <w:rPr>
                <w:rFonts w:cs="Times New Roman"/>
                <w:b w:val="0"/>
                <w:i/>
                <w:szCs w:val="24"/>
              </w:rPr>
              <w:t xml:space="preserve">v tom: OP Doprava 2014 - 2020 </w:t>
            </w:r>
            <w:r w:rsidRPr="007661D5">
              <w:rPr>
                <w:rFonts w:cs="Times New Roman"/>
                <w:b w:val="0"/>
                <w:i/>
                <w:szCs w:val="24"/>
              </w:rPr>
              <w:tab/>
            </w:r>
          </w:p>
          <w:p w:rsidR="008C7EA3" w:rsidRPr="007661D5" w:rsidRDefault="008C7EA3" w:rsidP="003A0B78">
            <w:pPr>
              <w:tabs>
                <w:tab w:val="left" w:pos="3970"/>
              </w:tabs>
              <w:rPr>
                <w:rFonts w:cs="Times New Roman"/>
                <w:b w:val="0"/>
                <w:szCs w:val="24"/>
              </w:rPr>
            </w:pPr>
            <w:r w:rsidRPr="007661D5">
              <w:rPr>
                <w:rFonts w:cs="Times New Roman"/>
                <w:b w:val="0"/>
                <w:i/>
                <w:szCs w:val="24"/>
              </w:rPr>
              <w:t xml:space="preserve">            Komunitární programy</w:t>
            </w:r>
            <w:r w:rsidRPr="007661D5">
              <w:rPr>
                <w:rFonts w:cs="Times New Roman"/>
                <w:b w:val="0"/>
                <w:szCs w:val="24"/>
                <w:vertAlign w:val="superscript"/>
              </w:rPr>
              <w:t>*)</w:t>
            </w:r>
            <w:r w:rsidRPr="007661D5">
              <w:rPr>
                <w:rFonts w:cs="Times New Roman"/>
                <w:b w:val="0"/>
                <w:i/>
                <w:szCs w:val="24"/>
              </w:rPr>
              <w:t xml:space="preserve">         </w:t>
            </w:r>
          </w:p>
        </w:tc>
        <w:tc>
          <w:tcPr>
            <w:tcW w:w="2193" w:type="dxa"/>
            <w:tcBorders>
              <w:top w:val="single" w:sz="8" w:space="0" w:color="7F7F7F" w:themeColor="text1" w:themeTint="80"/>
              <w:left w:val="single" w:sz="4" w:space="0" w:color="7F7F7F" w:themeColor="text1" w:themeTint="80"/>
              <w:bottom w:val="nil"/>
              <w:right w:val="single" w:sz="8" w:space="0" w:color="7F7F7F" w:themeColor="text1" w:themeTint="80"/>
            </w:tcBorders>
            <w:shd w:val="clear" w:color="auto" w:fill="auto"/>
          </w:tcPr>
          <w:p w:rsidR="008C7EA3" w:rsidRPr="007661D5"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7661D5">
              <w:rPr>
                <w:rFonts w:cs="Times New Roman"/>
                <w:szCs w:val="24"/>
              </w:rPr>
              <w:t>78 361 tis. Kč</w:t>
            </w:r>
          </w:p>
          <w:p w:rsidR="008C7EA3" w:rsidRPr="007661D5"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7661D5">
              <w:rPr>
                <w:rFonts w:cs="Times New Roman"/>
                <w:i/>
                <w:szCs w:val="24"/>
              </w:rPr>
              <w:t>67 037 tis. Kč</w:t>
            </w:r>
          </w:p>
          <w:p w:rsidR="008C7EA3" w:rsidRPr="007661D5"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7661D5">
              <w:rPr>
                <w:rFonts w:cs="Times New Roman"/>
                <w:i/>
                <w:szCs w:val="24"/>
              </w:rPr>
              <w:t>11 324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8C7EA3" w:rsidRPr="007661D5" w:rsidRDefault="008C7EA3" w:rsidP="003A0B78">
            <w:pPr>
              <w:rPr>
                <w:rFonts w:cs="Times New Roman"/>
                <w:b w:val="0"/>
                <w:szCs w:val="24"/>
              </w:rPr>
            </w:pPr>
            <w:r w:rsidRPr="007661D5">
              <w:rPr>
                <w:rFonts w:cs="Times New Roman"/>
                <w:b w:val="0"/>
                <w:szCs w:val="24"/>
              </w:rPr>
              <w:t xml:space="preserve">Výdaje SPS </w:t>
            </w:r>
          </w:p>
          <w:p w:rsidR="008C7EA3" w:rsidRPr="007661D5" w:rsidRDefault="008C7EA3" w:rsidP="003A0B78">
            <w:pPr>
              <w:rPr>
                <w:rFonts w:cs="Times New Roman"/>
                <w:b w:val="0"/>
                <w:i/>
                <w:szCs w:val="24"/>
              </w:rPr>
            </w:pPr>
            <w:r w:rsidRPr="007661D5">
              <w:rPr>
                <w:rFonts w:cs="Times New Roman"/>
                <w:b w:val="0"/>
                <w:i/>
                <w:szCs w:val="24"/>
              </w:rPr>
              <w:t xml:space="preserve">v tom: Komunitární programy </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tcPr>
          <w:p w:rsidR="008C7EA3" w:rsidRPr="007661D5"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7661D5">
              <w:rPr>
                <w:rFonts w:cs="Times New Roman"/>
                <w:szCs w:val="24"/>
              </w:rPr>
              <w:t xml:space="preserve">946 tis. Kč </w:t>
            </w:r>
          </w:p>
          <w:p w:rsidR="008C7EA3" w:rsidRPr="007661D5"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7661D5">
              <w:rPr>
                <w:rFonts w:cs="Times New Roman"/>
                <w:i/>
                <w:szCs w:val="24"/>
              </w:rPr>
              <w:t>946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nil"/>
              <w:right w:val="single" w:sz="4" w:space="0" w:color="7F7F7F" w:themeColor="text1" w:themeTint="80"/>
            </w:tcBorders>
            <w:shd w:val="clear" w:color="auto" w:fill="auto"/>
          </w:tcPr>
          <w:p w:rsidR="008C7EA3" w:rsidRPr="000314D3" w:rsidRDefault="008C7EA3" w:rsidP="003A0B78">
            <w:pPr>
              <w:rPr>
                <w:rFonts w:cs="Times New Roman"/>
                <w:b w:val="0"/>
                <w:szCs w:val="24"/>
              </w:rPr>
            </w:pPr>
            <w:r w:rsidRPr="000314D3">
              <w:rPr>
                <w:rFonts w:cs="Times New Roman"/>
                <w:b w:val="0"/>
                <w:szCs w:val="24"/>
              </w:rPr>
              <w:t>Transfery podnikatelským subjektům</w:t>
            </w:r>
          </w:p>
        </w:tc>
        <w:tc>
          <w:tcPr>
            <w:tcW w:w="2193" w:type="dxa"/>
            <w:tcBorders>
              <w:top w:val="single" w:sz="8" w:space="0" w:color="7F7F7F" w:themeColor="text1" w:themeTint="80"/>
              <w:left w:val="single" w:sz="4" w:space="0" w:color="7F7F7F" w:themeColor="text1" w:themeTint="80"/>
              <w:bottom w:val="nil"/>
              <w:right w:val="single" w:sz="8" w:space="0" w:color="7F7F7F" w:themeColor="text1" w:themeTint="80"/>
            </w:tcBorders>
            <w:shd w:val="clear" w:color="auto" w:fill="auto"/>
            <w:vAlign w:val="center"/>
          </w:tcPr>
          <w:p w:rsidR="008C7EA3" w:rsidRPr="000314D3"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b/>
                <w:szCs w:val="24"/>
              </w:rPr>
            </w:pPr>
            <w:r w:rsidRPr="000314D3">
              <w:rPr>
                <w:rFonts w:cs="Times New Roman"/>
                <w:szCs w:val="24"/>
              </w:rPr>
              <w:t>1 050 440 tis. Kč</w:t>
            </w:r>
          </w:p>
        </w:tc>
      </w:tr>
      <w:tr w:rsidR="008C7EA3" w:rsidRPr="001A0CD7" w:rsidTr="003A0B78">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8C7EA3" w:rsidRPr="000314D3" w:rsidRDefault="006B3975" w:rsidP="003A0B78">
            <w:pPr>
              <w:ind w:left="720" w:hanging="720"/>
              <w:rPr>
                <w:rFonts w:cs="Times New Roman"/>
                <w:b w:val="0"/>
                <w:i/>
                <w:szCs w:val="24"/>
              </w:rPr>
            </w:pPr>
            <w:r>
              <w:rPr>
                <w:rFonts w:cs="Times New Roman"/>
                <w:b w:val="0"/>
                <w:i/>
                <w:szCs w:val="24"/>
              </w:rPr>
              <w:t>v tom:OP</w:t>
            </w:r>
            <w:r w:rsidR="008C7EA3" w:rsidRPr="000314D3">
              <w:rPr>
                <w:rFonts w:cs="Times New Roman"/>
                <w:b w:val="0"/>
                <w:i/>
                <w:szCs w:val="24"/>
              </w:rPr>
              <w:t xml:space="preserve"> Doprava 2014 - 2020  </w:t>
            </w:r>
          </w:p>
          <w:p w:rsidR="008C7EA3" w:rsidRPr="000314D3" w:rsidRDefault="008C7EA3" w:rsidP="003A0B78">
            <w:pPr>
              <w:ind w:left="720" w:hanging="720"/>
              <w:rPr>
                <w:rFonts w:cs="Times New Roman"/>
                <w:b w:val="0"/>
                <w:i/>
                <w:szCs w:val="24"/>
              </w:rPr>
            </w:pPr>
            <w:r w:rsidRPr="000314D3">
              <w:rPr>
                <w:rFonts w:cs="Times New Roman"/>
                <w:b w:val="0"/>
                <w:i/>
                <w:szCs w:val="24"/>
              </w:rPr>
              <w:t xml:space="preserve">          v tom: 127 77 Podpora financování dopravy </w:t>
            </w:r>
          </w:p>
          <w:p w:rsidR="008C7EA3" w:rsidRPr="000314D3" w:rsidRDefault="008C7EA3" w:rsidP="003A0B78">
            <w:pPr>
              <w:ind w:left="720" w:hanging="720"/>
              <w:rPr>
                <w:rFonts w:cs="Times New Roman"/>
                <w:b w:val="0"/>
                <w:i/>
                <w:szCs w:val="24"/>
              </w:rPr>
            </w:pPr>
            <w:r w:rsidRPr="000314D3">
              <w:rPr>
                <w:rFonts w:cs="Times New Roman"/>
                <w:b w:val="0"/>
                <w:i/>
                <w:szCs w:val="24"/>
              </w:rPr>
              <w:t xml:space="preserve">       </w:t>
            </w:r>
            <w:r w:rsidR="00A76297">
              <w:rPr>
                <w:rFonts w:cs="Times New Roman"/>
                <w:b w:val="0"/>
                <w:i/>
                <w:szCs w:val="24"/>
              </w:rPr>
              <w:t xml:space="preserve"> </w:t>
            </w:r>
            <w:r w:rsidRPr="000314D3">
              <w:rPr>
                <w:rFonts w:cs="Times New Roman"/>
                <w:b w:val="0"/>
                <w:i/>
                <w:szCs w:val="24"/>
              </w:rPr>
              <w:t xml:space="preserve">  Komunitární programy</w:t>
            </w:r>
          </w:p>
          <w:p w:rsidR="008C7EA3" w:rsidRPr="000314D3" w:rsidRDefault="008C7EA3" w:rsidP="003A0B78">
            <w:pPr>
              <w:ind w:left="720" w:hanging="720"/>
              <w:rPr>
                <w:rFonts w:cs="Times New Roman"/>
                <w:b w:val="0"/>
                <w:i/>
                <w:szCs w:val="24"/>
              </w:rPr>
            </w:pPr>
            <w:r w:rsidRPr="000314D3">
              <w:rPr>
                <w:rFonts w:cs="Times New Roman"/>
                <w:b w:val="0"/>
                <w:i/>
                <w:szCs w:val="24"/>
              </w:rPr>
              <w:t xml:space="preserve">       </w:t>
            </w:r>
            <w:r w:rsidR="00A76297">
              <w:rPr>
                <w:rFonts w:cs="Times New Roman"/>
                <w:b w:val="0"/>
                <w:i/>
                <w:szCs w:val="24"/>
              </w:rPr>
              <w:t xml:space="preserve">  </w:t>
            </w:r>
            <w:r w:rsidRPr="000314D3">
              <w:rPr>
                <w:rFonts w:cs="Times New Roman"/>
                <w:b w:val="0"/>
                <w:i/>
                <w:szCs w:val="24"/>
              </w:rPr>
              <w:t xml:space="preserve"> z toho: 127 77 Podpora financování dopravy</w:t>
            </w:r>
          </w:p>
        </w:tc>
        <w:tc>
          <w:tcPr>
            <w:tcW w:w="2193" w:type="dxa"/>
            <w:tcBorders>
              <w:top w:val="nil"/>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rsidR="008C7EA3" w:rsidRPr="000314D3"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314D3">
              <w:rPr>
                <w:rFonts w:cs="Times New Roman"/>
                <w:i/>
                <w:szCs w:val="24"/>
              </w:rPr>
              <w:t>988 103 tis. Kč</w:t>
            </w:r>
          </w:p>
          <w:p w:rsidR="008C7EA3" w:rsidRPr="000314D3"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314D3">
              <w:rPr>
                <w:rFonts w:cs="Times New Roman"/>
                <w:i/>
                <w:szCs w:val="24"/>
              </w:rPr>
              <w:t>988 103 tis. Kč</w:t>
            </w:r>
          </w:p>
          <w:p w:rsidR="008C7EA3" w:rsidRPr="000314D3"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314D3">
              <w:rPr>
                <w:rFonts w:cs="Times New Roman"/>
                <w:i/>
                <w:szCs w:val="24"/>
              </w:rPr>
              <w:t>62 337 tis. Kč</w:t>
            </w:r>
          </w:p>
          <w:p w:rsidR="008C7EA3" w:rsidRPr="000314D3"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314D3">
              <w:rPr>
                <w:rFonts w:cs="Times New Roman"/>
                <w:i/>
                <w:szCs w:val="24"/>
              </w:rPr>
              <w:t>42 500 tis. Kč</w:t>
            </w:r>
          </w:p>
        </w:tc>
      </w:tr>
    </w:tbl>
    <w:p w:rsidR="008C7EA3" w:rsidRPr="009A0DA0" w:rsidRDefault="008C7EA3" w:rsidP="00CF4AED">
      <w:pPr>
        <w:pStyle w:val="Nadpis9"/>
      </w:pPr>
      <w:r w:rsidRPr="009A0DA0">
        <w:t>Výdaje spojené s předsednictvím ČR v Radě EU</w:t>
      </w:r>
    </w:p>
    <w:p w:rsidR="008C7EA3" w:rsidRPr="009A0DA0" w:rsidRDefault="008C7EA3" w:rsidP="00CF4AED">
      <w:pPr>
        <w:pStyle w:val="Styl1"/>
        <w:numPr>
          <w:ilvl w:val="0"/>
          <w:numId w:val="33"/>
        </w:numPr>
        <w:spacing w:before="180" w:after="180"/>
        <w:ind w:left="568" w:hanging="284"/>
      </w:pPr>
      <w:r w:rsidRPr="009A0DA0">
        <w:t xml:space="preserve">financované z prostředků státního rozpočtu (3 420 tis. Kč)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857"/>
        <w:gridCol w:w="2193"/>
      </w:tblGrid>
      <w:tr w:rsidR="008C7EA3" w:rsidRPr="009A0DA0" w:rsidTr="003A0B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7" w:type="dxa"/>
            <w:tcBorders>
              <w:bottom w:val="single" w:sz="8" w:space="0" w:color="7F7F7F" w:themeColor="text1" w:themeTint="80"/>
            </w:tcBorders>
            <w:shd w:val="clear" w:color="auto" w:fill="auto"/>
          </w:tcPr>
          <w:p w:rsidR="008C7EA3" w:rsidRPr="009A0DA0" w:rsidRDefault="008C7EA3" w:rsidP="003A0B78">
            <w:pPr>
              <w:rPr>
                <w:rFonts w:cs="Times New Roman"/>
                <w:szCs w:val="24"/>
              </w:rPr>
            </w:pPr>
            <w:r w:rsidRPr="009A0DA0">
              <w:rPr>
                <w:rFonts w:cs="Times New Roman"/>
                <w:szCs w:val="24"/>
              </w:rPr>
              <w:t xml:space="preserve">Výdaje spojené s předsednictvím ČR v Radě EU </w:t>
            </w:r>
            <w:r w:rsidRPr="009A0DA0">
              <w:rPr>
                <w:rFonts w:cs="Times New Roman"/>
                <w:b w:val="0"/>
              </w:rPr>
              <w:t>(v tom:)</w:t>
            </w:r>
          </w:p>
        </w:tc>
        <w:tc>
          <w:tcPr>
            <w:tcW w:w="2193" w:type="dxa"/>
            <w:tcBorders>
              <w:bottom w:val="single" w:sz="8" w:space="0" w:color="7F7F7F" w:themeColor="text1" w:themeTint="80"/>
            </w:tcBorders>
            <w:shd w:val="clear" w:color="auto" w:fill="auto"/>
          </w:tcPr>
          <w:p w:rsidR="008C7EA3" w:rsidRPr="009A0DA0" w:rsidRDefault="008C7EA3" w:rsidP="003A0B78">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9A0DA0">
              <w:rPr>
                <w:rFonts w:cs="Times New Roman"/>
                <w:szCs w:val="24"/>
              </w:rPr>
              <w:t>3 420 tis. Kč</w:t>
            </w:r>
          </w:p>
        </w:tc>
      </w:tr>
      <w:tr w:rsidR="008C7EA3" w:rsidRPr="009A0DA0" w:rsidTr="003A0B78">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8C7EA3" w:rsidRPr="009A0DA0" w:rsidRDefault="008C7EA3" w:rsidP="003A0B78">
            <w:pPr>
              <w:rPr>
                <w:rFonts w:cs="Times New Roman"/>
                <w:b w:val="0"/>
                <w:szCs w:val="24"/>
              </w:rPr>
            </w:pPr>
            <w:r w:rsidRPr="009A0DA0">
              <w:rPr>
                <w:rFonts w:cs="Times New Roman"/>
                <w:b w:val="0"/>
                <w:szCs w:val="24"/>
              </w:rPr>
              <w:t>Výdaje ústředního orgánu MD</w:t>
            </w:r>
          </w:p>
        </w:tc>
        <w:tc>
          <w:tcPr>
            <w:tcW w:w="2193" w:type="dxa"/>
            <w:tcBorders>
              <w:top w:val="single" w:sz="8" w:space="0" w:color="7F7F7F" w:themeColor="text1" w:themeTint="80"/>
              <w:bottom w:val="single" w:sz="8" w:space="0" w:color="7F7F7F" w:themeColor="text1" w:themeTint="80"/>
            </w:tcBorders>
            <w:shd w:val="clear" w:color="auto" w:fill="auto"/>
            <w:vAlign w:val="center"/>
          </w:tcPr>
          <w:p w:rsidR="008C7EA3" w:rsidRPr="009A0DA0" w:rsidRDefault="008C7EA3" w:rsidP="003A0B78">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9A0DA0">
              <w:rPr>
                <w:rFonts w:cs="Times New Roman"/>
                <w:szCs w:val="24"/>
              </w:rPr>
              <w:t xml:space="preserve">3 420 tis. Kč </w:t>
            </w:r>
          </w:p>
        </w:tc>
      </w:tr>
    </w:tbl>
    <w:p w:rsidR="008C7EA3" w:rsidRPr="009A0DA0" w:rsidRDefault="008C7EA3" w:rsidP="008C7EA3">
      <w:pPr>
        <w:spacing w:before="120"/>
        <w:rPr>
          <w:rFonts w:cs="Times New Roman"/>
          <w:i/>
          <w:szCs w:val="24"/>
        </w:rPr>
      </w:pPr>
      <w:r w:rsidRPr="009A0DA0">
        <w:rPr>
          <w:rFonts w:cs="Times New Roman"/>
          <w:i/>
          <w:szCs w:val="24"/>
          <w:u w:val="single"/>
        </w:rPr>
        <w:t>Poznámka:</w:t>
      </w:r>
      <w:r w:rsidRPr="009A0DA0">
        <w:rPr>
          <w:rFonts w:cs="Times New Roman"/>
          <w:i/>
          <w:szCs w:val="24"/>
        </w:rPr>
        <w:t xml:space="preserve"> </w:t>
      </w:r>
    </w:p>
    <w:p w:rsidR="008C7EA3" w:rsidRPr="009A0DA0" w:rsidRDefault="008C7EA3" w:rsidP="008C7EA3">
      <w:pPr>
        <w:pStyle w:val="obyctext"/>
        <w:ind w:firstLine="0"/>
        <w:rPr>
          <w:i/>
          <w:sz w:val="20"/>
          <w:szCs w:val="20"/>
        </w:rPr>
      </w:pPr>
      <w:r w:rsidRPr="009A0DA0">
        <w:rPr>
          <w:i/>
          <w:sz w:val="20"/>
          <w:szCs w:val="20"/>
          <w:vertAlign w:val="superscript"/>
        </w:rPr>
        <w:t xml:space="preserve">*) </w:t>
      </w:r>
      <w:r w:rsidRPr="009A0DA0">
        <w:rPr>
          <w:i/>
          <w:sz w:val="20"/>
          <w:szCs w:val="20"/>
        </w:rPr>
        <w:t xml:space="preserve">Výdaje organizačních složek státu jsou uvedené včetně programu 127 03 „Rozvoj a obnova mat. techn. základny systému řízení MD – OSS“ </w:t>
      </w:r>
    </w:p>
    <w:p w:rsidR="008C7EA3" w:rsidRPr="009A0DA0" w:rsidRDefault="008C7EA3" w:rsidP="008C7EA3">
      <w:pPr>
        <w:pStyle w:val="obyctext"/>
        <w:ind w:firstLine="0"/>
        <w:rPr>
          <w:i/>
          <w:sz w:val="20"/>
          <w:szCs w:val="20"/>
        </w:rPr>
      </w:pPr>
      <w:r w:rsidRPr="009A0DA0">
        <w:rPr>
          <w:i/>
          <w:sz w:val="20"/>
          <w:szCs w:val="20"/>
          <w:vertAlign w:val="superscript"/>
        </w:rPr>
        <w:t>**)</w:t>
      </w:r>
      <w:r w:rsidRPr="009A0DA0">
        <w:rPr>
          <w:i/>
          <w:sz w:val="20"/>
          <w:szCs w:val="20"/>
        </w:rPr>
        <w:t xml:space="preserve"> Výdaje příspěvkových organizací jsou uvedené včetně programu 127 06 „Rozvoj a obnova mat. techn. základny systému řízení MD – PO, SFDI“</w:t>
      </w:r>
    </w:p>
    <w:p w:rsidR="008C7EA3" w:rsidRPr="009A0DA0" w:rsidRDefault="008C7EA3" w:rsidP="008C7EA3">
      <w:pPr>
        <w:pStyle w:val="Styl1"/>
      </w:pPr>
      <w:r w:rsidRPr="009A0DA0">
        <w:t>Uvedené výdaje jsou podrobněji rozepsány v dalším textu.</w:t>
      </w:r>
    </w:p>
    <w:p w:rsidR="00F624F2" w:rsidRPr="001B037B" w:rsidRDefault="00F624F2" w:rsidP="003A20EE">
      <w:pPr>
        <w:pStyle w:val="Nadpis2"/>
      </w:pPr>
      <w:bookmarkStart w:id="38" w:name="_Toc462314389"/>
      <w:bookmarkStart w:id="39" w:name="_Toc53750566"/>
      <w:r w:rsidRPr="001B037B">
        <w:lastRenderedPageBreak/>
        <w:t>Běžné výdaje</w:t>
      </w:r>
      <w:bookmarkEnd w:id="38"/>
      <w:bookmarkEnd w:id="39"/>
    </w:p>
    <w:p w:rsidR="006F225C" w:rsidRPr="001B037B" w:rsidRDefault="006F225C" w:rsidP="00F11D45">
      <w:pPr>
        <w:pStyle w:val="Titulek"/>
        <w:keepNext/>
      </w:pPr>
      <w:bookmarkStart w:id="40" w:name="_Toc241565630"/>
      <w:bookmarkStart w:id="41" w:name="_Toc368665062"/>
      <w:r w:rsidRPr="001B037B">
        <w:t>Tabulka</w:t>
      </w:r>
      <w:r w:rsidR="00F11D45" w:rsidRPr="001B037B">
        <w:t xml:space="preserve"> č.</w:t>
      </w:r>
      <w:r w:rsidRPr="001B037B">
        <w:t xml:space="preserve"> </w:t>
      </w:r>
      <w:r w:rsidR="0001421C" w:rsidRPr="001B037B">
        <w:rPr>
          <w:noProof/>
        </w:rPr>
        <w:fldChar w:fldCharType="begin"/>
      </w:r>
      <w:r w:rsidR="0001421C" w:rsidRPr="001B037B">
        <w:rPr>
          <w:noProof/>
        </w:rPr>
        <w:instrText xml:space="preserve"> SEQ Tabulka \* ARABIC </w:instrText>
      </w:r>
      <w:r w:rsidR="0001421C" w:rsidRPr="001B037B">
        <w:rPr>
          <w:noProof/>
        </w:rPr>
        <w:fldChar w:fldCharType="separate"/>
      </w:r>
      <w:r w:rsidR="006076E7">
        <w:rPr>
          <w:noProof/>
        </w:rPr>
        <w:t>8</w:t>
      </w:r>
      <w:r w:rsidR="0001421C" w:rsidRPr="001B037B">
        <w:rPr>
          <w:noProof/>
        </w:rPr>
        <w:fldChar w:fldCharType="end"/>
      </w:r>
      <w:r w:rsidR="00F11D45" w:rsidRPr="001B037B">
        <w:t xml:space="preserve"> Běžné výdaje celkem (v tis. Kč)</w:t>
      </w:r>
    </w:p>
    <w:tbl>
      <w:tblPr>
        <w:tblStyle w:val="Svtltabulkasmkou1zvraznn1"/>
        <w:tblW w:w="950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2"/>
        <w:gridCol w:w="1418"/>
        <w:gridCol w:w="1417"/>
        <w:gridCol w:w="1418"/>
        <w:gridCol w:w="997"/>
      </w:tblGrid>
      <w:tr w:rsidR="00A52449" w:rsidRPr="00F95459" w:rsidTr="002242A2">
        <w:tc>
          <w:tcPr>
            <w:tcW w:w="425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A52449" w:rsidRPr="00F95459" w:rsidRDefault="00A52449" w:rsidP="002242A2">
            <w:pPr>
              <w:jc w:val="center"/>
              <w:rPr>
                <w:b/>
              </w:rPr>
            </w:pPr>
            <w:bookmarkStart w:id="42" w:name="_Toc462314391"/>
            <w:bookmarkEnd w:id="40"/>
            <w:bookmarkEnd w:id="41"/>
            <w:r w:rsidRPr="00F95459">
              <w:t xml:space="preserve">   </w:t>
            </w:r>
            <w:r w:rsidRPr="00F95459">
              <w:rPr>
                <w:b/>
              </w:rPr>
              <w:t>Ukazatel</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A52449" w:rsidRPr="00F95459" w:rsidRDefault="00A52449" w:rsidP="002242A2">
            <w:pPr>
              <w:ind w:right="15"/>
              <w:jc w:val="center"/>
              <w:rPr>
                <w:b/>
              </w:rPr>
            </w:pPr>
            <w:r w:rsidRPr="00F95459">
              <w:rPr>
                <w:b/>
              </w:rPr>
              <w:t>Skutečnost</w:t>
            </w:r>
          </w:p>
          <w:p w:rsidR="00A52449" w:rsidRPr="00F95459" w:rsidRDefault="00A52449" w:rsidP="002242A2">
            <w:pPr>
              <w:ind w:right="15"/>
              <w:jc w:val="center"/>
              <w:rPr>
                <w:b/>
              </w:rPr>
            </w:pPr>
            <w:r w:rsidRPr="00F95459">
              <w:rPr>
                <w:b/>
              </w:rPr>
              <w:t>2019</w:t>
            </w:r>
          </w:p>
        </w:tc>
        <w:tc>
          <w:tcPr>
            <w:tcW w:w="141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A52449" w:rsidRPr="00F95459" w:rsidRDefault="00A52449" w:rsidP="002242A2">
            <w:pPr>
              <w:jc w:val="center"/>
              <w:rPr>
                <w:b/>
              </w:rPr>
            </w:pPr>
            <w:r w:rsidRPr="00F95459">
              <w:rPr>
                <w:b/>
              </w:rPr>
              <w:t>Schválený</w:t>
            </w:r>
          </w:p>
          <w:p w:rsidR="00A52449" w:rsidRPr="00F95459" w:rsidRDefault="00A52449" w:rsidP="002242A2">
            <w:pPr>
              <w:jc w:val="center"/>
              <w:rPr>
                <w:b/>
              </w:rPr>
            </w:pPr>
            <w:r w:rsidRPr="00F95459">
              <w:rPr>
                <w:b/>
              </w:rPr>
              <w:t>rozpočet</w:t>
            </w:r>
          </w:p>
          <w:p w:rsidR="00A52449" w:rsidRPr="00F95459" w:rsidRDefault="00A52449" w:rsidP="002242A2">
            <w:pPr>
              <w:jc w:val="center"/>
              <w:rPr>
                <w:b/>
              </w:rPr>
            </w:pPr>
            <w:r w:rsidRPr="00F95459">
              <w:rPr>
                <w:b/>
              </w:rPr>
              <w:t>2020</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A52449" w:rsidRPr="00F95459" w:rsidRDefault="00A52449" w:rsidP="002242A2">
            <w:pPr>
              <w:jc w:val="center"/>
              <w:rPr>
                <w:b/>
              </w:rPr>
            </w:pPr>
            <w:r w:rsidRPr="00F95459">
              <w:rPr>
                <w:b/>
              </w:rPr>
              <w:t>Návrh</w:t>
            </w:r>
          </w:p>
          <w:p w:rsidR="00A52449" w:rsidRPr="00F95459" w:rsidRDefault="00A52449" w:rsidP="002242A2">
            <w:pPr>
              <w:jc w:val="center"/>
              <w:rPr>
                <w:b/>
              </w:rPr>
            </w:pPr>
            <w:r w:rsidRPr="00F95459">
              <w:rPr>
                <w:b/>
              </w:rPr>
              <w:t>rozpočtu</w:t>
            </w:r>
          </w:p>
          <w:p w:rsidR="00A52449" w:rsidRPr="00F95459" w:rsidRDefault="00A52449" w:rsidP="002242A2">
            <w:pPr>
              <w:jc w:val="center"/>
              <w:rPr>
                <w:b/>
              </w:rPr>
            </w:pPr>
            <w:r w:rsidRPr="00F95459">
              <w:rPr>
                <w:b/>
              </w:rPr>
              <w:t>2021</w:t>
            </w:r>
          </w:p>
        </w:tc>
        <w:tc>
          <w:tcPr>
            <w:tcW w:w="99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A52449" w:rsidRPr="00F95459" w:rsidRDefault="00A52449" w:rsidP="002242A2">
            <w:pPr>
              <w:jc w:val="center"/>
              <w:rPr>
                <w:b/>
              </w:rPr>
            </w:pPr>
            <w:r w:rsidRPr="00F95459">
              <w:rPr>
                <w:b/>
              </w:rPr>
              <w:t>Index</w:t>
            </w:r>
          </w:p>
          <w:p w:rsidR="00A52449" w:rsidRPr="00F95459" w:rsidRDefault="00A52449" w:rsidP="002242A2">
            <w:pPr>
              <w:jc w:val="center"/>
              <w:rPr>
                <w:b/>
              </w:rPr>
            </w:pPr>
            <w:r w:rsidRPr="00F95459">
              <w:rPr>
                <w:b/>
              </w:rPr>
              <w:t>2021/</w:t>
            </w:r>
          </w:p>
          <w:p w:rsidR="00A52449" w:rsidRPr="00F95459" w:rsidRDefault="00A52449" w:rsidP="002242A2">
            <w:pPr>
              <w:jc w:val="center"/>
              <w:rPr>
                <w:b/>
              </w:rPr>
            </w:pPr>
            <w:r w:rsidRPr="00F95459">
              <w:rPr>
                <w:b/>
              </w:rPr>
              <w:t>2020</w:t>
            </w:r>
          </w:p>
          <w:p w:rsidR="00A52449" w:rsidRPr="00F95459" w:rsidRDefault="00A52449" w:rsidP="002242A2">
            <w:pPr>
              <w:jc w:val="center"/>
              <w:rPr>
                <w:b/>
              </w:rPr>
            </w:pPr>
            <w:r w:rsidRPr="00F95459">
              <w:rPr>
                <w:b/>
              </w:rPr>
              <w:t>(v %)</w:t>
            </w:r>
          </w:p>
        </w:tc>
      </w:tr>
      <w:tr w:rsidR="00A52449" w:rsidRPr="00F95459" w:rsidTr="002242A2">
        <w:tc>
          <w:tcPr>
            <w:tcW w:w="4252" w:type="dxa"/>
            <w:tcBorders>
              <w:top w:val="single" w:sz="4" w:space="0" w:color="7F7F7F" w:themeColor="text1" w:themeTint="80"/>
              <w:bottom w:val="single" w:sz="8" w:space="0" w:color="7F7F7F" w:themeColor="text1" w:themeTint="80"/>
            </w:tcBorders>
            <w:shd w:val="clear" w:color="auto" w:fill="auto"/>
          </w:tcPr>
          <w:p w:rsidR="00A52449" w:rsidRPr="00F95459" w:rsidRDefault="00A52449" w:rsidP="002242A2">
            <w:pPr>
              <w:jc w:val="center"/>
            </w:pPr>
            <w:r w:rsidRPr="00F95459">
              <w:t>a</w:t>
            </w:r>
          </w:p>
        </w:tc>
        <w:tc>
          <w:tcPr>
            <w:tcW w:w="1418" w:type="dxa"/>
            <w:tcBorders>
              <w:top w:val="single" w:sz="4" w:space="0" w:color="7F7F7F" w:themeColor="text1" w:themeTint="80"/>
              <w:bottom w:val="single" w:sz="8" w:space="0" w:color="7F7F7F" w:themeColor="text1" w:themeTint="80"/>
            </w:tcBorders>
            <w:shd w:val="clear" w:color="auto" w:fill="auto"/>
          </w:tcPr>
          <w:p w:rsidR="00A52449" w:rsidRPr="00F95459" w:rsidRDefault="00A52449" w:rsidP="002242A2">
            <w:pPr>
              <w:ind w:right="15"/>
              <w:jc w:val="center"/>
            </w:pPr>
            <w:r w:rsidRPr="00F95459">
              <w:t>1</w:t>
            </w:r>
          </w:p>
        </w:tc>
        <w:tc>
          <w:tcPr>
            <w:tcW w:w="1417" w:type="dxa"/>
            <w:tcBorders>
              <w:top w:val="single" w:sz="4" w:space="0" w:color="7F7F7F" w:themeColor="text1" w:themeTint="80"/>
              <w:bottom w:val="single" w:sz="8" w:space="0" w:color="7F7F7F" w:themeColor="text1" w:themeTint="80"/>
            </w:tcBorders>
            <w:shd w:val="clear" w:color="auto" w:fill="auto"/>
          </w:tcPr>
          <w:p w:rsidR="00A52449" w:rsidRPr="00F95459" w:rsidRDefault="00A52449" w:rsidP="002242A2">
            <w:pPr>
              <w:jc w:val="center"/>
            </w:pPr>
            <w:r w:rsidRPr="00F95459">
              <w:t>2</w:t>
            </w:r>
          </w:p>
        </w:tc>
        <w:tc>
          <w:tcPr>
            <w:tcW w:w="1418" w:type="dxa"/>
            <w:tcBorders>
              <w:top w:val="single" w:sz="4" w:space="0" w:color="7F7F7F" w:themeColor="text1" w:themeTint="80"/>
              <w:bottom w:val="single" w:sz="8" w:space="0" w:color="7F7F7F" w:themeColor="text1" w:themeTint="80"/>
            </w:tcBorders>
            <w:shd w:val="clear" w:color="auto" w:fill="auto"/>
          </w:tcPr>
          <w:p w:rsidR="00A52449" w:rsidRPr="00F95459" w:rsidRDefault="00A52449" w:rsidP="002242A2">
            <w:pPr>
              <w:jc w:val="center"/>
            </w:pPr>
            <w:r w:rsidRPr="00F95459">
              <w:t>3</w:t>
            </w:r>
          </w:p>
        </w:tc>
        <w:tc>
          <w:tcPr>
            <w:tcW w:w="997" w:type="dxa"/>
            <w:tcBorders>
              <w:top w:val="single" w:sz="4" w:space="0" w:color="7F7F7F" w:themeColor="text1" w:themeTint="80"/>
              <w:bottom w:val="single" w:sz="8" w:space="0" w:color="7F7F7F" w:themeColor="text1" w:themeTint="80"/>
            </w:tcBorders>
            <w:shd w:val="clear" w:color="auto" w:fill="auto"/>
          </w:tcPr>
          <w:p w:rsidR="00A52449" w:rsidRPr="00F95459" w:rsidRDefault="00A52449" w:rsidP="002242A2">
            <w:pPr>
              <w:jc w:val="center"/>
            </w:pPr>
            <w:r w:rsidRPr="00F95459">
              <w:t>4</w:t>
            </w:r>
          </w:p>
        </w:tc>
      </w:tr>
      <w:tr w:rsidR="00A52449" w:rsidRPr="00F95459" w:rsidTr="002242A2">
        <w:trPr>
          <w:trHeight w:hRule="exact" w:val="737"/>
        </w:trPr>
        <w:tc>
          <w:tcPr>
            <w:tcW w:w="4252" w:type="dxa"/>
            <w:tcBorders>
              <w:top w:val="single" w:sz="8" w:space="0" w:color="7F7F7F" w:themeColor="text1" w:themeTint="80"/>
              <w:bottom w:val="nil"/>
            </w:tcBorders>
            <w:shd w:val="clear" w:color="auto" w:fill="auto"/>
          </w:tcPr>
          <w:p w:rsidR="00A52449" w:rsidRPr="00F95459" w:rsidRDefault="00A52449" w:rsidP="002242A2">
            <w:pPr>
              <w:rPr>
                <w:iCs/>
                <w:sz w:val="20"/>
                <w:szCs w:val="20"/>
              </w:rPr>
            </w:pPr>
            <w:r w:rsidRPr="00F95459">
              <w:rPr>
                <w:b/>
                <w:iCs/>
                <w:sz w:val="20"/>
                <w:szCs w:val="20"/>
              </w:rPr>
              <w:t>Běžné výdaje organizačních složek státu bez podsesk.   521, 522, 531, 532, 533, 551, 553, 554, 561  a položky 5193 v tom:</w:t>
            </w:r>
          </w:p>
        </w:tc>
        <w:tc>
          <w:tcPr>
            <w:tcW w:w="1418" w:type="dxa"/>
            <w:tcBorders>
              <w:top w:val="single" w:sz="8" w:space="0" w:color="7F7F7F" w:themeColor="text1" w:themeTint="80"/>
              <w:bottom w:val="nil"/>
            </w:tcBorders>
            <w:shd w:val="clear" w:color="auto" w:fill="auto"/>
          </w:tcPr>
          <w:p w:rsidR="00A52449" w:rsidRPr="00F95459" w:rsidRDefault="00A52449" w:rsidP="002242A2">
            <w:pPr>
              <w:jc w:val="right"/>
              <w:rPr>
                <w:b/>
                <w:color w:val="FF0000"/>
                <w:sz w:val="20"/>
                <w:szCs w:val="20"/>
              </w:rPr>
            </w:pPr>
          </w:p>
          <w:p w:rsidR="00A52449" w:rsidRPr="00F95459" w:rsidRDefault="00A52449" w:rsidP="002242A2">
            <w:pPr>
              <w:jc w:val="right"/>
              <w:rPr>
                <w:b/>
                <w:color w:val="FF0000"/>
                <w:sz w:val="20"/>
                <w:szCs w:val="20"/>
              </w:rPr>
            </w:pPr>
          </w:p>
          <w:p w:rsidR="00A52449" w:rsidRPr="00F95459" w:rsidRDefault="00A52449" w:rsidP="002242A2">
            <w:pPr>
              <w:jc w:val="right"/>
              <w:rPr>
                <w:b/>
                <w:color w:val="FF0000"/>
                <w:sz w:val="20"/>
                <w:szCs w:val="20"/>
              </w:rPr>
            </w:pPr>
            <w:r w:rsidRPr="00F95459">
              <w:rPr>
                <w:b/>
                <w:sz w:val="20"/>
                <w:szCs w:val="20"/>
              </w:rPr>
              <w:t>7 232 112</w:t>
            </w:r>
          </w:p>
        </w:tc>
        <w:tc>
          <w:tcPr>
            <w:tcW w:w="1417" w:type="dxa"/>
            <w:tcBorders>
              <w:top w:val="single" w:sz="8" w:space="0" w:color="7F7F7F" w:themeColor="text1" w:themeTint="80"/>
              <w:bottom w:val="nil"/>
            </w:tcBorders>
            <w:shd w:val="clear" w:color="auto" w:fill="auto"/>
            <w:vAlign w:val="bottom"/>
          </w:tcPr>
          <w:p w:rsidR="00A52449" w:rsidRPr="00F95459" w:rsidRDefault="00A52449" w:rsidP="002242A2">
            <w:pPr>
              <w:spacing w:before="240"/>
              <w:jc w:val="right"/>
              <w:rPr>
                <w:b/>
                <w:sz w:val="20"/>
                <w:szCs w:val="20"/>
              </w:rPr>
            </w:pPr>
            <w:r w:rsidRPr="00F95459">
              <w:rPr>
                <w:b/>
                <w:sz w:val="20"/>
                <w:szCs w:val="20"/>
              </w:rPr>
              <w:t>5 659 753</w:t>
            </w:r>
          </w:p>
        </w:tc>
        <w:tc>
          <w:tcPr>
            <w:tcW w:w="1418" w:type="dxa"/>
            <w:tcBorders>
              <w:top w:val="single" w:sz="8" w:space="0" w:color="7F7F7F" w:themeColor="text1" w:themeTint="80"/>
              <w:bottom w:val="nil"/>
            </w:tcBorders>
            <w:shd w:val="clear" w:color="auto" w:fill="auto"/>
            <w:vAlign w:val="bottom"/>
          </w:tcPr>
          <w:p w:rsidR="00A52449" w:rsidRPr="00BC1123" w:rsidRDefault="00A52449" w:rsidP="002242A2">
            <w:pPr>
              <w:spacing w:before="240"/>
              <w:jc w:val="right"/>
              <w:rPr>
                <w:b/>
                <w:color w:val="FF0000"/>
                <w:sz w:val="20"/>
                <w:szCs w:val="20"/>
              </w:rPr>
            </w:pPr>
            <w:r w:rsidRPr="0031680C">
              <w:rPr>
                <w:b/>
                <w:sz w:val="20"/>
                <w:szCs w:val="20"/>
              </w:rPr>
              <w:t>7 653 055</w:t>
            </w:r>
          </w:p>
        </w:tc>
        <w:tc>
          <w:tcPr>
            <w:tcW w:w="997" w:type="dxa"/>
            <w:tcBorders>
              <w:top w:val="single" w:sz="8" w:space="0" w:color="7F7F7F" w:themeColor="text1" w:themeTint="80"/>
              <w:bottom w:val="nil"/>
            </w:tcBorders>
            <w:shd w:val="clear" w:color="auto" w:fill="auto"/>
            <w:vAlign w:val="bottom"/>
          </w:tcPr>
          <w:p w:rsidR="00A52449" w:rsidRPr="00BC1123" w:rsidRDefault="00A52449" w:rsidP="002242A2">
            <w:pPr>
              <w:spacing w:before="240"/>
              <w:jc w:val="right"/>
              <w:rPr>
                <w:b/>
                <w:color w:val="FF0000"/>
                <w:sz w:val="20"/>
                <w:szCs w:val="20"/>
              </w:rPr>
            </w:pPr>
            <w:r w:rsidRPr="00D55F69">
              <w:rPr>
                <w:b/>
                <w:sz w:val="20"/>
                <w:szCs w:val="20"/>
              </w:rPr>
              <w:t>135,22</w:t>
            </w:r>
          </w:p>
        </w:tc>
      </w:tr>
      <w:tr w:rsidR="00A52449" w:rsidRPr="00F95459" w:rsidTr="002242A2">
        <w:trPr>
          <w:trHeight w:val="20"/>
        </w:trPr>
        <w:tc>
          <w:tcPr>
            <w:tcW w:w="4252" w:type="dxa"/>
            <w:tcBorders>
              <w:top w:val="nil"/>
              <w:bottom w:val="nil"/>
            </w:tcBorders>
            <w:shd w:val="clear" w:color="auto" w:fill="auto"/>
          </w:tcPr>
          <w:p w:rsidR="00A52449" w:rsidRPr="00F95459" w:rsidRDefault="00A52449" w:rsidP="002242A2">
            <w:pPr>
              <w:rPr>
                <w:sz w:val="20"/>
                <w:szCs w:val="20"/>
              </w:rPr>
            </w:pPr>
            <w:r w:rsidRPr="00F95459">
              <w:rPr>
                <w:sz w:val="20"/>
                <w:szCs w:val="20"/>
              </w:rPr>
              <w:t>platy zaměstnanců a ostatní platby</w:t>
            </w:r>
          </w:p>
          <w:p w:rsidR="00A52449" w:rsidRPr="00F95459" w:rsidRDefault="00A52449" w:rsidP="002242A2">
            <w:pPr>
              <w:tabs>
                <w:tab w:val="left" w:pos="830"/>
              </w:tabs>
              <w:rPr>
                <w:sz w:val="20"/>
                <w:szCs w:val="20"/>
              </w:rPr>
            </w:pPr>
            <w:r w:rsidRPr="00F95459">
              <w:rPr>
                <w:sz w:val="20"/>
                <w:szCs w:val="20"/>
              </w:rPr>
              <w:t>za provedenou práci</w:t>
            </w:r>
          </w:p>
          <w:p w:rsidR="00A52449" w:rsidRPr="00F95459" w:rsidRDefault="00A52449" w:rsidP="002242A2">
            <w:pPr>
              <w:rPr>
                <w:sz w:val="20"/>
                <w:szCs w:val="20"/>
              </w:rPr>
            </w:pPr>
            <w:r w:rsidRPr="00F95459">
              <w:rPr>
                <w:sz w:val="20"/>
                <w:szCs w:val="20"/>
              </w:rPr>
              <w:t xml:space="preserve">     z toho: prostředky EU</w:t>
            </w:r>
          </w:p>
        </w:tc>
        <w:tc>
          <w:tcPr>
            <w:tcW w:w="1418" w:type="dxa"/>
            <w:tcBorders>
              <w:top w:val="nil"/>
              <w:bottom w:val="nil"/>
            </w:tcBorders>
            <w:shd w:val="clear" w:color="auto" w:fill="auto"/>
          </w:tcPr>
          <w:p w:rsidR="00A52449" w:rsidRPr="00F95459" w:rsidRDefault="00A52449" w:rsidP="002242A2">
            <w:pPr>
              <w:jc w:val="right"/>
              <w:rPr>
                <w:color w:val="FF0000"/>
                <w:sz w:val="20"/>
                <w:szCs w:val="20"/>
              </w:rPr>
            </w:pPr>
          </w:p>
          <w:p w:rsidR="00A52449" w:rsidRPr="00F95459" w:rsidRDefault="00A52449" w:rsidP="002242A2">
            <w:pPr>
              <w:jc w:val="right"/>
              <w:rPr>
                <w:sz w:val="20"/>
                <w:szCs w:val="20"/>
              </w:rPr>
            </w:pPr>
            <w:r w:rsidRPr="00F95459">
              <w:rPr>
                <w:sz w:val="20"/>
                <w:szCs w:val="20"/>
              </w:rPr>
              <w:t>549 791</w:t>
            </w:r>
          </w:p>
          <w:p w:rsidR="00A52449" w:rsidRPr="00F95459" w:rsidRDefault="00A52449" w:rsidP="002242A2">
            <w:pPr>
              <w:jc w:val="right"/>
              <w:rPr>
                <w:color w:val="FF0000"/>
                <w:sz w:val="20"/>
                <w:szCs w:val="20"/>
              </w:rPr>
            </w:pPr>
            <w:r w:rsidRPr="00F95459">
              <w:rPr>
                <w:sz w:val="20"/>
                <w:szCs w:val="20"/>
              </w:rPr>
              <w:t>58 895</w:t>
            </w:r>
          </w:p>
        </w:tc>
        <w:tc>
          <w:tcPr>
            <w:tcW w:w="1417" w:type="dxa"/>
            <w:tcBorders>
              <w:top w:val="nil"/>
              <w:bottom w:val="nil"/>
            </w:tcBorders>
            <w:shd w:val="clear" w:color="auto" w:fill="auto"/>
            <w:vAlign w:val="center"/>
          </w:tcPr>
          <w:p w:rsidR="00A52449" w:rsidRPr="00F95459" w:rsidRDefault="00A52449" w:rsidP="002242A2">
            <w:pPr>
              <w:jc w:val="right"/>
              <w:rPr>
                <w:sz w:val="20"/>
                <w:szCs w:val="20"/>
              </w:rPr>
            </w:pPr>
          </w:p>
          <w:p w:rsidR="00A52449" w:rsidRPr="00F95459" w:rsidRDefault="00A52449" w:rsidP="002242A2">
            <w:pPr>
              <w:jc w:val="right"/>
              <w:rPr>
                <w:sz w:val="20"/>
                <w:szCs w:val="20"/>
              </w:rPr>
            </w:pPr>
            <w:r w:rsidRPr="00F95459">
              <w:rPr>
                <w:sz w:val="20"/>
                <w:szCs w:val="20"/>
              </w:rPr>
              <w:t xml:space="preserve">545 743 </w:t>
            </w:r>
          </w:p>
          <w:p w:rsidR="00A52449" w:rsidRPr="00F95459" w:rsidRDefault="00A52449" w:rsidP="002242A2">
            <w:pPr>
              <w:jc w:val="right"/>
              <w:rPr>
                <w:sz w:val="20"/>
                <w:szCs w:val="20"/>
              </w:rPr>
            </w:pPr>
            <w:r w:rsidRPr="00F95459">
              <w:rPr>
                <w:sz w:val="20"/>
                <w:szCs w:val="20"/>
              </w:rPr>
              <w:t>46 895</w:t>
            </w:r>
          </w:p>
        </w:tc>
        <w:tc>
          <w:tcPr>
            <w:tcW w:w="1418" w:type="dxa"/>
            <w:tcBorders>
              <w:top w:val="nil"/>
              <w:bottom w:val="nil"/>
            </w:tcBorders>
            <w:shd w:val="clear" w:color="auto" w:fill="auto"/>
            <w:vAlign w:val="center"/>
          </w:tcPr>
          <w:p w:rsidR="00A52449" w:rsidRPr="008971F1" w:rsidRDefault="00A52449" w:rsidP="002242A2">
            <w:pPr>
              <w:jc w:val="right"/>
              <w:rPr>
                <w:sz w:val="20"/>
                <w:szCs w:val="20"/>
              </w:rPr>
            </w:pPr>
          </w:p>
          <w:p w:rsidR="00A52449" w:rsidRPr="008971F1" w:rsidRDefault="00A52449" w:rsidP="002242A2">
            <w:pPr>
              <w:jc w:val="right"/>
              <w:rPr>
                <w:sz w:val="20"/>
                <w:szCs w:val="20"/>
              </w:rPr>
            </w:pPr>
            <w:r w:rsidRPr="008971F1">
              <w:rPr>
                <w:sz w:val="20"/>
                <w:szCs w:val="20"/>
              </w:rPr>
              <w:t xml:space="preserve">557 640 </w:t>
            </w:r>
          </w:p>
          <w:p w:rsidR="00A52449" w:rsidRPr="008971F1" w:rsidRDefault="00A52449" w:rsidP="002242A2">
            <w:pPr>
              <w:jc w:val="right"/>
              <w:rPr>
                <w:sz w:val="20"/>
                <w:szCs w:val="20"/>
              </w:rPr>
            </w:pPr>
            <w:r w:rsidRPr="008971F1">
              <w:rPr>
                <w:sz w:val="20"/>
                <w:szCs w:val="20"/>
              </w:rPr>
              <w:t>54 011</w:t>
            </w:r>
          </w:p>
        </w:tc>
        <w:tc>
          <w:tcPr>
            <w:tcW w:w="997" w:type="dxa"/>
            <w:tcBorders>
              <w:top w:val="nil"/>
              <w:bottom w:val="nil"/>
            </w:tcBorders>
            <w:shd w:val="clear" w:color="auto" w:fill="auto"/>
            <w:vAlign w:val="center"/>
          </w:tcPr>
          <w:p w:rsidR="00A52449" w:rsidRPr="00BC1123" w:rsidRDefault="00A52449" w:rsidP="002242A2">
            <w:pPr>
              <w:jc w:val="right"/>
              <w:rPr>
                <w:color w:val="FF0000"/>
                <w:sz w:val="20"/>
                <w:szCs w:val="20"/>
              </w:rPr>
            </w:pPr>
          </w:p>
          <w:p w:rsidR="00A52449" w:rsidRPr="00D55F69" w:rsidRDefault="00A52449" w:rsidP="002242A2">
            <w:pPr>
              <w:jc w:val="right"/>
              <w:rPr>
                <w:sz w:val="20"/>
                <w:szCs w:val="20"/>
              </w:rPr>
            </w:pPr>
            <w:r w:rsidRPr="00D55F69">
              <w:rPr>
                <w:sz w:val="20"/>
                <w:szCs w:val="20"/>
              </w:rPr>
              <w:t>102,18</w:t>
            </w:r>
          </w:p>
          <w:p w:rsidR="00A52449" w:rsidRPr="00BC1123" w:rsidRDefault="00A52449" w:rsidP="002242A2">
            <w:pPr>
              <w:jc w:val="right"/>
              <w:rPr>
                <w:color w:val="FF0000"/>
                <w:sz w:val="20"/>
                <w:szCs w:val="20"/>
              </w:rPr>
            </w:pPr>
            <w:r>
              <w:rPr>
                <w:color w:val="FF0000"/>
                <w:sz w:val="20"/>
                <w:szCs w:val="20"/>
              </w:rPr>
              <w:t xml:space="preserve">  </w:t>
            </w:r>
            <w:r w:rsidRPr="00D55F69">
              <w:rPr>
                <w:sz w:val="20"/>
                <w:szCs w:val="20"/>
              </w:rPr>
              <w:t xml:space="preserve">115,17        </w:t>
            </w:r>
          </w:p>
        </w:tc>
      </w:tr>
      <w:tr w:rsidR="00A52449" w:rsidRPr="00F95459" w:rsidTr="002242A2">
        <w:tc>
          <w:tcPr>
            <w:tcW w:w="4252" w:type="dxa"/>
            <w:tcBorders>
              <w:top w:val="nil"/>
              <w:bottom w:val="nil"/>
            </w:tcBorders>
            <w:shd w:val="clear" w:color="auto" w:fill="auto"/>
          </w:tcPr>
          <w:p w:rsidR="00A52449" w:rsidRPr="00F95459" w:rsidRDefault="00A52449" w:rsidP="002242A2">
            <w:pPr>
              <w:rPr>
                <w:sz w:val="20"/>
                <w:szCs w:val="20"/>
              </w:rPr>
            </w:pPr>
            <w:r w:rsidRPr="00F95459">
              <w:rPr>
                <w:sz w:val="20"/>
                <w:szCs w:val="20"/>
              </w:rPr>
              <w:t>povinné pojistné placené zaměstnavatelem</w:t>
            </w:r>
          </w:p>
          <w:p w:rsidR="00A52449" w:rsidRPr="00F95459" w:rsidRDefault="00A52449" w:rsidP="002242A2">
            <w:pPr>
              <w:rPr>
                <w:sz w:val="20"/>
                <w:szCs w:val="20"/>
              </w:rPr>
            </w:pPr>
            <w:r w:rsidRPr="00F95459">
              <w:rPr>
                <w:sz w:val="20"/>
                <w:szCs w:val="20"/>
              </w:rPr>
              <w:t xml:space="preserve">     z toho: prostředky EU</w:t>
            </w:r>
          </w:p>
        </w:tc>
        <w:tc>
          <w:tcPr>
            <w:tcW w:w="1418" w:type="dxa"/>
            <w:tcBorders>
              <w:top w:val="nil"/>
              <w:bottom w:val="nil"/>
            </w:tcBorders>
            <w:shd w:val="clear" w:color="auto" w:fill="auto"/>
          </w:tcPr>
          <w:p w:rsidR="00A52449" w:rsidRPr="00F95459" w:rsidRDefault="00A52449" w:rsidP="002242A2">
            <w:pPr>
              <w:jc w:val="right"/>
              <w:rPr>
                <w:sz w:val="20"/>
                <w:szCs w:val="20"/>
              </w:rPr>
            </w:pPr>
            <w:r w:rsidRPr="00F95459">
              <w:rPr>
                <w:sz w:val="20"/>
                <w:szCs w:val="20"/>
              </w:rPr>
              <w:t>185 592</w:t>
            </w:r>
          </w:p>
          <w:p w:rsidR="00A52449" w:rsidRPr="00F95459" w:rsidRDefault="00A52449" w:rsidP="002242A2">
            <w:pPr>
              <w:jc w:val="right"/>
              <w:rPr>
                <w:sz w:val="20"/>
                <w:szCs w:val="20"/>
              </w:rPr>
            </w:pPr>
            <w:r w:rsidRPr="00F95459">
              <w:rPr>
                <w:sz w:val="20"/>
                <w:szCs w:val="20"/>
              </w:rPr>
              <w:t>19 849</w:t>
            </w:r>
          </w:p>
        </w:tc>
        <w:tc>
          <w:tcPr>
            <w:tcW w:w="1417" w:type="dxa"/>
            <w:tcBorders>
              <w:top w:val="nil"/>
              <w:bottom w:val="nil"/>
            </w:tcBorders>
            <w:shd w:val="clear" w:color="auto" w:fill="auto"/>
            <w:vAlign w:val="center"/>
          </w:tcPr>
          <w:p w:rsidR="00A52449" w:rsidRPr="00F95459" w:rsidRDefault="00A52449" w:rsidP="002242A2">
            <w:pPr>
              <w:jc w:val="right"/>
              <w:rPr>
                <w:sz w:val="20"/>
                <w:szCs w:val="20"/>
              </w:rPr>
            </w:pPr>
            <w:r w:rsidRPr="00F95459">
              <w:rPr>
                <w:sz w:val="20"/>
                <w:szCs w:val="20"/>
              </w:rPr>
              <w:t>184 461</w:t>
            </w:r>
          </w:p>
          <w:p w:rsidR="00A52449" w:rsidRPr="00F95459" w:rsidRDefault="00A52449" w:rsidP="002242A2">
            <w:pPr>
              <w:jc w:val="right"/>
              <w:rPr>
                <w:sz w:val="20"/>
                <w:szCs w:val="20"/>
              </w:rPr>
            </w:pPr>
            <w:r w:rsidRPr="00F95459">
              <w:rPr>
                <w:sz w:val="20"/>
                <w:szCs w:val="20"/>
              </w:rPr>
              <w:t>15 850</w:t>
            </w:r>
          </w:p>
        </w:tc>
        <w:tc>
          <w:tcPr>
            <w:tcW w:w="1418" w:type="dxa"/>
            <w:tcBorders>
              <w:top w:val="nil"/>
              <w:bottom w:val="nil"/>
            </w:tcBorders>
            <w:shd w:val="clear" w:color="auto" w:fill="auto"/>
            <w:vAlign w:val="center"/>
          </w:tcPr>
          <w:p w:rsidR="00A52449" w:rsidRPr="008971F1" w:rsidRDefault="00A52449" w:rsidP="002242A2">
            <w:pPr>
              <w:jc w:val="right"/>
              <w:rPr>
                <w:sz w:val="20"/>
                <w:szCs w:val="20"/>
              </w:rPr>
            </w:pPr>
            <w:r w:rsidRPr="008971F1">
              <w:rPr>
                <w:sz w:val="20"/>
                <w:szCs w:val="20"/>
              </w:rPr>
              <w:t>188 482</w:t>
            </w:r>
          </w:p>
          <w:p w:rsidR="00A52449" w:rsidRPr="008971F1" w:rsidRDefault="00A52449" w:rsidP="002242A2">
            <w:pPr>
              <w:jc w:val="right"/>
              <w:rPr>
                <w:sz w:val="20"/>
                <w:szCs w:val="20"/>
              </w:rPr>
            </w:pPr>
            <w:r w:rsidRPr="008971F1">
              <w:rPr>
                <w:sz w:val="20"/>
                <w:szCs w:val="20"/>
              </w:rPr>
              <w:t>18 256</w:t>
            </w:r>
          </w:p>
        </w:tc>
        <w:tc>
          <w:tcPr>
            <w:tcW w:w="997" w:type="dxa"/>
            <w:tcBorders>
              <w:top w:val="nil"/>
              <w:bottom w:val="nil"/>
            </w:tcBorders>
            <w:shd w:val="clear" w:color="auto" w:fill="auto"/>
            <w:vAlign w:val="center"/>
          </w:tcPr>
          <w:p w:rsidR="00A52449" w:rsidRPr="00C1778E" w:rsidRDefault="00A52449" w:rsidP="002242A2">
            <w:pPr>
              <w:jc w:val="right"/>
              <w:rPr>
                <w:sz w:val="20"/>
                <w:szCs w:val="20"/>
              </w:rPr>
            </w:pPr>
            <w:r w:rsidRPr="00C1778E">
              <w:rPr>
                <w:sz w:val="20"/>
                <w:szCs w:val="20"/>
              </w:rPr>
              <w:t>102,18</w:t>
            </w:r>
          </w:p>
          <w:p w:rsidR="00A52449" w:rsidRPr="00BC1123" w:rsidRDefault="00A52449" w:rsidP="002242A2">
            <w:pPr>
              <w:jc w:val="right"/>
              <w:rPr>
                <w:color w:val="FF0000"/>
                <w:sz w:val="20"/>
                <w:szCs w:val="20"/>
              </w:rPr>
            </w:pPr>
            <w:r w:rsidRPr="00C1778E">
              <w:rPr>
                <w:sz w:val="20"/>
                <w:szCs w:val="20"/>
              </w:rPr>
              <w:t>115,18</w:t>
            </w:r>
          </w:p>
        </w:tc>
      </w:tr>
      <w:tr w:rsidR="00A52449" w:rsidRPr="00F95459" w:rsidTr="002242A2">
        <w:tc>
          <w:tcPr>
            <w:tcW w:w="4252" w:type="dxa"/>
            <w:tcBorders>
              <w:top w:val="nil"/>
              <w:bottom w:val="nil"/>
            </w:tcBorders>
            <w:shd w:val="clear" w:color="auto" w:fill="auto"/>
          </w:tcPr>
          <w:p w:rsidR="00A52449" w:rsidRPr="00F95459" w:rsidRDefault="00A52449" w:rsidP="002242A2">
            <w:pPr>
              <w:rPr>
                <w:sz w:val="20"/>
                <w:szCs w:val="20"/>
              </w:rPr>
            </w:pPr>
            <w:r w:rsidRPr="00F95459">
              <w:rPr>
                <w:sz w:val="20"/>
                <w:szCs w:val="20"/>
              </w:rPr>
              <w:t>příděl FKSP</w:t>
            </w:r>
          </w:p>
          <w:p w:rsidR="00A52449" w:rsidRPr="00F95459" w:rsidRDefault="00A52449" w:rsidP="002242A2">
            <w:pPr>
              <w:rPr>
                <w:sz w:val="20"/>
                <w:szCs w:val="20"/>
              </w:rPr>
            </w:pPr>
            <w:r w:rsidRPr="00F95459">
              <w:rPr>
                <w:sz w:val="20"/>
                <w:szCs w:val="20"/>
              </w:rPr>
              <w:t xml:space="preserve">      z toho: prostředky EU</w:t>
            </w:r>
          </w:p>
        </w:tc>
        <w:tc>
          <w:tcPr>
            <w:tcW w:w="1418" w:type="dxa"/>
            <w:tcBorders>
              <w:top w:val="nil"/>
              <w:bottom w:val="nil"/>
            </w:tcBorders>
            <w:shd w:val="clear" w:color="auto" w:fill="auto"/>
          </w:tcPr>
          <w:p w:rsidR="00A52449" w:rsidRPr="00F95459" w:rsidRDefault="00A52449" w:rsidP="002242A2">
            <w:pPr>
              <w:jc w:val="right"/>
              <w:rPr>
                <w:sz w:val="20"/>
                <w:szCs w:val="20"/>
              </w:rPr>
            </w:pPr>
            <w:r w:rsidRPr="00F95459">
              <w:rPr>
                <w:sz w:val="20"/>
                <w:szCs w:val="20"/>
              </w:rPr>
              <w:t>10 772</w:t>
            </w:r>
          </w:p>
          <w:p w:rsidR="00A52449" w:rsidRPr="00F95459" w:rsidRDefault="00A52449" w:rsidP="002242A2">
            <w:pPr>
              <w:jc w:val="right"/>
              <w:rPr>
                <w:sz w:val="20"/>
                <w:szCs w:val="20"/>
              </w:rPr>
            </w:pPr>
            <w:r w:rsidRPr="00F95459">
              <w:rPr>
                <w:sz w:val="20"/>
                <w:szCs w:val="20"/>
              </w:rPr>
              <w:t>1 097</w:t>
            </w:r>
          </w:p>
        </w:tc>
        <w:tc>
          <w:tcPr>
            <w:tcW w:w="1417" w:type="dxa"/>
            <w:tcBorders>
              <w:top w:val="nil"/>
              <w:bottom w:val="nil"/>
            </w:tcBorders>
            <w:shd w:val="clear" w:color="auto" w:fill="auto"/>
            <w:vAlign w:val="center"/>
          </w:tcPr>
          <w:p w:rsidR="00A52449" w:rsidRPr="00F95459" w:rsidRDefault="00A52449" w:rsidP="002242A2">
            <w:pPr>
              <w:jc w:val="right"/>
              <w:rPr>
                <w:sz w:val="20"/>
                <w:szCs w:val="20"/>
              </w:rPr>
            </w:pPr>
            <w:r w:rsidRPr="00F95459">
              <w:rPr>
                <w:sz w:val="20"/>
                <w:szCs w:val="20"/>
              </w:rPr>
              <w:t>10 769</w:t>
            </w:r>
          </w:p>
          <w:p w:rsidR="00A52449" w:rsidRPr="00F95459" w:rsidRDefault="00A52449" w:rsidP="002242A2">
            <w:pPr>
              <w:jc w:val="right"/>
              <w:rPr>
                <w:sz w:val="20"/>
                <w:szCs w:val="20"/>
              </w:rPr>
            </w:pPr>
            <w:r w:rsidRPr="00F95459">
              <w:rPr>
                <w:sz w:val="20"/>
                <w:szCs w:val="20"/>
              </w:rPr>
              <w:t>938</w:t>
            </w:r>
          </w:p>
        </w:tc>
        <w:tc>
          <w:tcPr>
            <w:tcW w:w="1418" w:type="dxa"/>
            <w:tcBorders>
              <w:top w:val="nil"/>
              <w:bottom w:val="nil"/>
            </w:tcBorders>
            <w:shd w:val="clear" w:color="auto" w:fill="auto"/>
            <w:vAlign w:val="center"/>
          </w:tcPr>
          <w:p w:rsidR="00A52449" w:rsidRPr="008971F1" w:rsidRDefault="00A52449" w:rsidP="002242A2">
            <w:pPr>
              <w:jc w:val="right"/>
              <w:rPr>
                <w:sz w:val="20"/>
                <w:szCs w:val="20"/>
              </w:rPr>
            </w:pPr>
            <w:r w:rsidRPr="008971F1">
              <w:rPr>
                <w:sz w:val="20"/>
                <w:szCs w:val="20"/>
              </w:rPr>
              <w:t>10 927</w:t>
            </w:r>
          </w:p>
          <w:p w:rsidR="00A52449" w:rsidRPr="008971F1" w:rsidRDefault="00A52449" w:rsidP="002242A2">
            <w:pPr>
              <w:jc w:val="right"/>
              <w:rPr>
                <w:sz w:val="20"/>
                <w:szCs w:val="20"/>
              </w:rPr>
            </w:pPr>
            <w:r w:rsidRPr="008971F1">
              <w:rPr>
                <w:sz w:val="20"/>
                <w:szCs w:val="20"/>
              </w:rPr>
              <w:t>1 012</w:t>
            </w:r>
          </w:p>
        </w:tc>
        <w:tc>
          <w:tcPr>
            <w:tcW w:w="997" w:type="dxa"/>
            <w:tcBorders>
              <w:top w:val="nil"/>
              <w:bottom w:val="nil"/>
            </w:tcBorders>
            <w:shd w:val="clear" w:color="auto" w:fill="auto"/>
            <w:vAlign w:val="center"/>
          </w:tcPr>
          <w:p w:rsidR="00A52449" w:rsidRPr="00C1778E" w:rsidRDefault="00A52449" w:rsidP="002242A2">
            <w:pPr>
              <w:jc w:val="right"/>
              <w:rPr>
                <w:sz w:val="20"/>
                <w:szCs w:val="20"/>
              </w:rPr>
            </w:pPr>
            <w:r w:rsidRPr="00C1778E">
              <w:rPr>
                <w:sz w:val="20"/>
                <w:szCs w:val="20"/>
              </w:rPr>
              <w:t>101,47</w:t>
            </w:r>
          </w:p>
          <w:p w:rsidR="00A52449" w:rsidRPr="00BC1123" w:rsidRDefault="00A52449" w:rsidP="002242A2">
            <w:pPr>
              <w:jc w:val="right"/>
              <w:rPr>
                <w:color w:val="FF0000"/>
                <w:sz w:val="20"/>
                <w:szCs w:val="20"/>
              </w:rPr>
            </w:pPr>
            <w:r w:rsidRPr="00C1778E">
              <w:rPr>
                <w:sz w:val="20"/>
                <w:szCs w:val="20"/>
              </w:rPr>
              <w:t>107,89</w:t>
            </w:r>
          </w:p>
        </w:tc>
      </w:tr>
      <w:tr w:rsidR="00A52449" w:rsidRPr="00C203F0" w:rsidTr="002242A2">
        <w:tc>
          <w:tcPr>
            <w:tcW w:w="4252" w:type="dxa"/>
            <w:tcBorders>
              <w:top w:val="nil"/>
              <w:bottom w:val="nil"/>
            </w:tcBorders>
            <w:shd w:val="clear" w:color="auto" w:fill="auto"/>
          </w:tcPr>
          <w:p w:rsidR="00A52449" w:rsidRPr="00F95459" w:rsidRDefault="00A52449" w:rsidP="002242A2">
            <w:pPr>
              <w:rPr>
                <w:sz w:val="20"/>
                <w:szCs w:val="20"/>
              </w:rPr>
            </w:pPr>
            <w:r w:rsidRPr="00F95459">
              <w:rPr>
                <w:sz w:val="20"/>
                <w:szCs w:val="20"/>
              </w:rPr>
              <w:t>ostatní neinvestiční výdaje</w:t>
            </w:r>
          </w:p>
        </w:tc>
        <w:tc>
          <w:tcPr>
            <w:tcW w:w="1418" w:type="dxa"/>
            <w:tcBorders>
              <w:top w:val="nil"/>
              <w:bottom w:val="nil"/>
            </w:tcBorders>
            <w:shd w:val="clear" w:color="auto" w:fill="auto"/>
          </w:tcPr>
          <w:p w:rsidR="00A52449" w:rsidRPr="00F95459" w:rsidRDefault="00A52449" w:rsidP="002242A2">
            <w:pPr>
              <w:jc w:val="right"/>
              <w:rPr>
                <w:color w:val="FF0000"/>
                <w:sz w:val="20"/>
                <w:szCs w:val="20"/>
              </w:rPr>
            </w:pPr>
            <w:r w:rsidRPr="00F95459">
              <w:rPr>
                <w:sz w:val="20"/>
                <w:szCs w:val="20"/>
              </w:rPr>
              <w:t xml:space="preserve">6 485 958 </w:t>
            </w:r>
          </w:p>
        </w:tc>
        <w:tc>
          <w:tcPr>
            <w:tcW w:w="1417" w:type="dxa"/>
            <w:tcBorders>
              <w:top w:val="nil"/>
              <w:bottom w:val="nil"/>
            </w:tcBorders>
            <w:shd w:val="clear" w:color="auto" w:fill="auto"/>
            <w:vAlign w:val="center"/>
          </w:tcPr>
          <w:p w:rsidR="00A52449" w:rsidRPr="00F95459" w:rsidRDefault="00A52449" w:rsidP="002242A2">
            <w:pPr>
              <w:jc w:val="right"/>
              <w:rPr>
                <w:sz w:val="20"/>
                <w:szCs w:val="20"/>
              </w:rPr>
            </w:pPr>
            <w:r w:rsidRPr="00F95459">
              <w:rPr>
                <w:sz w:val="20"/>
                <w:szCs w:val="20"/>
              </w:rPr>
              <w:t>4 918 779</w:t>
            </w:r>
          </w:p>
        </w:tc>
        <w:tc>
          <w:tcPr>
            <w:tcW w:w="1418" w:type="dxa"/>
            <w:tcBorders>
              <w:top w:val="nil"/>
              <w:bottom w:val="nil"/>
            </w:tcBorders>
            <w:shd w:val="clear" w:color="auto" w:fill="auto"/>
            <w:vAlign w:val="center"/>
          </w:tcPr>
          <w:p w:rsidR="00A52449" w:rsidRPr="008971F1" w:rsidRDefault="00A52449" w:rsidP="002242A2">
            <w:pPr>
              <w:jc w:val="right"/>
              <w:rPr>
                <w:sz w:val="20"/>
                <w:szCs w:val="20"/>
              </w:rPr>
            </w:pPr>
            <w:r w:rsidRPr="008971F1">
              <w:rPr>
                <w:sz w:val="20"/>
                <w:szCs w:val="20"/>
              </w:rPr>
              <w:t>6 896 005</w:t>
            </w:r>
          </w:p>
        </w:tc>
        <w:tc>
          <w:tcPr>
            <w:tcW w:w="997" w:type="dxa"/>
            <w:tcBorders>
              <w:top w:val="nil"/>
              <w:bottom w:val="nil"/>
            </w:tcBorders>
            <w:shd w:val="clear" w:color="auto" w:fill="auto"/>
            <w:vAlign w:val="center"/>
          </w:tcPr>
          <w:p w:rsidR="00A52449" w:rsidRPr="00BC1123" w:rsidRDefault="00A52449" w:rsidP="002242A2">
            <w:pPr>
              <w:jc w:val="right"/>
              <w:rPr>
                <w:color w:val="FF0000"/>
                <w:sz w:val="20"/>
                <w:szCs w:val="20"/>
              </w:rPr>
            </w:pPr>
            <w:r w:rsidRPr="005F3ED7">
              <w:rPr>
                <w:sz w:val="20"/>
                <w:szCs w:val="20"/>
              </w:rPr>
              <w:t xml:space="preserve">140,20          </w:t>
            </w:r>
          </w:p>
        </w:tc>
      </w:tr>
      <w:tr w:rsidR="00A52449" w:rsidRPr="00F95459" w:rsidTr="002242A2">
        <w:tc>
          <w:tcPr>
            <w:tcW w:w="4252" w:type="dxa"/>
            <w:tcBorders>
              <w:top w:val="nil"/>
              <w:bottom w:val="nil"/>
            </w:tcBorders>
            <w:shd w:val="clear" w:color="auto" w:fill="auto"/>
          </w:tcPr>
          <w:p w:rsidR="00A52449" w:rsidRPr="00F95459" w:rsidRDefault="00A52449" w:rsidP="002242A2">
            <w:pPr>
              <w:tabs>
                <w:tab w:val="left" w:pos="290"/>
                <w:tab w:val="left" w:pos="500"/>
                <w:tab w:val="left" w:pos="965"/>
              </w:tabs>
              <w:rPr>
                <w:sz w:val="20"/>
                <w:szCs w:val="20"/>
              </w:rPr>
            </w:pPr>
            <w:r w:rsidRPr="00F95459">
              <w:rPr>
                <w:sz w:val="20"/>
                <w:szCs w:val="20"/>
              </w:rPr>
              <w:t xml:space="preserve">      z toho: kompenzace slev jízdného</w:t>
            </w:r>
          </w:p>
        </w:tc>
        <w:tc>
          <w:tcPr>
            <w:tcW w:w="1418" w:type="dxa"/>
            <w:tcBorders>
              <w:top w:val="nil"/>
              <w:bottom w:val="nil"/>
            </w:tcBorders>
            <w:shd w:val="clear" w:color="auto" w:fill="auto"/>
            <w:vAlign w:val="center"/>
          </w:tcPr>
          <w:p w:rsidR="00A52449" w:rsidRPr="00F95459" w:rsidRDefault="00A52449" w:rsidP="002242A2">
            <w:pPr>
              <w:ind w:right="15"/>
              <w:jc w:val="right"/>
              <w:rPr>
                <w:color w:val="FF0000"/>
                <w:sz w:val="20"/>
                <w:szCs w:val="20"/>
              </w:rPr>
            </w:pPr>
            <w:r w:rsidRPr="00F95459">
              <w:rPr>
                <w:sz w:val="20"/>
                <w:szCs w:val="20"/>
              </w:rPr>
              <w:t>5 761 452</w:t>
            </w:r>
          </w:p>
        </w:tc>
        <w:tc>
          <w:tcPr>
            <w:tcW w:w="1417" w:type="dxa"/>
            <w:tcBorders>
              <w:top w:val="nil"/>
              <w:bottom w:val="nil"/>
            </w:tcBorders>
            <w:shd w:val="clear" w:color="auto" w:fill="auto"/>
            <w:vAlign w:val="center"/>
          </w:tcPr>
          <w:p w:rsidR="00A52449" w:rsidRPr="00F95459" w:rsidRDefault="00A52449" w:rsidP="002242A2">
            <w:pPr>
              <w:jc w:val="right"/>
              <w:rPr>
                <w:sz w:val="20"/>
                <w:szCs w:val="20"/>
              </w:rPr>
            </w:pPr>
            <w:r w:rsidRPr="00F95459">
              <w:rPr>
                <w:sz w:val="20"/>
                <w:szCs w:val="20"/>
              </w:rPr>
              <w:t>4 000 000</w:t>
            </w:r>
          </w:p>
        </w:tc>
        <w:tc>
          <w:tcPr>
            <w:tcW w:w="1418" w:type="dxa"/>
            <w:tcBorders>
              <w:top w:val="nil"/>
              <w:bottom w:val="nil"/>
            </w:tcBorders>
            <w:shd w:val="clear" w:color="auto" w:fill="auto"/>
            <w:vAlign w:val="center"/>
          </w:tcPr>
          <w:p w:rsidR="00A52449" w:rsidRPr="008971F1" w:rsidRDefault="00A52449" w:rsidP="002242A2">
            <w:pPr>
              <w:jc w:val="right"/>
              <w:rPr>
                <w:sz w:val="20"/>
                <w:szCs w:val="20"/>
              </w:rPr>
            </w:pPr>
            <w:r w:rsidRPr="008971F1">
              <w:rPr>
                <w:sz w:val="20"/>
                <w:szCs w:val="20"/>
              </w:rPr>
              <w:t>6 000 000</w:t>
            </w:r>
          </w:p>
        </w:tc>
        <w:tc>
          <w:tcPr>
            <w:tcW w:w="997" w:type="dxa"/>
            <w:tcBorders>
              <w:top w:val="nil"/>
              <w:bottom w:val="nil"/>
            </w:tcBorders>
            <w:shd w:val="clear" w:color="auto" w:fill="auto"/>
            <w:vAlign w:val="center"/>
          </w:tcPr>
          <w:p w:rsidR="00A52449" w:rsidRPr="00035C03" w:rsidRDefault="00A52449" w:rsidP="002242A2">
            <w:pPr>
              <w:jc w:val="right"/>
              <w:rPr>
                <w:sz w:val="20"/>
                <w:szCs w:val="20"/>
              </w:rPr>
            </w:pPr>
            <w:r w:rsidRPr="00035C03">
              <w:rPr>
                <w:sz w:val="20"/>
                <w:szCs w:val="20"/>
              </w:rPr>
              <w:t>150,00</w:t>
            </w:r>
          </w:p>
        </w:tc>
      </w:tr>
      <w:tr w:rsidR="00A52449" w:rsidRPr="00F95459" w:rsidTr="002242A2">
        <w:tc>
          <w:tcPr>
            <w:tcW w:w="4252" w:type="dxa"/>
            <w:tcBorders>
              <w:top w:val="nil"/>
              <w:bottom w:val="nil"/>
            </w:tcBorders>
            <w:shd w:val="clear" w:color="auto" w:fill="auto"/>
          </w:tcPr>
          <w:p w:rsidR="00A52449" w:rsidRPr="00F95459" w:rsidRDefault="00A52449" w:rsidP="002242A2">
            <w:pPr>
              <w:tabs>
                <w:tab w:val="left" w:pos="500"/>
                <w:tab w:val="left" w:pos="965"/>
              </w:tabs>
              <w:ind w:left="881"/>
              <w:rPr>
                <w:sz w:val="20"/>
                <w:szCs w:val="20"/>
              </w:rPr>
            </w:pPr>
            <w:r w:rsidRPr="00F95459">
              <w:rPr>
                <w:sz w:val="20"/>
                <w:szCs w:val="20"/>
              </w:rPr>
              <w:t>dopravně správní agendy (pol. 5139)</w:t>
            </w:r>
          </w:p>
        </w:tc>
        <w:tc>
          <w:tcPr>
            <w:tcW w:w="1418" w:type="dxa"/>
            <w:tcBorders>
              <w:top w:val="nil"/>
              <w:bottom w:val="nil"/>
            </w:tcBorders>
            <w:shd w:val="clear" w:color="auto" w:fill="auto"/>
            <w:vAlign w:val="center"/>
          </w:tcPr>
          <w:p w:rsidR="00A52449" w:rsidRPr="00F95459" w:rsidRDefault="00A52449" w:rsidP="002242A2">
            <w:pPr>
              <w:ind w:right="15"/>
              <w:jc w:val="right"/>
              <w:rPr>
                <w:color w:val="FF0000"/>
                <w:sz w:val="20"/>
                <w:szCs w:val="20"/>
              </w:rPr>
            </w:pPr>
            <w:r w:rsidRPr="00F95459">
              <w:rPr>
                <w:sz w:val="20"/>
                <w:szCs w:val="20"/>
              </w:rPr>
              <w:t>217 359</w:t>
            </w:r>
          </w:p>
        </w:tc>
        <w:tc>
          <w:tcPr>
            <w:tcW w:w="1417" w:type="dxa"/>
            <w:tcBorders>
              <w:top w:val="nil"/>
              <w:bottom w:val="nil"/>
            </w:tcBorders>
            <w:shd w:val="clear" w:color="auto" w:fill="auto"/>
            <w:vAlign w:val="center"/>
          </w:tcPr>
          <w:p w:rsidR="00A52449" w:rsidRPr="00F95459" w:rsidRDefault="00A52449" w:rsidP="002242A2">
            <w:pPr>
              <w:jc w:val="right"/>
              <w:rPr>
                <w:sz w:val="20"/>
                <w:szCs w:val="20"/>
              </w:rPr>
            </w:pPr>
            <w:r w:rsidRPr="00F95459">
              <w:rPr>
                <w:sz w:val="20"/>
                <w:szCs w:val="20"/>
              </w:rPr>
              <w:t>280 000</w:t>
            </w:r>
          </w:p>
        </w:tc>
        <w:tc>
          <w:tcPr>
            <w:tcW w:w="1418" w:type="dxa"/>
            <w:tcBorders>
              <w:top w:val="nil"/>
              <w:bottom w:val="nil"/>
            </w:tcBorders>
            <w:shd w:val="clear" w:color="auto" w:fill="auto"/>
            <w:vAlign w:val="center"/>
          </w:tcPr>
          <w:p w:rsidR="00A52449" w:rsidRPr="008971F1" w:rsidRDefault="00A52449" w:rsidP="002242A2">
            <w:pPr>
              <w:jc w:val="right"/>
              <w:rPr>
                <w:sz w:val="20"/>
                <w:szCs w:val="20"/>
              </w:rPr>
            </w:pPr>
            <w:r w:rsidRPr="008971F1">
              <w:rPr>
                <w:sz w:val="20"/>
                <w:szCs w:val="20"/>
              </w:rPr>
              <w:t>280 000</w:t>
            </w:r>
          </w:p>
        </w:tc>
        <w:tc>
          <w:tcPr>
            <w:tcW w:w="997" w:type="dxa"/>
            <w:tcBorders>
              <w:top w:val="nil"/>
              <w:bottom w:val="nil"/>
            </w:tcBorders>
            <w:shd w:val="clear" w:color="auto" w:fill="auto"/>
            <w:vAlign w:val="center"/>
          </w:tcPr>
          <w:p w:rsidR="00A52449" w:rsidRPr="00035C03" w:rsidRDefault="00A52449" w:rsidP="002242A2">
            <w:pPr>
              <w:jc w:val="right"/>
              <w:rPr>
                <w:sz w:val="20"/>
                <w:szCs w:val="20"/>
              </w:rPr>
            </w:pPr>
            <w:r w:rsidRPr="00035C03">
              <w:rPr>
                <w:sz w:val="20"/>
                <w:szCs w:val="20"/>
              </w:rPr>
              <w:t>100,00</w:t>
            </w:r>
          </w:p>
        </w:tc>
      </w:tr>
      <w:tr w:rsidR="00A52449" w:rsidRPr="00F95459" w:rsidTr="002242A2">
        <w:tc>
          <w:tcPr>
            <w:tcW w:w="4252" w:type="dxa"/>
            <w:tcBorders>
              <w:top w:val="nil"/>
              <w:bottom w:val="nil"/>
            </w:tcBorders>
            <w:shd w:val="clear" w:color="auto" w:fill="auto"/>
          </w:tcPr>
          <w:p w:rsidR="00A52449" w:rsidRPr="00F95459" w:rsidRDefault="00A52449" w:rsidP="002242A2">
            <w:pPr>
              <w:rPr>
                <w:sz w:val="20"/>
                <w:szCs w:val="20"/>
              </w:rPr>
            </w:pPr>
            <w:r w:rsidRPr="00F95459">
              <w:rPr>
                <w:sz w:val="20"/>
                <w:szCs w:val="20"/>
              </w:rPr>
              <w:t xml:space="preserve">                  programové financování (EDS/SMVS)</w:t>
            </w:r>
          </w:p>
        </w:tc>
        <w:tc>
          <w:tcPr>
            <w:tcW w:w="1418" w:type="dxa"/>
            <w:tcBorders>
              <w:top w:val="nil"/>
              <w:bottom w:val="nil"/>
            </w:tcBorders>
            <w:shd w:val="clear" w:color="auto" w:fill="auto"/>
            <w:vAlign w:val="center"/>
          </w:tcPr>
          <w:p w:rsidR="00A52449" w:rsidRPr="00F95459" w:rsidRDefault="00A52449" w:rsidP="002242A2">
            <w:pPr>
              <w:ind w:right="15"/>
              <w:jc w:val="right"/>
              <w:rPr>
                <w:color w:val="FF0000"/>
                <w:sz w:val="20"/>
                <w:szCs w:val="20"/>
              </w:rPr>
            </w:pPr>
            <w:r w:rsidRPr="00F95459">
              <w:rPr>
                <w:sz w:val="20"/>
                <w:szCs w:val="20"/>
              </w:rPr>
              <w:t>71 015</w:t>
            </w:r>
          </w:p>
        </w:tc>
        <w:tc>
          <w:tcPr>
            <w:tcW w:w="1417" w:type="dxa"/>
            <w:tcBorders>
              <w:top w:val="nil"/>
              <w:bottom w:val="nil"/>
            </w:tcBorders>
            <w:shd w:val="clear" w:color="auto" w:fill="auto"/>
            <w:vAlign w:val="center"/>
          </w:tcPr>
          <w:p w:rsidR="00A52449" w:rsidRPr="00F95459" w:rsidRDefault="00A52449" w:rsidP="002242A2">
            <w:pPr>
              <w:jc w:val="right"/>
              <w:rPr>
                <w:sz w:val="20"/>
                <w:szCs w:val="20"/>
              </w:rPr>
            </w:pPr>
            <w:r w:rsidRPr="00F95459">
              <w:rPr>
                <w:sz w:val="20"/>
                <w:szCs w:val="20"/>
              </w:rPr>
              <w:t>79 355</w:t>
            </w:r>
          </w:p>
        </w:tc>
        <w:tc>
          <w:tcPr>
            <w:tcW w:w="1418" w:type="dxa"/>
            <w:tcBorders>
              <w:top w:val="nil"/>
              <w:bottom w:val="nil"/>
            </w:tcBorders>
            <w:shd w:val="clear" w:color="auto" w:fill="auto"/>
            <w:vAlign w:val="center"/>
          </w:tcPr>
          <w:p w:rsidR="00A52449" w:rsidRPr="008971F1" w:rsidRDefault="00A52449" w:rsidP="002242A2">
            <w:pPr>
              <w:jc w:val="right"/>
              <w:rPr>
                <w:sz w:val="20"/>
                <w:szCs w:val="20"/>
              </w:rPr>
            </w:pPr>
            <w:r w:rsidRPr="008971F1">
              <w:rPr>
                <w:sz w:val="20"/>
                <w:szCs w:val="20"/>
              </w:rPr>
              <w:t>84 414</w:t>
            </w:r>
          </w:p>
        </w:tc>
        <w:tc>
          <w:tcPr>
            <w:tcW w:w="997" w:type="dxa"/>
            <w:tcBorders>
              <w:top w:val="nil"/>
              <w:bottom w:val="nil"/>
            </w:tcBorders>
            <w:shd w:val="clear" w:color="auto" w:fill="auto"/>
            <w:vAlign w:val="center"/>
          </w:tcPr>
          <w:p w:rsidR="00A52449" w:rsidRPr="00BC1123" w:rsidRDefault="00A52449" w:rsidP="002242A2">
            <w:pPr>
              <w:jc w:val="right"/>
              <w:rPr>
                <w:color w:val="FF0000"/>
                <w:sz w:val="20"/>
                <w:szCs w:val="20"/>
              </w:rPr>
            </w:pPr>
            <w:r w:rsidRPr="005F3ED7">
              <w:rPr>
                <w:sz w:val="20"/>
                <w:szCs w:val="20"/>
              </w:rPr>
              <w:t>106,38</w:t>
            </w:r>
          </w:p>
        </w:tc>
      </w:tr>
      <w:tr w:rsidR="00A52449" w:rsidRPr="00F95459" w:rsidTr="002242A2">
        <w:tc>
          <w:tcPr>
            <w:tcW w:w="4252" w:type="dxa"/>
            <w:tcBorders>
              <w:top w:val="nil"/>
              <w:bottom w:val="single" w:sz="8" w:space="0" w:color="7F7F7F" w:themeColor="text1" w:themeTint="80"/>
            </w:tcBorders>
            <w:shd w:val="clear" w:color="auto" w:fill="auto"/>
          </w:tcPr>
          <w:p w:rsidR="00A52449" w:rsidRPr="00F95459" w:rsidRDefault="00A52449" w:rsidP="002242A2">
            <w:pPr>
              <w:rPr>
                <w:sz w:val="20"/>
                <w:szCs w:val="20"/>
              </w:rPr>
            </w:pPr>
            <w:r w:rsidRPr="00F95459">
              <w:rPr>
                <w:sz w:val="20"/>
                <w:szCs w:val="20"/>
              </w:rPr>
              <w:t xml:space="preserve">                  prostředky EU</w:t>
            </w:r>
          </w:p>
          <w:p w:rsidR="00A52449" w:rsidRPr="00F95459" w:rsidRDefault="00A52449" w:rsidP="002242A2">
            <w:pPr>
              <w:rPr>
                <w:sz w:val="20"/>
                <w:szCs w:val="20"/>
              </w:rPr>
            </w:pPr>
            <w:r w:rsidRPr="00F95459">
              <w:rPr>
                <w:sz w:val="20"/>
                <w:szCs w:val="20"/>
              </w:rPr>
              <w:t xml:space="preserve">                  výzkum, vývoj a inovace</w:t>
            </w:r>
          </w:p>
        </w:tc>
        <w:tc>
          <w:tcPr>
            <w:tcW w:w="1418" w:type="dxa"/>
            <w:tcBorders>
              <w:top w:val="nil"/>
              <w:bottom w:val="single" w:sz="8" w:space="0" w:color="7F7F7F" w:themeColor="text1" w:themeTint="80"/>
            </w:tcBorders>
            <w:shd w:val="clear" w:color="auto" w:fill="auto"/>
            <w:vAlign w:val="center"/>
          </w:tcPr>
          <w:p w:rsidR="00A52449" w:rsidRPr="00F95459" w:rsidRDefault="00A52449" w:rsidP="002242A2">
            <w:pPr>
              <w:ind w:right="15"/>
              <w:jc w:val="right"/>
              <w:rPr>
                <w:sz w:val="20"/>
                <w:szCs w:val="20"/>
              </w:rPr>
            </w:pPr>
            <w:r w:rsidRPr="00F95459">
              <w:rPr>
                <w:sz w:val="20"/>
                <w:szCs w:val="20"/>
              </w:rPr>
              <w:t>10 911</w:t>
            </w:r>
          </w:p>
          <w:p w:rsidR="00A52449" w:rsidRPr="00F95459" w:rsidRDefault="00A52449" w:rsidP="002242A2">
            <w:pPr>
              <w:ind w:right="15"/>
              <w:jc w:val="right"/>
              <w:rPr>
                <w:color w:val="FF0000"/>
                <w:sz w:val="20"/>
                <w:szCs w:val="20"/>
              </w:rPr>
            </w:pPr>
            <w:r w:rsidRPr="00F95459">
              <w:rPr>
                <w:sz w:val="20"/>
                <w:szCs w:val="20"/>
              </w:rPr>
              <w:t>13</w:t>
            </w:r>
          </w:p>
        </w:tc>
        <w:tc>
          <w:tcPr>
            <w:tcW w:w="1417" w:type="dxa"/>
            <w:tcBorders>
              <w:top w:val="nil"/>
              <w:bottom w:val="single" w:sz="8" w:space="0" w:color="7F7F7F" w:themeColor="text1" w:themeTint="80"/>
            </w:tcBorders>
            <w:shd w:val="clear" w:color="auto" w:fill="auto"/>
          </w:tcPr>
          <w:p w:rsidR="00A52449" w:rsidRPr="00F95459" w:rsidRDefault="00A52449" w:rsidP="002242A2">
            <w:pPr>
              <w:rPr>
                <w:sz w:val="20"/>
                <w:szCs w:val="20"/>
              </w:rPr>
            </w:pPr>
            <w:r w:rsidRPr="00F95459">
              <w:rPr>
                <w:sz w:val="20"/>
                <w:szCs w:val="20"/>
              </w:rPr>
              <w:t xml:space="preserve">             16 749</w:t>
            </w:r>
          </w:p>
          <w:p w:rsidR="00A52449" w:rsidRPr="00F95459" w:rsidRDefault="00A52449" w:rsidP="002242A2">
            <w:pPr>
              <w:rPr>
                <w:sz w:val="20"/>
                <w:szCs w:val="20"/>
              </w:rPr>
            </w:pPr>
            <w:r w:rsidRPr="00F95459">
              <w:rPr>
                <w:sz w:val="20"/>
                <w:szCs w:val="20"/>
              </w:rPr>
              <w:t xml:space="preserve">                      0</w:t>
            </w:r>
          </w:p>
        </w:tc>
        <w:tc>
          <w:tcPr>
            <w:tcW w:w="1418" w:type="dxa"/>
            <w:tcBorders>
              <w:top w:val="nil"/>
              <w:bottom w:val="single" w:sz="8" w:space="0" w:color="7F7F7F" w:themeColor="text1" w:themeTint="80"/>
            </w:tcBorders>
            <w:shd w:val="clear" w:color="auto" w:fill="auto"/>
          </w:tcPr>
          <w:p w:rsidR="00A52449" w:rsidRPr="008971F1" w:rsidRDefault="00A52449" w:rsidP="002242A2">
            <w:pPr>
              <w:jc w:val="right"/>
              <w:rPr>
                <w:sz w:val="20"/>
                <w:szCs w:val="20"/>
              </w:rPr>
            </w:pPr>
            <w:r w:rsidRPr="008971F1">
              <w:rPr>
                <w:sz w:val="20"/>
                <w:szCs w:val="20"/>
              </w:rPr>
              <w:t xml:space="preserve">             6 028</w:t>
            </w:r>
          </w:p>
          <w:p w:rsidR="00A52449" w:rsidRPr="008971F1" w:rsidRDefault="00A52449" w:rsidP="002242A2">
            <w:pPr>
              <w:rPr>
                <w:sz w:val="20"/>
                <w:szCs w:val="20"/>
              </w:rPr>
            </w:pPr>
            <w:r w:rsidRPr="008971F1">
              <w:rPr>
                <w:sz w:val="20"/>
                <w:szCs w:val="20"/>
              </w:rPr>
              <w:t xml:space="preserve">                      0</w:t>
            </w:r>
          </w:p>
        </w:tc>
        <w:tc>
          <w:tcPr>
            <w:tcW w:w="997" w:type="dxa"/>
            <w:tcBorders>
              <w:top w:val="nil"/>
              <w:bottom w:val="single" w:sz="8" w:space="0" w:color="7F7F7F" w:themeColor="text1" w:themeTint="80"/>
            </w:tcBorders>
            <w:shd w:val="clear" w:color="auto" w:fill="auto"/>
          </w:tcPr>
          <w:p w:rsidR="00A52449" w:rsidRPr="005F3ED7" w:rsidRDefault="00A52449" w:rsidP="002242A2">
            <w:pPr>
              <w:jc w:val="right"/>
              <w:rPr>
                <w:sz w:val="20"/>
                <w:szCs w:val="20"/>
              </w:rPr>
            </w:pPr>
            <w:r w:rsidRPr="005F3ED7">
              <w:rPr>
                <w:sz w:val="20"/>
                <w:szCs w:val="20"/>
              </w:rPr>
              <w:t>35,99</w:t>
            </w:r>
          </w:p>
          <w:p w:rsidR="00A52449" w:rsidRPr="00BC1123" w:rsidRDefault="00A52449" w:rsidP="002242A2">
            <w:pPr>
              <w:jc w:val="right"/>
              <w:rPr>
                <w:color w:val="FF0000"/>
                <w:sz w:val="20"/>
                <w:szCs w:val="20"/>
              </w:rPr>
            </w:pPr>
            <w:r w:rsidRPr="00DB6F82">
              <w:rPr>
                <w:sz w:val="20"/>
                <w:szCs w:val="20"/>
              </w:rPr>
              <w:t>x</w:t>
            </w:r>
          </w:p>
        </w:tc>
      </w:tr>
      <w:tr w:rsidR="00A52449" w:rsidRPr="001A4A3A" w:rsidTr="002242A2">
        <w:tc>
          <w:tcPr>
            <w:tcW w:w="4252" w:type="dxa"/>
            <w:tcBorders>
              <w:top w:val="single" w:sz="8" w:space="0" w:color="7F7F7F" w:themeColor="text1" w:themeTint="80"/>
              <w:bottom w:val="nil"/>
            </w:tcBorders>
            <w:shd w:val="clear" w:color="auto" w:fill="auto"/>
          </w:tcPr>
          <w:p w:rsidR="00A52449" w:rsidRPr="00F95459" w:rsidRDefault="00A52449" w:rsidP="002242A2">
            <w:pPr>
              <w:tabs>
                <w:tab w:val="left" w:pos="830"/>
              </w:tabs>
              <w:rPr>
                <w:b/>
                <w:sz w:val="20"/>
                <w:szCs w:val="20"/>
              </w:rPr>
            </w:pPr>
            <w:r w:rsidRPr="00F95459">
              <w:rPr>
                <w:b/>
                <w:sz w:val="20"/>
                <w:szCs w:val="20"/>
              </w:rPr>
              <w:t xml:space="preserve">Neinvestiční transfery příspěvkovým                      a podobným organizacím </w:t>
            </w:r>
            <w:r w:rsidRPr="00F95459">
              <w:rPr>
                <w:sz w:val="20"/>
                <w:szCs w:val="20"/>
              </w:rPr>
              <w:t>(podsesk pol. 533)</w:t>
            </w:r>
          </w:p>
        </w:tc>
        <w:tc>
          <w:tcPr>
            <w:tcW w:w="1418" w:type="dxa"/>
            <w:tcBorders>
              <w:top w:val="single" w:sz="8" w:space="0" w:color="7F7F7F" w:themeColor="text1" w:themeTint="80"/>
              <w:bottom w:val="nil"/>
            </w:tcBorders>
            <w:shd w:val="clear" w:color="auto" w:fill="auto"/>
            <w:vAlign w:val="bottom"/>
          </w:tcPr>
          <w:p w:rsidR="00A52449" w:rsidRPr="00F95459" w:rsidRDefault="00A52449" w:rsidP="002242A2">
            <w:pPr>
              <w:ind w:right="15"/>
              <w:jc w:val="right"/>
              <w:rPr>
                <w:b/>
                <w:color w:val="FF0000"/>
                <w:sz w:val="20"/>
                <w:szCs w:val="20"/>
              </w:rPr>
            </w:pPr>
            <w:r w:rsidRPr="00F95459">
              <w:rPr>
                <w:b/>
                <w:sz w:val="20"/>
                <w:szCs w:val="20"/>
              </w:rPr>
              <w:t>585 214</w:t>
            </w:r>
          </w:p>
        </w:tc>
        <w:tc>
          <w:tcPr>
            <w:tcW w:w="1417" w:type="dxa"/>
            <w:tcBorders>
              <w:top w:val="single" w:sz="8" w:space="0" w:color="7F7F7F" w:themeColor="text1" w:themeTint="80"/>
              <w:bottom w:val="nil"/>
            </w:tcBorders>
            <w:shd w:val="clear" w:color="auto" w:fill="auto"/>
            <w:vAlign w:val="bottom"/>
          </w:tcPr>
          <w:p w:rsidR="00A52449" w:rsidRPr="00F95459" w:rsidRDefault="00A52449" w:rsidP="002242A2">
            <w:pPr>
              <w:jc w:val="right"/>
              <w:rPr>
                <w:b/>
                <w:sz w:val="20"/>
                <w:szCs w:val="20"/>
              </w:rPr>
            </w:pPr>
            <w:r w:rsidRPr="00F95459">
              <w:rPr>
                <w:b/>
                <w:sz w:val="20"/>
                <w:szCs w:val="20"/>
              </w:rPr>
              <w:t>326 205</w:t>
            </w:r>
          </w:p>
        </w:tc>
        <w:tc>
          <w:tcPr>
            <w:tcW w:w="1418" w:type="dxa"/>
            <w:tcBorders>
              <w:top w:val="single" w:sz="8" w:space="0" w:color="7F7F7F" w:themeColor="text1" w:themeTint="80"/>
              <w:bottom w:val="nil"/>
            </w:tcBorders>
            <w:shd w:val="clear" w:color="auto" w:fill="auto"/>
            <w:vAlign w:val="bottom"/>
          </w:tcPr>
          <w:p w:rsidR="00A52449" w:rsidRPr="008971F1" w:rsidRDefault="00A52449" w:rsidP="002242A2">
            <w:pPr>
              <w:jc w:val="right"/>
              <w:rPr>
                <w:b/>
                <w:sz w:val="20"/>
                <w:szCs w:val="20"/>
              </w:rPr>
            </w:pPr>
            <w:r w:rsidRPr="008971F1">
              <w:rPr>
                <w:b/>
                <w:sz w:val="20"/>
                <w:szCs w:val="20"/>
              </w:rPr>
              <w:t>259 065</w:t>
            </w:r>
          </w:p>
        </w:tc>
        <w:tc>
          <w:tcPr>
            <w:tcW w:w="997" w:type="dxa"/>
            <w:tcBorders>
              <w:top w:val="single" w:sz="8" w:space="0" w:color="7F7F7F" w:themeColor="text1" w:themeTint="80"/>
              <w:bottom w:val="nil"/>
            </w:tcBorders>
            <w:shd w:val="clear" w:color="auto" w:fill="auto"/>
            <w:vAlign w:val="bottom"/>
          </w:tcPr>
          <w:p w:rsidR="00A52449" w:rsidRPr="00BC1123" w:rsidRDefault="00A52449" w:rsidP="002242A2">
            <w:pPr>
              <w:jc w:val="right"/>
              <w:rPr>
                <w:b/>
                <w:color w:val="FF0000"/>
                <w:sz w:val="20"/>
                <w:szCs w:val="20"/>
              </w:rPr>
            </w:pPr>
            <w:r w:rsidRPr="004A44BD">
              <w:rPr>
                <w:b/>
                <w:sz w:val="20"/>
                <w:szCs w:val="20"/>
              </w:rPr>
              <w:t>79,42</w:t>
            </w:r>
          </w:p>
        </w:tc>
      </w:tr>
      <w:tr w:rsidR="00A52449" w:rsidRPr="003D2117" w:rsidTr="002242A2">
        <w:tc>
          <w:tcPr>
            <w:tcW w:w="4252" w:type="dxa"/>
            <w:tcBorders>
              <w:top w:val="nil"/>
              <w:bottom w:val="single" w:sz="8" w:space="0" w:color="7F7F7F" w:themeColor="text1" w:themeTint="80"/>
            </w:tcBorders>
            <w:shd w:val="clear" w:color="auto" w:fill="auto"/>
          </w:tcPr>
          <w:p w:rsidR="00A52449" w:rsidRPr="00F95459" w:rsidRDefault="00A52449" w:rsidP="002242A2">
            <w:pPr>
              <w:tabs>
                <w:tab w:val="left" w:pos="830"/>
              </w:tabs>
              <w:rPr>
                <w:sz w:val="20"/>
                <w:szCs w:val="20"/>
              </w:rPr>
            </w:pPr>
            <w:r w:rsidRPr="00F95459">
              <w:rPr>
                <w:sz w:val="20"/>
                <w:szCs w:val="20"/>
              </w:rPr>
              <w:t xml:space="preserve">      z toho: dopravně správní agendy</w:t>
            </w:r>
          </w:p>
          <w:p w:rsidR="00A52449" w:rsidRPr="00F95459" w:rsidRDefault="00A52449" w:rsidP="002242A2">
            <w:pPr>
              <w:tabs>
                <w:tab w:val="left" w:pos="830"/>
              </w:tabs>
              <w:rPr>
                <w:sz w:val="20"/>
                <w:szCs w:val="20"/>
              </w:rPr>
            </w:pPr>
            <w:r w:rsidRPr="00F95459">
              <w:rPr>
                <w:sz w:val="20"/>
                <w:szCs w:val="20"/>
              </w:rPr>
              <w:t xml:space="preserve">                  výzkum, vývoj a inovace</w:t>
            </w:r>
          </w:p>
          <w:p w:rsidR="00A52449" w:rsidRPr="00F95459" w:rsidRDefault="00A52449" w:rsidP="002242A2">
            <w:pPr>
              <w:rPr>
                <w:sz w:val="20"/>
                <w:szCs w:val="20"/>
              </w:rPr>
            </w:pPr>
            <w:r w:rsidRPr="00F95459">
              <w:rPr>
                <w:sz w:val="20"/>
                <w:szCs w:val="20"/>
              </w:rPr>
              <w:t xml:space="preserve">                  programové financování (EDS/SMVS)</w:t>
            </w:r>
          </w:p>
          <w:p w:rsidR="00A52449" w:rsidRPr="00F95459" w:rsidRDefault="00A52449" w:rsidP="002242A2">
            <w:pPr>
              <w:rPr>
                <w:sz w:val="20"/>
                <w:szCs w:val="20"/>
              </w:rPr>
            </w:pPr>
            <w:r w:rsidRPr="00F95459">
              <w:rPr>
                <w:sz w:val="20"/>
                <w:szCs w:val="20"/>
              </w:rPr>
              <w:t xml:space="preserve">                  prostředky EU</w:t>
            </w:r>
          </w:p>
        </w:tc>
        <w:tc>
          <w:tcPr>
            <w:tcW w:w="1418" w:type="dxa"/>
            <w:tcBorders>
              <w:top w:val="nil"/>
              <w:bottom w:val="single" w:sz="8" w:space="0" w:color="7F7F7F" w:themeColor="text1" w:themeTint="80"/>
            </w:tcBorders>
            <w:shd w:val="clear" w:color="auto" w:fill="auto"/>
            <w:vAlign w:val="bottom"/>
          </w:tcPr>
          <w:p w:rsidR="00A52449" w:rsidRPr="00F95459" w:rsidRDefault="00A52449" w:rsidP="002242A2">
            <w:pPr>
              <w:ind w:right="15"/>
              <w:jc w:val="right"/>
              <w:rPr>
                <w:sz w:val="20"/>
                <w:szCs w:val="20"/>
              </w:rPr>
            </w:pPr>
            <w:r w:rsidRPr="00F95459">
              <w:rPr>
                <w:sz w:val="20"/>
                <w:szCs w:val="20"/>
              </w:rPr>
              <w:t>50 457</w:t>
            </w:r>
          </w:p>
          <w:p w:rsidR="00A52449" w:rsidRPr="00F95459" w:rsidRDefault="00A52449" w:rsidP="002242A2">
            <w:pPr>
              <w:ind w:right="15"/>
              <w:jc w:val="right"/>
              <w:rPr>
                <w:sz w:val="20"/>
                <w:szCs w:val="20"/>
              </w:rPr>
            </w:pPr>
            <w:r w:rsidRPr="00F95459">
              <w:rPr>
                <w:sz w:val="20"/>
                <w:szCs w:val="20"/>
              </w:rPr>
              <w:t>42 750</w:t>
            </w:r>
          </w:p>
          <w:p w:rsidR="00A52449" w:rsidRPr="00F95459" w:rsidRDefault="00A52449" w:rsidP="002242A2">
            <w:pPr>
              <w:ind w:right="15"/>
              <w:jc w:val="right"/>
              <w:rPr>
                <w:sz w:val="20"/>
                <w:szCs w:val="20"/>
              </w:rPr>
            </w:pPr>
            <w:r w:rsidRPr="00F95459">
              <w:rPr>
                <w:sz w:val="20"/>
                <w:szCs w:val="20"/>
              </w:rPr>
              <w:t>0</w:t>
            </w:r>
          </w:p>
          <w:p w:rsidR="00A52449" w:rsidRPr="00F95459" w:rsidRDefault="00A52449" w:rsidP="002242A2">
            <w:pPr>
              <w:ind w:right="15"/>
              <w:jc w:val="right"/>
              <w:rPr>
                <w:color w:val="FF0000"/>
                <w:sz w:val="20"/>
                <w:szCs w:val="20"/>
              </w:rPr>
            </w:pPr>
            <w:r w:rsidRPr="00F95459">
              <w:rPr>
                <w:sz w:val="20"/>
                <w:szCs w:val="20"/>
              </w:rPr>
              <w:t xml:space="preserve">              5 254     </w:t>
            </w:r>
          </w:p>
        </w:tc>
        <w:tc>
          <w:tcPr>
            <w:tcW w:w="1417" w:type="dxa"/>
            <w:tcBorders>
              <w:top w:val="nil"/>
              <w:bottom w:val="single" w:sz="8" w:space="0" w:color="7F7F7F" w:themeColor="text1" w:themeTint="80"/>
            </w:tcBorders>
            <w:shd w:val="clear" w:color="auto" w:fill="auto"/>
            <w:vAlign w:val="center"/>
          </w:tcPr>
          <w:p w:rsidR="00A52449" w:rsidRPr="00F95459" w:rsidRDefault="00A52449" w:rsidP="002242A2">
            <w:pPr>
              <w:jc w:val="right"/>
              <w:rPr>
                <w:sz w:val="20"/>
                <w:szCs w:val="20"/>
              </w:rPr>
            </w:pPr>
            <w:r w:rsidRPr="00F95459">
              <w:rPr>
                <w:sz w:val="20"/>
                <w:szCs w:val="20"/>
              </w:rPr>
              <w:t>53 599</w:t>
            </w:r>
          </w:p>
          <w:p w:rsidR="00A52449" w:rsidRPr="00F95459" w:rsidRDefault="00A52449" w:rsidP="002242A2">
            <w:pPr>
              <w:jc w:val="right"/>
              <w:rPr>
                <w:sz w:val="20"/>
                <w:szCs w:val="20"/>
              </w:rPr>
            </w:pPr>
            <w:r w:rsidRPr="00F95459">
              <w:rPr>
                <w:sz w:val="20"/>
                <w:szCs w:val="20"/>
              </w:rPr>
              <w:t>27 140</w:t>
            </w:r>
          </w:p>
          <w:p w:rsidR="00A52449" w:rsidRPr="00F95459" w:rsidRDefault="00A52449" w:rsidP="002242A2">
            <w:pPr>
              <w:jc w:val="right"/>
              <w:rPr>
                <w:sz w:val="20"/>
                <w:szCs w:val="20"/>
              </w:rPr>
            </w:pPr>
            <w:r w:rsidRPr="00F95459">
              <w:rPr>
                <w:sz w:val="20"/>
                <w:szCs w:val="20"/>
              </w:rPr>
              <w:t>4 000</w:t>
            </w:r>
          </w:p>
          <w:p w:rsidR="00A52449" w:rsidRPr="00F95459" w:rsidRDefault="00A52449" w:rsidP="002242A2">
            <w:pPr>
              <w:jc w:val="right"/>
              <w:rPr>
                <w:sz w:val="20"/>
                <w:szCs w:val="20"/>
              </w:rPr>
            </w:pPr>
            <w:r w:rsidRPr="00F95459">
              <w:rPr>
                <w:sz w:val="20"/>
                <w:szCs w:val="20"/>
              </w:rPr>
              <w:t>0</w:t>
            </w:r>
          </w:p>
        </w:tc>
        <w:tc>
          <w:tcPr>
            <w:tcW w:w="1418" w:type="dxa"/>
            <w:tcBorders>
              <w:top w:val="nil"/>
              <w:bottom w:val="single" w:sz="8" w:space="0" w:color="7F7F7F" w:themeColor="text1" w:themeTint="80"/>
            </w:tcBorders>
            <w:shd w:val="clear" w:color="auto" w:fill="auto"/>
            <w:vAlign w:val="center"/>
          </w:tcPr>
          <w:p w:rsidR="00A52449" w:rsidRPr="008971F1" w:rsidRDefault="00A52449" w:rsidP="002242A2">
            <w:pPr>
              <w:jc w:val="right"/>
              <w:rPr>
                <w:sz w:val="20"/>
                <w:szCs w:val="20"/>
              </w:rPr>
            </w:pPr>
            <w:r w:rsidRPr="008971F1">
              <w:rPr>
                <w:sz w:val="20"/>
                <w:szCs w:val="20"/>
              </w:rPr>
              <w:t>57 249</w:t>
            </w:r>
          </w:p>
          <w:p w:rsidR="00A52449" w:rsidRPr="008971F1" w:rsidRDefault="00A52449" w:rsidP="002242A2">
            <w:pPr>
              <w:jc w:val="right"/>
              <w:rPr>
                <w:sz w:val="20"/>
                <w:szCs w:val="20"/>
              </w:rPr>
            </w:pPr>
            <w:r w:rsidRPr="008971F1">
              <w:rPr>
                <w:sz w:val="20"/>
                <w:szCs w:val="20"/>
              </w:rPr>
              <w:t>55 000</w:t>
            </w:r>
          </w:p>
          <w:p w:rsidR="00A52449" w:rsidRPr="008971F1" w:rsidRDefault="00A52449" w:rsidP="002242A2">
            <w:pPr>
              <w:jc w:val="right"/>
              <w:rPr>
                <w:sz w:val="20"/>
                <w:szCs w:val="20"/>
              </w:rPr>
            </w:pPr>
            <w:r w:rsidRPr="008971F1">
              <w:rPr>
                <w:sz w:val="20"/>
                <w:szCs w:val="20"/>
              </w:rPr>
              <w:t>0</w:t>
            </w:r>
          </w:p>
          <w:p w:rsidR="00A52449" w:rsidRPr="008971F1" w:rsidRDefault="00A52449" w:rsidP="002242A2">
            <w:pPr>
              <w:jc w:val="right"/>
              <w:rPr>
                <w:sz w:val="20"/>
                <w:szCs w:val="20"/>
              </w:rPr>
            </w:pPr>
            <w:r w:rsidRPr="008971F1">
              <w:rPr>
                <w:sz w:val="20"/>
                <w:szCs w:val="20"/>
              </w:rPr>
              <w:t>0</w:t>
            </w:r>
          </w:p>
        </w:tc>
        <w:tc>
          <w:tcPr>
            <w:tcW w:w="997" w:type="dxa"/>
            <w:tcBorders>
              <w:top w:val="nil"/>
              <w:bottom w:val="single" w:sz="8" w:space="0" w:color="7F7F7F" w:themeColor="text1" w:themeTint="80"/>
            </w:tcBorders>
            <w:shd w:val="clear" w:color="auto" w:fill="auto"/>
            <w:vAlign w:val="center"/>
          </w:tcPr>
          <w:p w:rsidR="00A52449" w:rsidRPr="00AA2BD4" w:rsidRDefault="00A52449" w:rsidP="002242A2">
            <w:pPr>
              <w:jc w:val="right"/>
              <w:rPr>
                <w:sz w:val="20"/>
                <w:szCs w:val="20"/>
              </w:rPr>
            </w:pPr>
            <w:r w:rsidRPr="00AA2BD4">
              <w:rPr>
                <w:sz w:val="20"/>
                <w:szCs w:val="20"/>
              </w:rPr>
              <w:t>106,81</w:t>
            </w:r>
          </w:p>
          <w:p w:rsidR="00A52449" w:rsidRPr="00AA2BD4" w:rsidRDefault="00A52449" w:rsidP="002242A2">
            <w:pPr>
              <w:jc w:val="right"/>
              <w:rPr>
                <w:sz w:val="20"/>
                <w:szCs w:val="20"/>
              </w:rPr>
            </w:pPr>
            <w:r w:rsidRPr="00AA2BD4">
              <w:rPr>
                <w:sz w:val="20"/>
                <w:szCs w:val="20"/>
              </w:rPr>
              <w:t>202,65</w:t>
            </w:r>
          </w:p>
          <w:p w:rsidR="00A52449" w:rsidRPr="00AA2BD4" w:rsidRDefault="00A52449" w:rsidP="002242A2">
            <w:pPr>
              <w:jc w:val="right"/>
              <w:rPr>
                <w:sz w:val="20"/>
                <w:szCs w:val="20"/>
              </w:rPr>
            </w:pPr>
            <w:r w:rsidRPr="00AA2BD4">
              <w:rPr>
                <w:sz w:val="20"/>
                <w:szCs w:val="20"/>
              </w:rPr>
              <w:t>0,00</w:t>
            </w:r>
          </w:p>
          <w:p w:rsidR="00A52449" w:rsidRPr="00AA2BD4" w:rsidRDefault="00A52449" w:rsidP="002242A2">
            <w:pPr>
              <w:jc w:val="right"/>
              <w:rPr>
                <w:sz w:val="20"/>
                <w:szCs w:val="20"/>
              </w:rPr>
            </w:pPr>
            <w:r w:rsidRPr="00AA2BD4">
              <w:rPr>
                <w:sz w:val="20"/>
                <w:szCs w:val="20"/>
              </w:rPr>
              <w:t>x</w:t>
            </w:r>
          </w:p>
        </w:tc>
      </w:tr>
      <w:tr w:rsidR="00A52449" w:rsidRPr="005B7FBE" w:rsidTr="002242A2">
        <w:trPr>
          <w:trHeight w:val="450"/>
        </w:trPr>
        <w:tc>
          <w:tcPr>
            <w:tcW w:w="4252" w:type="dxa"/>
            <w:tcBorders>
              <w:top w:val="single" w:sz="8" w:space="0" w:color="7F7F7F" w:themeColor="text1" w:themeTint="80"/>
              <w:bottom w:val="nil"/>
            </w:tcBorders>
            <w:shd w:val="clear" w:color="auto" w:fill="auto"/>
          </w:tcPr>
          <w:p w:rsidR="00A52449" w:rsidRPr="00F95459" w:rsidRDefault="00A52449" w:rsidP="002242A2">
            <w:pPr>
              <w:rPr>
                <w:b/>
                <w:sz w:val="20"/>
                <w:szCs w:val="20"/>
              </w:rPr>
            </w:pPr>
            <w:r w:rsidRPr="00F95459">
              <w:rPr>
                <w:b/>
                <w:sz w:val="20"/>
                <w:szCs w:val="20"/>
              </w:rPr>
              <w:t xml:space="preserve">Neinvestiční dotace neziskovým a podobným organizacím </w:t>
            </w:r>
            <w:r w:rsidRPr="00F95459">
              <w:rPr>
                <w:sz w:val="20"/>
                <w:szCs w:val="20"/>
              </w:rPr>
              <w:t>(podsesk. pol. 522)</w:t>
            </w:r>
          </w:p>
        </w:tc>
        <w:tc>
          <w:tcPr>
            <w:tcW w:w="1418" w:type="dxa"/>
            <w:tcBorders>
              <w:top w:val="single" w:sz="8" w:space="0" w:color="7F7F7F" w:themeColor="text1" w:themeTint="80"/>
              <w:bottom w:val="nil"/>
            </w:tcBorders>
            <w:shd w:val="clear" w:color="auto" w:fill="auto"/>
            <w:vAlign w:val="bottom"/>
          </w:tcPr>
          <w:p w:rsidR="00A52449" w:rsidRPr="00F95459" w:rsidRDefault="00A52449" w:rsidP="002242A2">
            <w:pPr>
              <w:jc w:val="right"/>
              <w:rPr>
                <w:b/>
                <w:sz w:val="20"/>
                <w:szCs w:val="20"/>
              </w:rPr>
            </w:pPr>
            <w:r w:rsidRPr="00F95459">
              <w:rPr>
                <w:b/>
                <w:sz w:val="20"/>
                <w:szCs w:val="20"/>
              </w:rPr>
              <w:t>12 462</w:t>
            </w:r>
          </w:p>
        </w:tc>
        <w:tc>
          <w:tcPr>
            <w:tcW w:w="1417" w:type="dxa"/>
            <w:tcBorders>
              <w:top w:val="single" w:sz="8" w:space="0" w:color="7F7F7F" w:themeColor="text1" w:themeTint="80"/>
              <w:bottom w:val="nil"/>
            </w:tcBorders>
            <w:shd w:val="clear" w:color="auto" w:fill="auto"/>
            <w:vAlign w:val="bottom"/>
          </w:tcPr>
          <w:p w:rsidR="00A52449" w:rsidRPr="00F95459" w:rsidRDefault="00A52449" w:rsidP="002242A2">
            <w:pPr>
              <w:jc w:val="right"/>
              <w:rPr>
                <w:b/>
                <w:sz w:val="20"/>
                <w:szCs w:val="20"/>
              </w:rPr>
            </w:pPr>
            <w:r w:rsidRPr="00F95459">
              <w:rPr>
                <w:b/>
                <w:sz w:val="20"/>
                <w:szCs w:val="20"/>
              </w:rPr>
              <w:t>9 600</w:t>
            </w:r>
          </w:p>
        </w:tc>
        <w:tc>
          <w:tcPr>
            <w:tcW w:w="1418" w:type="dxa"/>
            <w:tcBorders>
              <w:top w:val="single" w:sz="8" w:space="0" w:color="7F7F7F" w:themeColor="text1" w:themeTint="80"/>
              <w:bottom w:val="nil"/>
            </w:tcBorders>
            <w:shd w:val="clear" w:color="auto" w:fill="auto"/>
            <w:vAlign w:val="bottom"/>
          </w:tcPr>
          <w:p w:rsidR="00A52449" w:rsidRPr="008971F1" w:rsidRDefault="00A52449" w:rsidP="002242A2">
            <w:pPr>
              <w:jc w:val="right"/>
              <w:rPr>
                <w:b/>
                <w:sz w:val="20"/>
                <w:szCs w:val="20"/>
              </w:rPr>
            </w:pPr>
            <w:r w:rsidRPr="008971F1">
              <w:rPr>
                <w:b/>
                <w:sz w:val="20"/>
                <w:szCs w:val="20"/>
              </w:rPr>
              <w:t>8 900</w:t>
            </w:r>
          </w:p>
        </w:tc>
        <w:tc>
          <w:tcPr>
            <w:tcW w:w="997" w:type="dxa"/>
            <w:tcBorders>
              <w:top w:val="single" w:sz="8" w:space="0" w:color="7F7F7F" w:themeColor="text1" w:themeTint="80"/>
              <w:bottom w:val="nil"/>
            </w:tcBorders>
            <w:shd w:val="clear" w:color="auto" w:fill="auto"/>
            <w:vAlign w:val="bottom"/>
          </w:tcPr>
          <w:p w:rsidR="00A52449" w:rsidRPr="00512A9A" w:rsidRDefault="00A52449" w:rsidP="002242A2">
            <w:pPr>
              <w:jc w:val="right"/>
              <w:rPr>
                <w:b/>
                <w:sz w:val="20"/>
                <w:szCs w:val="20"/>
              </w:rPr>
            </w:pPr>
            <w:r w:rsidRPr="00512A9A">
              <w:rPr>
                <w:b/>
                <w:sz w:val="20"/>
                <w:szCs w:val="20"/>
              </w:rPr>
              <w:t>92,71</w:t>
            </w:r>
          </w:p>
        </w:tc>
      </w:tr>
      <w:tr w:rsidR="00A52449" w:rsidRPr="005B7FBE" w:rsidTr="002242A2">
        <w:trPr>
          <w:trHeight w:val="398"/>
        </w:trPr>
        <w:tc>
          <w:tcPr>
            <w:tcW w:w="4252" w:type="dxa"/>
            <w:tcBorders>
              <w:top w:val="nil"/>
              <w:bottom w:val="single" w:sz="8" w:space="0" w:color="7F7F7F" w:themeColor="text1" w:themeTint="80"/>
            </w:tcBorders>
            <w:shd w:val="clear" w:color="auto" w:fill="auto"/>
          </w:tcPr>
          <w:p w:rsidR="00A52449" w:rsidRPr="00F95459" w:rsidRDefault="00A52449" w:rsidP="002242A2">
            <w:pPr>
              <w:rPr>
                <w:sz w:val="20"/>
                <w:szCs w:val="20"/>
              </w:rPr>
            </w:pPr>
            <w:r w:rsidRPr="00F95459">
              <w:rPr>
                <w:sz w:val="20"/>
                <w:szCs w:val="20"/>
              </w:rPr>
              <w:t xml:space="preserve">      z toho: programové financování (EDS/SMVS)</w:t>
            </w:r>
          </w:p>
          <w:p w:rsidR="00A52449" w:rsidRPr="00F95459" w:rsidRDefault="00A52449" w:rsidP="002242A2">
            <w:pPr>
              <w:rPr>
                <w:sz w:val="20"/>
                <w:szCs w:val="20"/>
              </w:rPr>
            </w:pPr>
            <w:r w:rsidRPr="00F95459">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rsidR="00A52449" w:rsidRPr="00F95459" w:rsidRDefault="00A52449" w:rsidP="002242A2">
            <w:pPr>
              <w:jc w:val="right"/>
              <w:rPr>
                <w:sz w:val="20"/>
                <w:szCs w:val="20"/>
              </w:rPr>
            </w:pPr>
            <w:r w:rsidRPr="00F95459">
              <w:rPr>
                <w:sz w:val="20"/>
                <w:szCs w:val="20"/>
              </w:rPr>
              <w:t>2 862</w:t>
            </w:r>
          </w:p>
          <w:p w:rsidR="00A52449" w:rsidRPr="00F95459" w:rsidRDefault="00A52449" w:rsidP="002242A2">
            <w:pPr>
              <w:jc w:val="right"/>
              <w:rPr>
                <w:sz w:val="20"/>
                <w:szCs w:val="20"/>
              </w:rPr>
            </w:pPr>
            <w:r w:rsidRPr="00F95459">
              <w:rPr>
                <w:sz w:val="20"/>
                <w:szCs w:val="20"/>
              </w:rPr>
              <w:t>0</w:t>
            </w:r>
          </w:p>
        </w:tc>
        <w:tc>
          <w:tcPr>
            <w:tcW w:w="1417" w:type="dxa"/>
            <w:tcBorders>
              <w:top w:val="nil"/>
              <w:bottom w:val="single" w:sz="8" w:space="0" w:color="7F7F7F" w:themeColor="text1" w:themeTint="80"/>
            </w:tcBorders>
            <w:shd w:val="clear" w:color="auto" w:fill="auto"/>
            <w:vAlign w:val="center"/>
          </w:tcPr>
          <w:p w:rsidR="00A52449" w:rsidRPr="00F95459" w:rsidRDefault="00A52449" w:rsidP="002242A2">
            <w:pPr>
              <w:jc w:val="right"/>
              <w:rPr>
                <w:sz w:val="20"/>
                <w:szCs w:val="20"/>
              </w:rPr>
            </w:pPr>
            <w:r w:rsidRPr="00F95459">
              <w:rPr>
                <w:sz w:val="20"/>
                <w:szCs w:val="20"/>
              </w:rPr>
              <w:t>0</w:t>
            </w:r>
          </w:p>
          <w:p w:rsidR="00A52449" w:rsidRPr="00F95459" w:rsidRDefault="00A52449" w:rsidP="002242A2">
            <w:pPr>
              <w:jc w:val="right"/>
              <w:rPr>
                <w:sz w:val="20"/>
                <w:szCs w:val="20"/>
              </w:rPr>
            </w:pPr>
            <w:r w:rsidRPr="00F95459">
              <w:rPr>
                <w:sz w:val="20"/>
                <w:szCs w:val="20"/>
              </w:rPr>
              <w:t>0</w:t>
            </w:r>
          </w:p>
        </w:tc>
        <w:tc>
          <w:tcPr>
            <w:tcW w:w="1418" w:type="dxa"/>
            <w:tcBorders>
              <w:top w:val="nil"/>
              <w:bottom w:val="single" w:sz="8" w:space="0" w:color="7F7F7F" w:themeColor="text1" w:themeTint="80"/>
            </w:tcBorders>
            <w:shd w:val="clear" w:color="auto" w:fill="auto"/>
            <w:vAlign w:val="center"/>
          </w:tcPr>
          <w:p w:rsidR="00A52449" w:rsidRPr="008971F1" w:rsidRDefault="00A52449" w:rsidP="002242A2">
            <w:pPr>
              <w:jc w:val="right"/>
              <w:rPr>
                <w:sz w:val="20"/>
                <w:szCs w:val="20"/>
              </w:rPr>
            </w:pPr>
            <w:r w:rsidRPr="008971F1">
              <w:rPr>
                <w:sz w:val="20"/>
                <w:szCs w:val="20"/>
              </w:rPr>
              <w:t>0</w:t>
            </w:r>
          </w:p>
          <w:p w:rsidR="00A52449" w:rsidRPr="008971F1" w:rsidRDefault="00A52449" w:rsidP="002242A2">
            <w:pPr>
              <w:jc w:val="right"/>
              <w:rPr>
                <w:sz w:val="20"/>
                <w:szCs w:val="20"/>
              </w:rPr>
            </w:pPr>
            <w:r w:rsidRPr="008971F1">
              <w:rPr>
                <w:sz w:val="20"/>
                <w:szCs w:val="20"/>
              </w:rPr>
              <w:t>0</w:t>
            </w:r>
          </w:p>
        </w:tc>
        <w:tc>
          <w:tcPr>
            <w:tcW w:w="997" w:type="dxa"/>
            <w:tcBorders>
              <w:top w:val="nil"/>
              <w:bottom w:val="single" w:sz="8" w:space="0" w:color="7F7F7F" w:themeColor="text1" w:themeTint="80"/>
            </w:tcBorders>
            <w:shd w:val="clear" w:color="auto" w:fill="auto"/>
            <w:vAlign w:val="center"/>
          </w:tcPr>
          <w:p w:rsidR="00A52449" w:rsidRPr="00512A9A" w:rsidRDefault="00A52449" w:rsidP="002242A2">
            <w:pPr>
              <w:jc w:val="right"/>
              <w:rPr>
                <w:sz w:val="20"/>
                <w:szCs w:val="20"/>
              </w:rPr>
            </w:pPr>
            <w:r w:rsidRPr="00512A9A">
              <w:rPr>
                <w:sz w:val="20"/>
                <w:szCs w:val="20"/>
              </w:rPr>
              <w:t>x</w:t>
            </w:r>
          </w:p>
          <w:p w:rsidR="00A52449" w:rsidRPr="00512A9A" w:rsidRDefault="00A52449" w:rsidP="002242A2">
            <w:pPr>
              <w:jc w:val="right"/>
              <w:rPr>
                <w:b/>
                <w:sz w:val="20"/>
                <w:szCs w:val="20"/>
              </w:rPr>
            </w:pPr>
            <w:r w:rsidRPr="00512A9A">
              <w:rPr>
                <w:sz w:val="20"/>
                <w:szCs w:val="20"/>
              </w:rPr>
              <w:t>x</w:t>
            </w:r>
          </w:p>
        </w:tc>
      </w:tr>
      <w:tr w:rsidR="00A52449" w:rsidRPr="00CE4547" w:rsidTr="002242A2">
        <w:trPr>
          <w:trHeight w:val="431"/>
        </w:trPr>
        <w:tc>
          <w:tcPr>
            <w:tcW w:w="4252" w:type="dxa"/>
            <w:tcBorders>
              <w:top w:val="single" w:sz="8" w:space="0" w:color="7F7F7F" w:themeColor="text1" w:themeTint="80"/>
              <w:bottom w:val="nil"/>
            </w:tcBorders>
            <w:shd w:val="clear" w:color="auto" w:fill="auto"/>
          </w:tcPr>
          <w:p w:rsidR="00A52449" w:rsidRPr="00F95459" w:rsidRDefault="00A52449" w:rsidP="002242A2">
            <w:pPr>
              <w:rPr>
                <w:b/>
                <w:sz w:val="20"/>
                <w:szCs w:val="20"/>
              </w:rPr>
            </w:pPr>
            <w:r w:rsidRPr="00F95459">
              <w:rPr>
                <w:b/>
                <w:sz w:val="20"/>
                <w:szCs w:val="20"/>
              </w:rPr>
              <w:t xml:space="preserve">Neinvestiční transfery veřejným rozpočtům územní úrovně </w:t>
            </w:r>
            <w:r w:rsidRPr="00F95459">
              <w:rPr>
                <w:sz w:val="20"/>
                <w:szCs w:val="20"/>
              </w:rPr>
              <w:t>(podsesk. pol. 532)</w:t>
            </w:r>
          </w:p>
        </w:tc>
        <w:tc>
          <w:tcPr>
            <w:tcW w:w="1418" w:type="dxa"/>
            <w:tcBorders>
              <w:top w:val="single" w:sz="8" w:space="0" w:color="7F7F7F" w:themeColor="text1" w:themeTint="80"/>
              <w:bottom w:val="nil"/>
            </w:tcBorders>
            <w:shd w:val="clear" w:color="auto" w:fill="auto"/>
            <w:vAlign w:val="bottom"/>
          </w:tcPr>
          <w:p w:rsidR="00A52449" w:rsidRPr="00F95459" w:rsidRDefault="00A52449" w:rsidP="002242A2">
            <w:pPr>
              <w:ind w:right="15"/>
              <w:jc w:val="right"/>
              <w:rPr>
                <w:sz w:val="20"/>
                <w:szCs w:val="20"/>
              </w:rPr>
            </w:pPr>
            <w:r w:rsidRPr="00F95459">
              <w:rPr>
                <w:b/>
                <w:sz w:val="20"/>
                <w:szCs w:val="20"/>
              </w:rPr>
              <w:t>2 968 970</w:t>
            </w:r>
          </w:p>
        </w:tc>
        <w:tc>
          <w:tcPr>
            <w:tcW w:w="1417" w:type="dxa"/>
            <w:tcBorders>
              <w:top w:val="single" w:sz="8" w:space="0" w:color="7F7F7F" w:themeColor="text1" w:themeTint="80"/>
              <w:bottom w:val="nil"/>
            </w:tcBorders>
            <w:shd w:val="clear" w:color="auto" w:fill="auto"/>
            <w:vAlign w:val="bottom"/>
          </w:tcPr>
          <w:p w:rsidR="00A52449" w:rsidRPr="00F95459" w:rsidRDefault="00A52449" w:rsidP="002242A2">
            <w:pPr>
              <w:jc w:val="right"/>
              <w:rPr>
                <w:sz w:val="20"/>
                <w:szCs w:val="20"/>
              </w:rPr>
            </w:pPr>
            <w:r w:rsidRPr="00F95459">
              <w:rPr>
                <w:b/>
                <w:sz w:val="20"/>
                <w:szCs w:val="20"/>
              </w:rPr>
              <w:t xml:space="preserve">3 136 343 </w:t>
            </w:r>
          </w:p>
        </w:tc>
        <w:tc>
          <w:tcPr>
            <w:tcW w:w="1418" w:type="dxa"/>
            <w:tcBorders>
              <w:top w:val="single" w:sz="8" w:space="0" w:color="7F7F7F" w:themeColor="text1" w:themeTint="80"/>
              <w:bottom w:val="nil"/>
            </w:tcBorders>
            <w:shd w:val="clear" w:color="auto" w:fill="auto"/>
            <w:vAlign w:val="bottom"/>
          </w:tcPr>
          <w:p w:rsidR="00A52449" w:rsidRPr="008971F1" w:rsidRDefault="00A52449" w:rsidP="002242A2">
            <w:pPr>
              <w:jc w:val="right"/>
              <w:rPr>
                <w:sz w:val="20"/>
                <w:szCs w:val="20"/>
              </w:rPr>
            </w:pPr>
            <w:r w:rsidRPr="008971F1">
              <w:rPr>
                <w:b/>
                <w:sz w:val="20"/>
                <w:szCs w:val="20"/>
              </w:rPr>
              <w:t xml:space="preserve">3 355 495 </w:t>
            </w:r>
          </w:p>
        </w:tc>
        <w:tc>
          <w:tcPr>
            <w:tcW w:w="997" w:type="dxa"/>
            <w:tcBorders>
              <w:top w:val="single" w:sz="8" w:space="0" w:color="7F7F7F" w:themeColor="text1" w:themeTint="80"/>
              <w:bottom w:val="nil"/>
            </w:tcBorders>
            <w:shd w:val="clear" w:color="auto" w:fill="auto"/>
            <w:vAlign w:val="bottom"/>
          </w:tcPr>
          <w:p w:rsidR="00A52449" w:rsidRPr="00697B1B" w:rsidRDefault="00A52449" w:rsidP="002242A2">
            <w:pPr>
              <w:jc w:val="right"/>
              <w:rPr>
                <w:sz w:val="20"/>
                <w:szCs w:val="20"/>
              </w:rPr>
            </w:pPr>
            <w:r w:rsidRPr="00697B1B">
              <w:rPr>
                <w:b/>
                <w:sz w:val="20"/>
                <w:szCs w:val="20"/>
              </w:rPr>
              <w:t>106,99</w:t>
            </w:r>
          </w:p>
        </w:tc>
      </w:tr>
      <w:tr w:rsidR="00A52449" w:rsidRPr="00FA7C3F" w:rsidTr="002242A2">
        <w:tc>
          <w:tcPr>
            <w:tcW w:w="4252" w:type="dxa"/>
            <w:tcBorders>
              <w:top w:val="nil"/>
              <w:bottom w:val="single" w:sz="8" w:space="0" w:color="7F7F7F" w:themeColor="text1" w:themeTint="80"/>
            </w:tcBorders>
            <w:shd w:val="clear" w:color="auto" w:fill="auto"/>
          </w:tcPr>
          <w:p w:rsidR="00A52449" w:rsidRPr="00F95459" w:rsidRDefault="00A52449" w:rsidP="002242A2">
            <w:pPr>
              <w:tabs>
                <w:tab w:val="left" w:pos="540"/>
              </w:tabs>
              <w:rPr>
                <w:sz w:val="20"/>
                <w:szCs w:val="20"/>
              </w:rPr>
            </w:pPr>
            <w:r w:rsidRPr="00F95459">
              <w:rPr>
                <w:sz w:val="20"/>
                <w:szCs w:val="20"/>
              </w:rPr>
              <w:t xml:space="preserve">      z toho: programové financování (EDS/SMVS)</w:t>
            </w:r>
          </w:p>
          <w:p w:rsidR="00A52449" w:rsidRPr="00F95459" w:rsidRDefault="00A52449" w:rsidP="002242A2">
            <w:pPr>
              <w:tabs>
                <w:tab w:val="left" w:pos="540"/>
              </w:tabs>
              <w:rPr>
                <w:sz w:val="20"/>
                <w:szCs w:val="20"/>
              </w:rPr>
            </w:pPr>
            <w:r w:rsidRPr="00F95459">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rsidR="00A52449" w:rsidRPr="00F95459" w:rsidRDefault="00A52449" w:rsidP="002242A2">
            <w:pPr>
              <w:ind w:right="15"/>
              <w:jc w:val="right"/>
              <w:rPr>
                <w:sz w:val="20"/>
                <w:szCs w:val="20"/>
              </w:rPr>
            </w:pPr>
            <w:r w:rsidRPr="00F95459">
              <w:rPr>
                <w:sz w:val="20"/>
                <w:szCs w:val="20"/>
              </w:rPr>
              <w:t>0</w:t>
            </w:r>
          </w:p>
          <w:p w:rsidR="00A52449" w:rsidRPr="00F95459" w:rsidRDefault="00A52449" w:rsidP="002242A2">
            <w:pPr>
              <w:ind w:right="15"/>
              <w:jc w:val="right"/>
              <w:rPr>
                <w:sz w:val="20"/>
                <w:szCs w:val="20"/>
              </w:rPr>
            </w:pPr>
            <w:r w:rsidRPr="00F95459">
              <w:rPr>
                <w:sz w:val="20"/>
                <w:szCs w:val="20"/>
              </w:rPr>
              <w:t>0</w:t>
            </w:r>
          </w:p>
        </w:tc>
        <w:tc>
          <w:tcPr>
            <w:tcW w:w="1417" w:type="dxa"/>
            <w:tcBorders>
              <w:top w:val="nil"/>
              <w:bottom w:val="single" w:sz="8" w:space="0" w:color="7F7F7F" w:themeColor="text1" w:themeTint="80"/>
            </w:tcBorders>
            <w:shd w:val="clear" w:color="auto" w:fill="auto"/>
            <w:vAlign w:val="center"/>
          </w:tcPr>
          <w:p w:rsidR="00A52449" w:rsidRPr="00F95459" w:rsidRDefault="00A52449" w:rsidP="002242A2">
            <w:pPr>
              <w:jc w:val="right"/>
              <w:rPr>
                <w:sz w:val="20"/>
                <w:szCs w:val="20"/>
              </w:rPr>
            </w:pPr>
            <w:r w:rsidRPr="00F95459">
              <w:rPr>
                <w:sz w:val="20"/>
                <w:szCs w:val="20"/>
              </w:rPr>
              <w:t>0</w:t>
            </w:r>
          </w:p>
          <w:p w:rsidR="00A52449" w:rsidRPr="00F95459" w:rsidRDefault="00A52449" w:rsidP="002242A2">
            <w:pPr>
              <w:jc w:val="right"/>
              <w:rPr>
                <w:sz w:val="20"/>
                <w:szCs w:val="20"/>
              </w:rPr>
            </w:pPr>
            <w:r w:rsidRPr="00F95459">
              <w:rPr>
                <w:sz w:val="20"/>
                <w:szCs w:val="20"/>
              </w:rPr>
              <w:t>0</w:t>
            </w:r>
          </w:p>
        </w:tc>
        <w:tc>
          <w:tcPr>
            <w:tcW w:w="1418" w:type="dxa"/>
            <w:tcBorders>
              <w:top w:val="nil"/>
              <w:bottom w:val="single" w:sz="8" w:space="0" w:color="7F7F7F" w:themeColor="text1" w:themeTint="80"/>
            </w:tcBorders>
            <w:shd w:val="clear" w:color="auto" w:fill="auto"/>
            <w:vAlign w:val="center"/>
          </w:tcPr>
          <w:p w:rsidR="00A52449" w:rsidRPr="008971F1" w:rsidRDefault="00A52449" w:rsidP="002242A2">
            <w:pPr>
              <w:jc w:val="right"/>
              <w:rPr>
                <w:sz w:val="20"/>
                <w:szCs w:val="20"/>
              </w:rPr>
            </w:pPr>
            <w:r w:rsidRPr="008971F1">
              <w:rPr>
                <w:sz w:val="20"/>
                <w:szCs w:val="20"/>
              </w:rPr>
              <w:t>0</w:t>
            </w:r>
          </w:p>
          <w:p w:rsidR="00A52449" w:rsidRPr="008971F1" w:rsidRDefault="00A52449" w:rsidP="002242A2">
            <w:pPr>
              <w:jc w:val="right"/>
              <w:rPr>
                <w:sz w:val="20"/>
                <w:szCs w:val="20"/>
              </w:rPr>
            </w:pPr>
            <w:r w:rsidRPr="008971F1">
              <w:rPr>
                <w:sz w:val="20"/>
                <w:szCs w:val="20"/>
              </w:rPr>
              <w:t>0</w:t>
            </w:r>
          </w:p>
        </w:tc>
        <w:tc>
          <w:tcPr>
            <w:tcW w:w="997" w:type="dxa"/>
            <w:tcBorders>
              <w:top w:val="nil"/>
              <w:bottom w:val="single" w:sz="8" w:space="0" w:color="7F7F7F" w:themeColor="text1" w:themeTint="80"/>
            </w:tcBorders>
            <w:shd w:val="clear" w:color="auto" w:fill="auto"/>
            <w:vAlign w:val="center"/>
          </w:tcPr>
          <w:p w:rsidR="00A52449" w:rsidRPr="00697B1B" w:rsidRDefault="00A52449" w:rsidP="002242A2">
            <w:pPr>
              <w:jc w:val="right"/>
              <w:rPr>
                <w:b/>
                <w:sz w:val="20"/>
                <w:szCs w:val="20"/>
              </w:rPr>
            </w:pPr>
            <w:r w:rsidRPr="00697B1B">
              <w:rPr>
                <w:sz w:val="20"/>
                <w:szCs w:val="20"/>
              </w:rPr>
              <w:t>x</w:t>
            </w:r>
          </w:p>
          <w:p w:rsidR="00A52449" w:rsidRPr="00697B1B" w:rsidRDefault="00A52449" w:rsidP="002242A2">
            <w:pPr>
              <w:jc w:val="right"/>
              <w:rPr>
                <w:sz w:val="20"/>
                <w:szCs w:val="20"/>
              </w:rPr>
            </w:pPr>
            <w:r w:rsidRPr="00697B1B">
              <w:rPr>
                <w:sz w:val="20"/>
                <w:szCs w:val="20"/>
              </w:rPr>
              <w:t>x</w:t>
            </w:r>
          </w:p>
        </w:tc>
      </w:tr>
      <w:tr w:rsidR="00A52449" w:rsidRPr="00145CFF" w:rsidTr="002242A2">
        <w:trPr>
          <w:trHeight w:val="403"/>
        </w:trPr>
        <w:tc>
          <w:tcPr>
            <w:tcW w:w="4252" w:type="dxa"/>
            <w:tcBorders>
              <w:top w:val="single" w:sz="8" w:space="0" w:color="7F7F7F" w:themeColor="text1" w:themeTint="80"/>
              <w:bottom w:val="nil"/>
            </w:tcBorders>
            <w:shd w:val="clear" w:color="auto" w:fill="auto"/>
          </w:tcPr>
          <w:p w:rsidR="00A52449" w:rsidRPr="00F95459" w:rsidRDefault="00A52449" w:rsidP="002242A2">
            <w:pPr>
              <w:rPr>
                <w:b/>
                <w:sz w:val="20"/>
                <w:szCs w:val="20"/>
              </w:rPr>
            </w:pPr>
            <w:r w:rsidRPr="00F95459">
              <w:rPr>
                <w:b/>
                <w:sz w:val="20"/>
                <w:szCs w:val="20"/>
              </w:rPr>
              <w:t xml:space="preserve">Neinvestiční dotace podnikatelským subjektům </w:t>
            </w:r>
            <w:r w:rsidRPr="00F95459">
              <w:rPr>
                <w:sz w:val="20"/>
                <w:szCs w:val="20"/>
              </w:rPr>
              <w:t>(podsesk. pol. 521 a  položka 5193)</w:t>
            </w:r>
          </w:p>
        </w:tc>
        <w:tc>
          <w:tcPr>
            <w:tcW w:w="1418" w:type="dxa"/>
            <w:tcBorders>
              <w:top w:val="single" w:sz="8" w:space="0" w:color="7F7F7F" w:themeColor="text1" w:themeTint="80"/>
              <w:bottom w:val="nil"/>
            </w:tcBorders>
            <w:shd w:val="clear" w:color="auto" w:fill="auto"/>
            <w:vAlign w:val="bottom"/>
          </w:tcPr>
          <w:p w:rsidR="00A52449" w:rsidRPr="00F95459" w:rsidRDefault="00A52449" w:rsidP="002242A2">
            <w:pPr>
              <w:ind w:right="15"/>
              <w:jc w:val="right"/>
              <w:rPr>
                <w:b/>
                <w:sz w:val="20"/>
                <w:szCs w:val="20"/>
              </w:rPr>
            </w:pPr>
          </w:p>
          <w:p w:rsidR="00A52449" w:rsidRPr="00F95459" w:rsidRDefault="00A52449" w:rsidP="002242A2">
            <w:pPr>
              <w:ind w:right="15"/>
              <w:jc w:val="right"/>
              <w:rPr>
                <w:b/>
                <w:sz w:val="20"/>
                <w:szCs w:val="20"/>
              </w:rPr>
            </w:pPr>
            <w:r w:rsidRPr="00F95459">
              <w:rPr>
                <w:b/>
                <w:sz w:val="20"/>
                <w:szCs w:val="20"/>
              </w:rPr>
              <w:t>4 716 516</w:t>
            </w:r>
          </w:p>
        </w:tc>
        <w:tc>
          <w:tcPr>
            <w:tcW w:w="1417" w:type="dxa"/>
            <w:tcBorders>
              <w:top w:val="single" w:sz="8" w:space="0" w:color="7F7F7F" w:themeColor="text1" w:themeTint="80"/>
              <w:bottom w:val="nil"/>
            </w:tcBorders>
            <w:shd w:val="clear" w:color="auto" w:fill="auto"/>
            <w:vAlign w:val="bottom"/>
          </w:tcPr>
          <w:p w:rsidR="00A52449" w:rsidRPr="00F95459" w:rsidRDefault="00A52449" w:rsidP="002242A2">
            <w:pPr>
              <w:jc w:val="right"/>
              <w:rPr>
                <w:b/>
                <w:sz w:val="20"/>
                <w:szCs w:val="20"/>
              </w:rPr>
            </w:pPr>
          </w:p>
          <w:p w:rsidR="00A52449" w:rsidRPr="00F95459" w:rsidRDefault="00A52449" w:rsidP="002242A2">
            <w:pPr>
              <w:jc w:val="right"/>
              <w:rPr>
                <w:b/>
                <w:sz w:val="20"/>
                <w:szCs w:val="20"/>
              </w:rPr>
            </w:pPr>
            <w:r w:rsidRPr="00F95459">
              <w:rPr>
                <w:b/>
                <w:sz w:val="20"/>
                <w:szCs w:val="20"/>
              </w:rPr>
              <w:t xml:space="preserve">5 249 222 </w:t>
            </w:r>
          </w:p>
        </w:tc>
        <w:tc>
          <w:tcPr>
            <w:tcW w:w="1418" w:type="dxa"/>
            <w:tcBorders>
              <w:top w:val="single" w:sz="8" w:space="0" w:color="7F7F7F" w:themeColor="text1" w:themeTint="80"/>
              <w:bottom w:val="nil"/>
            </w:tcBorders>
            <w:shd w:val="clear" w:color="auto" w:fill="auto"/>
            <w:vAlign w:val="bottom"/>
          </w:tcPr>
          <w:p w:rsidR="00A52449" w:rsidRPr="008971F1" w:rsidRDefault="00A52449" w:rsidP="002242A2">
            <w:pPr>
              <w:jc w:val="right"/>
              <w:rPr>
                <w:b/>
                <w:sz w:val="20"/>
                <w:szCs w:val="20"/>
              </w:rPr>
            </w:pPr>
          </w:p>
          <w:p w:rsidR="00A52449" w:rsidRPr="008971F1" w:rsidRDefault="00A52449" w:rsidP="002242A2">
            <w:pPr>
              <w:jc w:val="right"/>
              <w:rPr>
                <w:b/>
                <w:sz w:val="20"/>
                <w:szCs w:val="20"/>
              </w:rPr>
            </w:pPr>
            <w:r w:rsidRPr="008971F1">
              <w:rPr>
                <w:b/>
                <w:sz w:val="20"/>
                <w:szCs w:val="20"/>
              </w:rPr>
              <w:t xml:space="preserve">5 246 855 </w:t>
            </w:r>
          </w:p>
        </w:tc>
        <w:tc>
          <w:tcPr>
            <w:tcW w:w="997" w:type="dxa"/>
            <w:tcBorders>
              <w:top w:val="single" w:sz="8" w:space="0" w:color="7F7F7F" w:themeColor="text1" w:themeTint="80"/>
              <w:bottom w:val="nil"/>
            </w:tcBorders>
            <w:shd w:val="clear" w:color="auto" w:fill="auto"/>
            <w:vAlign w:val="bottom"/>
          </w:tcPr>
          <w:p w:rsidR="00A52449" w:rsidRPr="00BC1123" w:rsidRDefault="00A52449" w:rsidP="002242A2">
            <w:pPr>
              <w:jc w:val="right"/>
              <w:rPr>
                <w:b/>
                <w:color w:val="FF0000"/>
                <w:sz w:val="20"/>
                <w:szCs w:val="20"/>
              </w:rPr>
            </w:pPr>
          </w:p>
          <w:p w:rsidR="00A52449" w:rsidRPr="00BC1123" w:rsidRDefault="00A52449" w:rsidP="002242A2">
            <w:pPr>
              <w:jc w:val="right"/>
              <w:rPr>
                <w:b/>
                <w:color w:val="FF0000"/>
                <w:sz w:val="20"/>
                <w:szCs w:val="20"/>
              </w:rPr>
            </w:pPr>
            <w:r w:rsidRPr="00B1427B">
              <w:rPr>
                <w:b/>
                <w:sz w:val="20"/>
                <w:szCs w:val="20"/>
              </w:rPr>
              <w:t>99,95</w:t>
            </w:r>
          </w:p>
        </w:tc>
      </w:tr>
      <w:tr w:rsidR="00A52449" w:rsidRPr="00145CFF" w:rsidTr="002242A2">
        <w:tc>
          <w:tcPr>
            <w:tcW w:w="4252" w:type="dxa"/>
            <w:tcBorders>
              <w:top w:val="nil"/>
              <w:bottom w:val="single" w:sz="8" w:space="0" w:color="7F7F7F" w:themeColor="text1" w:themeTint="80"/>
            </w:tcBorders>
            <w:shd w:val="clear" w:color="auto" w:fill="auto"/>
          </w:tcPr>
          <w:p w:rsidR="00A52449" w:rsidRPr="00F95459" w:rsidRDefault="00A52449" w:rsidP="002242A2">
            <w:pPr>
              <w:rPr>
                <w:sz w:val="20"/>
                <w:szCs w:val="20"/>
              </w:rPr>
            </w:pPr>
            <w:r w:rsidRPr="00F95459">
              <w:rPr>
                <w:sz w:val="20"/>
                <w:szCs w:val="20"/>
              </w:rPr>
              <w:t xml:space="preserve">      z toho: programové financování (EDS/SMVS)</w:t>
            </w:r>
          </w:p>
          <w:p w:rsidR="00A52449" w:rsidRPr="00F95459" w:rsidRDefault="00A52449" w:rsidP="002242A2">
            <w:pPr>
              <w:rPr>
                <w:sz w:val="20"/>
                <w:szCs w:val="20"/>
              </w:rPr>
            </w:pPr>
            <w:r w:rsidRPr="00F95459">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rsidR="00A52449" w:rsidRPr="00F95459" w:rsidRDefault="00A52449" w:rsidP="002242A2">
            <w:pPr>
              <w:ind w:right="15"/>
              <w:jc w:val="right"/>
              <w:rPr>
                <w:sz w:val="20"/>
                <w:szCs w:val="20"/>
              </w:rPr>
            </w:pPr>
            <w:r w:rsidRPr="00F95459">
              <w:rPr>
                <w:sz w:val="20"/>
                <w:szCs w:val="20"/>
              </w:rPr>
              <w:t xml:space="preserve">1 646 </w:t>
            </w:r>
          </w:p>
          <w:p w:rsidR="00A52449" w:rsidRPr="00F95459" w:rsidRDefault="00A52449" w:rsidP="002242A2">
            <w:pPr>
              <w:ind w:right="15"/>
              <w:jc w:val="right"/>
              <w:rPr>
                <w:b/>
                <w:sz w:val="20"/>
                <w:szCs w:val="20"/>
              </w:rPr>
            </w:pPr>
            <w:r w:rsidRPr="00F95459">
              <w:rPr>
                <w:sz w:val="20"/>
                <w:szCs w:val="20"/>
              </w:rPr>
              <w:t xml:space="preserve">33 161      </w:t>
            </w:r>
          </w:p>
        </w:tc>
        <w:tc>
          <w:tcPr>
            <w:tcW w:w="1417" w:type="dxa"/>
            <w:tcBorders>
              <w:top w:val="nil"/>
              <w:bottom w:val="single" w:sz="8" w:space="0" w:color="7F7F7F" w:themeColor="text1" w:themeTint="80"/>
            </w:tcBorders>
            <w:shd w:val="clear" w:color="auto" w:fill="auto"/>
            <w:vAlign w:val="center"/>
          </w:tcPr>
          <w:p w:rsidR="00A52449" w:rsidRPr="00F95459" w:rsidRDefault="00A52449" w:rsidP="002242A2">
            <w:pPr>
              <w:jc w:val="right"/>
              <w:rPr>
                <w:sz w:val="20"/>
                <w:szCs w:val="20"/>
              </w:rPr>
            </w:pPr>
            <w:r w:rsidRPr="00F95459">
              <w:rPr>
                <w:sz w:val="20"/>
                <w:szCs w:val="20"/>
              </w:rPr>
              <w:t>4 000</w:t>
            </w:r>
          </w:p>
          <w:p w:rsidR="00A52449" w:rsidRPr="00F95459" w:rsidRDefault="00A52449" w:rsidP="002242A2">
            <w:pPr>
              <w:jc w:val="right"/>
              <w:rPr>
                <w:sz w:val="20"/>
                <w:szCs w:val="20"/>
              </w:rPr>
            </w:pPr>
            <w:r w:rsidRPr="00F95459">
              <w:rPr>
                <w:sz w:val="20"/>
                <w:szCs w:val="20"/>
              </w:rPr>
              <w:t>0</w:t>
            </w:r>
          </w:p>
        </w:tc>
        <w:tc>
          <w:tcPr>
            <w:tcW w:w="1418" w:type="dxa"/>
            <w:tcBorders>
              <w:top w:val="nil"/>
              <w:bottom w:val="single" w:sz="8" w:space="0" w:color="7F7F7F" w:themeColor="text1" w:themeTint="80"/>
            </w:tcBorders>
            <w:shd w:val="clear" w:color="auto" w:fill="auto"/>
            <w:vAlign w:val="center"/>
          </w:tcPr>
          <w:p w:rsidR="00A52449" w:rsidRPr="008971F1" w:rsidRDefault="00A52449" w:rsidP="002242A2">
            <w:pPr>
              <w:jc w:val="right"/>
              <w:rPr>
                <w:sz w:val="20"/>
                <w:szCs w:val="20"/>
              </w:rPr>
            </w:pPr>
            <w:r w:rsidRPr="008971F1">
              <w:rPr>
                <w:sz w:val="20"/>
                <w:szCs w:val="20"/>
              </w:rPr>
              <w:t>5 000</w:t>
            </w:r>
          </w:p>
          <w:p w:rsidR="00A52449" w:rsidRPr="008971F1" w:rsidRDefault="00A52449" w:rsidP="002242A2">
            <w:pPr>
              <w:jc w:val="right"/>
              <w:rPr>
                <w:sz w:val="20"/>
                <w:szCs w:val="20"/>
              </w:rPr>
            </w:pPr>
            <w:r w:rsidRPr="008971F1">
              <w:rPr>
                <w:sz w:val="20"/>
                <w:szCs w:val="20"/>
              </w:rPr>
              <w:t>19 837</w:t>
            </w:r>
          </w:p>
        </w:tc>
        <w:tc>
          <w:tcPr>
            <w:tcW w:w="997" w:type="dxa"/>
            <w:tcBorders>
              <w:top w:val="nil"/>
              <w:bottom w:val="single" w:sz="8" w:space="0" w:color="7F7F7F" w:themeColor="text1" w:themeTint="80"/>
            </w:tcBorders>
            <w:shd w:val="clear" w:color="auto" w:fill="auto"/>
            <w:vAlign w:val="center"/>
          </w:tcPr>
          <w:p w:rsidR="00A52449" w:rsidRPr="0006229B" w:rsidRDefault="00A52449" w:rsidP="002242A2">
            <w:pPr>
              <w:jc w:val="right"/>
              <w:rPr>
                <w:sz w:val="20"/>
                <w:szCs w:val="20"/>
              </w:rPr>
            </w:pPr>
            <w:r w:rsidRPr="0006229B">
              <w:rPr>
                <w:sz w:val="20"/>
                <w:szCs w:val="20"/>
              </w:rPr>
              <w:t xml:space="preserve">125,00               </w:t>
            </w:r>
          </w:p>
          <w:p w:rsidR="00A52449" w:rsidRPr="0006229B" w:rsidRDefault="00A52449" w:rsidP="002242A2">
            <w:pPr>
              <w:jc w:val="right"/>
              <w:rPr>
                <w:sz w:val="20"/>
                <w:szCs w:val="20"/>
              </w:rPr>
            </w:pPr>
            <w:r>
              <w:rPr>
                <w:sz w:val="20"/>
                <w:szCs w:val="20"/>
              </w:rPr>
              <w:t>x</w:t>
            </w:r>
          </w:p>
        </w:tc>
      </w:tr>
      <w:tr w:rsidR="00A52449" w:rsidRPr="00F95459" w:rsidTr="002242A2">
        <w:trPr>
          <w:trHeight w:val="476"/>
        </w:trPr>
        <w:tc>
          <w:tcPr>
            <w:tcW w:w="4252" w:type="dxa"/>
            <w:tcBorders>
              <w:top w:val="single" w:sz="8" w:space="0" w:color="7F7F7F" w:themeColor="text1" w:themeTint="80"/>
              <w:bottom w:val="nil"/>
            </w:tcBorders>
            <w:shd w:val="clear" w:color="auto" w:fill="auto"/>
          </w:tcPr>
          <w:p w:rsidR="00A52449" w:rsidRPr="00F95459" w:rsidRDefault="00A52449" w:rsidP="002242A2">
            <w:pPr>
              <w:rPr>
                <w:b/>
                <w:sz w:val="20"/>
                <w:szCs w:val="20"/>
              </w:rPr>
            </w:pPr>
            <w:r w:rsidRPr="00F95459">
              <w:rPr>
                <w:b/>
                <w:sz w:val="20"/>
                <w:szCs w:val="20"/>
              </w:rPr>
              <w:t>Neinvestiční půjčené prostředky podnikatelským subjektům (</w:t>
            </w:r>
            <w:r w:rsidRPr="00F95459">
              <w:rPr>
                <w:sz w:val="20"/>
                <w:szCs w:val="20"/>
              </w:rPr>
              <w:t>podsesk. pol. 561)</w:t>
            </w:r>
          </w:p>
        </w:tc>
        <w:tc>
          <w:tcPr>
            <w:tcW w:w="1418" w:type="dxa"/>
            <w:tcBorders>
              <w:top w:val="single" w:sz="8" w:space="0" w:color="7F7F7F" w:themeColor="text1" w:themeTint="80"/>
              <w:bottom w:val="nil"/>
            </w:tcBorders>
            <w:shd w:val="clear" w:color="auto" w:fill="auto"/>
            <w:vAlign w:val="bottom"/>
          </w:tcPr>
          <w:p w:rsidR="00A52449" w:rsidRPr="00F95459" w:rsidRDefault="00A52449" w:rsidP="002242A2">
            <w:pPr>
              <w:ind w:right="15"/>
              <w:jc w:val="right"/>
              <w:rPr>
                <w:b/>
                <w:color w:val="FF0000"/>
                <w:sz w:val="20"/>
                <w:szCs w:val="20"/>
              </w:rPr>
            </w:pPr>
            <w:r w:rsidRPr="00F95459">
              <w:rPr>
                <w:b/>
                <w:sz w:val="20"/>
                <w:szCs w:val="20"/>
              </w:rPr>
              <w:t>10 650</w:t>
            </w:r>
          </w:p>
        </w:tc>
        <w:tc>
          <w:tcPr>
            <w:tcW w:w="1417" w:type="dxa"/>
            <w:tcBorders>
              <w:top w:val="single" w:sz="8" w:space="0" w:color="7F7F7F" w:themeColor="text1" w:themeTint="80"/>
              <w:bottom w:val="nil"/>
            </w:tcBorders>
            <w:shd w:val="clear" w:color="auto" w:fill="auto"/>
            <w:vAlign w:val="bottom"/>
          </w:tcPr>
          <w:p w:rsidR="00A52449" w:rsidRPr="00F95459" w:rsidRDefault="00A52449" w:rsidP="002242A2">
            <w:pPr>
              <w:jc w:val="right"/>
              <w:rPr>
                <w:b/>
                <w:sz w:val="20"/>
                <w:szCs w:val="20"/>
              </w:rPr>
            </w:pPr>
            <w:r w:rsidRPr="00F95459">
              <w:rPr>
                <w:b/>
                <w:sz w:val="20"/>
                <w:szCs w:val="20"/>
              </w:rPr>
              <w:t>0</w:t>
            </w:r>
          </w:p>
        </w:tc>
        <w:tc>
          <w:tcPr>
            <w:tcW w:w="1418" w:type="dxa"/>
            <w:tcBorders>
              <w:top w:val="single" w:sz="8" w:space="0" w:color="7F7F7F" w:themeColor="text1" w:themeTint="80"/>
              <w:bottom w:val="nil"/>
            </w:tcBorders>
            <w:shd w:val="clear" w:color="auto" w:fill="auto"/>
            <w:vAlign w:val="bottom"/>
          </w:tcPr>
          <w:p w:rsidR="00A52449" w:rsidRPr="008971F1" w:rsidRDefault="00A52449" w:rsidP="002242A2">
            <w:pPr>
              <w:jc w:val="right"/>
              <w:rPr>
                <w:b/>
                <w:sz w:val="20"/>
                <w:szCs w:val="20"/>
              </w:rPr>
            </w:pPr>
            <w:r w:rsidRPr="008971F1">
              <w:rPr>
                <w:b/>
                <w:sz w:val="20"/>
                <w:szCs w:val="20"/>
              </w:rPr>
              <w:t>0</w:t>
            </w:r>
          </w:p>
        </w:tc>
        <w:tc>
          <w:tcPr>
            <w:tcW w:w="997" w:type="dxa"/>
            <w:tcBorders>
              <w:top w:val="single" w:sz="8" w:space="0" w:color="7F7F7F" w:themeColor="text1" w:themeTint="80"/>
              <w:bottom w:val="nil"/>
            </w:tcBorders>
            <w:shd w:val="clear" w:color="auto" w:fill="auto"/>
            <w:vAlign w:val="bottom"/>
          </w:tcPr>
          <w:p w:rsidR="00A52449" w:rsidRPr="00512A9A" w:rsidRDefault="00A52449" w:rsidP="002242A2">
            <w:pPr>
              <w:jc w:val="right"/>
              <w:rPr>
                <w:b/>
                <w:sz w:val="20"/>
                <w:szCs w:val="20"/>
              </w:rPr>
            </w:pPr>
            <w:r w:rsidRPr="00512A9A">
              <w:rPr>
                <w:b/>
                <w:sz w:val="20"/>
                <w:szCs w:val="20"/>
              </w:rPr>
              <w:t>x</w:t>
            </w:r>
          </w:p>
        </w:tc>
      </w:tr>
      <w:tr w:rsidR="00A52449" w:rsidRPr="00DC4D24" w:rsidTr="002242A2">
        <w:tc>
          <w:tcPr>
            <w:tcW w:w="4252" w:type="dxa"/>
            <w:tcBorders>
              <w:top w:val="single" w:sz="8" w:space="0" w:color="7F7F7F" w:themeColor="text1" w:themeTint="80"/>
              <w:bottom w:val="nil"/>
            </w:tcBorders>
            <w:shd w:val="clear" w:color="auto" w:fill="auto"/>
          </w:tcPr>
          <w:p w:rsidR="00A52449" w:rsidRPr="00F95459" w:rsidRDefault="00A52449" w:rsidP="002242A2">
            <w:pPr>
              <w:rPr>
                <w:b/>
                <w:sz w:val="20"/>
                <w:szCs w:val="20"/>
              </w:rPr>
            </w:pPr>
            <w:r w:rsidRPr="00F95459">
              <w:rPr>
                <w:b/>
                <w:sz w:val="20"/>
                <w:szCs w:val="20"/>
              </w:rPr>
              <w:t xml:space="preserve">Neinvestiční dotace státním fondům  </w:t>
            </w:r>
            <w:r w:rsidRPr="00F95459">
              <w:rPr>
                <w:sz w:val="20"/>
                <w:szCs w:val="20"/>
              </w:rPr>
              <w:t>(podsesk. pol. 531)</w:t>
            </w:r>
          </w:p>
        </w:tc>
        <w:tc>
          <w:tcPr>
            <w:tcW w:w="1418" w:type="dxa"/>
            <w:tcBorders>
              <w:top w:val="single" w:sz="8" w:space="0" w:color="7F7F7F" w:themeColor="text1" w:themeTint="80"/>
              <w:bottom w:val="nil"/>
            </w:tcBorders>
            <w:shd w:val="clear" w:color="auto" w:fill="auto"/>
            <w:vAlign w:val="bottom"/>
          </w:tcPr>
          <w:p w:rsidR="00A52449" w:rsidRPr="00F95459" w:rsidRDefault="00A52449" w:rsidP="002242A2">
            <w:pPr>
              <w:ind w:right="15"/>
              <w:jc w:val="right"/>
              <w:rPr>
                <w:sz w:val="20"/>
                <w:szCs w:val="20"/>
              </w:rPr>
            </w:pPr>
            <w:r w:rsidRPr="00F95459">
              <w:rPr>
                <w:b/>
                <w:sz w:val="20"/>
                <w:szCs w:val="20"/>
              </w:rPr>
              <w:t>13 966 954</w:t>
            </w:r>
          </w:p>
        </w:tc>
        <w:tc>
          <w:tcPr>
            <w:tcW w:w="1417" w:type="dxa"/>
            <w:tcBorders>
              <w:top w:val="single" w:sz="8" w:space="0" w:color="7F7F7F" w:themeColor="text1" w:themeTint="80"/>
              <w:bottom w:val="nil"/>
            </w:tcBorders>
            <w:shd w:val="clear" w:color="auto" w:fill="auto"/>
            <w:vAlign w:val="bottom"/>
          </w:tcPr>
          <w:p w:rsidR="00A52449" w:rsidRPr="00F95459" w:rsidRDefault="00A52449" w:rsidP="002242A2">
            <w:pPr>
              <w:rPr>
                <w:sz w:val="20"/>
                <w:szCs w:val="20"/>
              </w:rPr>
            </w:pPr>
            <w:r>
              <w:rPr>
                <w:b/>
                <w:sz w:val="20"/>
                <w:szCs w:val="20"/>
              </w:rPr>
              <w:t xml:space="preserve">     </w:t>
            </w:r>
            <w:r w:rsidRPr="00F95459">
              <w:rPr>
                <w:b/>
                <w:sz w:val="20"/>
                <w:szCs w:val="20"/>
              </w:rPr>
              <w:t xml:space="preserve"> </w:t>
            </w:r>
            <w:r>
              <w:rPr>
                <w:b/>
                <w:sz w:val="20"/>
                <w:szCs w:val="20"/>
              </w:rPr>
              <w:t>14 484 256</w:t>
            </w:r>
          </w:p>
        </w:tc>
        <w:tc>
          <w:tcPr>
            <w:tcW w:w="1418" w:type="dxa"/>
            <w:tcBorders>
              <w:top w:val="single" w:sz="8" w:space="0" w:color="7F7F7F" w:themeColor="text1" w:themeTint="80"/>
              <w:bottom w:val="nil"/>
            </w:tcBorders>
            <w:shd w:val="clear" w:color="auto" w:fill="auto"/>
            <w:vAlign w:val="bottom"/>
          </w:tcPr>
          <w:p w:rsidR="00A52449" w:rsidRPr="008971F1" w:rsidRDefault="00A52449" w:rsidP="002242A2">
            <w:pPr>
              <w:jc w:val="right"/>
              <w:rPr>
                <w:sz w:val="20"/>
                <w:szCs w:val="20"/>
              </w:rPr>
            </w:pPr>
            <w:r w:rsidRPr="008971F1">
              <w:rPr>
                <w:b/>
                <w:sz w:val="20"/>
                <w:szCs w:val="20"/>
              </w:rPr>
              <w:t>15 063 554</w:t>
            </w:r>
          </w:p>
        </w:tc>
        <w:tc>
          <w:tcPr>
            <w:tcW w:w="997" w:type="dxa"/>
            <w:tcBorders>
              <w:top w:val="single" w:sz="8" w:space="0" w:color="7F7F7F" w:themeColor="text1" w:themeTint="80"/>
              <w:bottom w:val="nil"/>
            </w:tcBorders>
            <w:shd w:val="clear" w:color="auto" w:fill="auto"/>
            <w:vAlign w:val="bottom"/>
          </w:tcPr>
          <w:p w:rsidR="00A52449" w:rsidRPr="00E63F07" w:rsidRDefault="00A52449" w:rsidP="002242A2">
            <w:pPr>
              <w:jc w:val="right"/>
              <w:rPr>
                <w:b/>
                <w:sz w:val="20"/>
                <w:szCs w:val="20"/>
              </w:rPr>
            </w:pPr>
            <w:r w:rsidRPr="00E63F07">
              <w:rPr>
                <w:b/>
                <w:sz w:val="20"/>
                <w:szCs w:val="20"/>
              </w:rPr>
              <w:t>104,00</w:t>
            </w:r>
          </w:p>
        </w:tc>
      </w:tr>
      <w:tr w:rsidR="00A52449" w:rsidRPr="00DC4D24" w:rsidTr="002242A2">
        <w:tc>
          <w:tcPr>
            <w:tcW w:w="4252" w:type="dxa"/>
            <w:tcBorders>
              <w:top w:val="nil"/>
              <w:bottom w:val="single" w:sz="8" w:space="0" w:color="7F7F7F" w:themeColor="text1" w:themeTint="80"/>
            </w:tcBorders>
            <w:shd w:val="clear" w:color="auto" w:fill="auto"/>
          </w:tcPr>
          <w:p w:rsidR="00A52449" w:rsidRPr="00F95459" w:rsidRDefault="00A52449" w:rsidP="002242A2">
            <w:pPr>
              <w:rPr>
                <w:sz w:val="20"/>
                <w:szCs w:val="20"/>
              </w:rPr>
            </w:pPr>
            <w:r w:rsidRPr="00F95459">
              <w:rPr>
                <w:sz w:val="20"/>
                <w:szCs w:val="20"/>
              </w:rPr>
              <w:t xml:space="preserve">     z toho: programové financování (EDS/SMVS)</w:t>
            </w:r>
          </w:p>
          <w:p w:rsidR="00A52449" w:rsidRPr="00F95459" w:rsidRDefault="00A52449" w:rsidP="002242A2">
            <w:pPr>
              <w:rPr>
                <w:sz w:val="20"/>
                <w:szCs w:val="20"/>
              </w:rPr>
            </w:pPr>
            <w:r w:rsidRPr="00F95459">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rsidR="00A52449" w:rsidRPr="00F95459" w:rsidRDefault="00A52449" w:rsidP="002242A2">
            <w:pPr>
              <w:ind w:right="15"/>
              <w:jc w:val="right"/>
              <w:rPr>
                <w:sz w:val="20"/>
                <w:szCs w:val="20"/>
              </w:rPr>
            </w:pPr>
            <w:r w:rsidRPr="00F95459">
              <w:rPr>
                <w:sz w:val="20"/>
                <w:szCs w:val="20"/>
              </w:rPr>
              <w:t>2 237</w:t>
            </w:r>
          </w:p>
          <w:p w:rsidR="00A52449" w:rsidRPr="00F95459" w:rsidRDefault="00A52449" w:rsidP="002242A2">
            <w:pPr>
              <w:ind w:right="15"/>
              <w:jc w:val="right"/>
              <w:rPr>
                <w:sz w:val="20"/>
                <w:szCs w:val="20"/>
              </w:rPr>
            </w:pPr>
            <w:r w:rsidRPr="00F95459">
              <w:rPr>
                <w:sz w:val="20"/>
                <w:szCs w:val="20"/>
              </w:rPr>
              <w:t>53 459</w:t>
            </w:r>
          </w:p>
        </w:tc>
        <w:tc>
          <w:tcPr>
            <w:tcW w:w="1417" w:type="dxa"/>
            <w:tcBorders>
              <w:top w:val="nil"/>
              <w:bottom w:val="single" w:sz="8" w:space="0" w:color="7F7F7F" w:themeColor="text1" w:themeTint="80"/>
            </w:tcBorders>
            <w:shd w:val="clear" w:color="auto" w:fill="auto"/>
            <w:vAlign w:val="center"/>
          </w:tcPr>
          <w:p w:rsidR="00A52449" w:rsidRPr="00F95459" w:rsidRDefault="00A52449" w:rsidP="002242A2">
            <w:pPr>
              <w:jc w:val="right"/>
              <w:rPr>
                <w:sz w:val="20"/>
                <w:szCs w:val="20"/>
              </w:rPr>
            </w:pPr>
            <w:r>
              <w:rPr>
                <w:sz w:val="20"/>
                <w:szCs w:val="20"/>
              </w:rPr>
              <w:t>14 426 304</w:t>
            </w:r>
          </w:p>
          <w:p w:rsidR="00A52449" w:rsidRPr="00F95459" w:rsidRDefault="00A52449" w:rsidP="002242A2">
            <w:pPr>
              <w:jc w:val="right"/>
              <w:rPr>
                <w:sz w:val="20"/>
                <w:szCs w:val="20"/>
              </w:rPr>
            </w:pPr>
            <w:r w:rsidRPr="00F95459">
              <w:rPr>
                <w:sz w:val="20"/>
                <w:szCs w:val="20"/>
              </w:rPr>
              <w:t>58 926</w:t>
            </w:r>
          </w:p>
        </w:tc>
        <w:tc>
          <w:tcPr>
            <w:tcW w:w="1418" w:type="dxa"/>
            <w:tcBorders>
              <w:top w:val="nil"/>
              <w:bottom w:val="single" w:sz="8" w:space="0" w:color="7F7F7F" w:themeColor="text1" w:themeTint="80"/>
            </w:tcBorders>
            <w:shd w:val="clear" w:color="auto" w:fill="auto"/>
            <w:vAlign w:val="center"/>
          </w:tcPr>
          <w:p w:rsidR="00A52449" w:rsidRPr="008971F1" w:rsidRDefault="00A52449" w:rsidP="002242A2">
            <w:pPr>
              <w:jc w:val="right"/>
              <w:rPr>
                <w:sz w:val="20"/>
                <w:szCs w:val="20"/>
              </w:rPr>
            </w:pPr>
            <w:r w:rsidRPr="008971F1">
              <w:rPr>
                <w:sz w:val="20"/>
                <w:szCs w:val="20"/>
              </w:rPr>
              <w:t>15 000 452</w:t>
            </w:r>
          </w:p>
          <w:p w:rsidR="00A52449" w:rsidRPr="008971F1" w:rsidRDefault="00A52449" w:rsidP="002242A2">
            <w:pPr>
              <w:jc w:val="right"/>
              <w:rPr>
                <w:sz w:val="20"/>
                <w:szCs w:val="20"/>
              </w:rPr>
            </w:pPr>
            <w:r w:rsidRPr="008971F1">
              <w:rPr>
                <w:sz w:val="20"/>
                <w:szCs w:val="20"/>
              </w:rPr>
              <w:t>63 554</w:t>
            </w:r>
          </w:p>
        </w:tc>
        <w:tc>
          <w:tcPr>
            <w:tcW w:w="997" w:type="dxa"/>
            <w:tcBorders>
              <w:top w:val="nil"/>
              <w:bottom w:val="single" w:sz="8" w:space="0" w:color="7F7F7F" w:themeColor="text1" w:themeTint="80"/>
            </w:tcBorders>
            <w:shd w:val="clear" w:color="auto" w:fill="auto"/>
            <w:vAlign w:val="center"/>
          </w:tcPr>
          <w:p w:rsidR="00A52449" w:rsidRPr="00E63F07" w:rsidRDefault="00A52449" w:rsidP="002242A2">
            <w:pPr>
              <w:jc w:val="right"/>
              <w:rPr>
                <w:sz w:val="20"/>
                <w:szCs w:val="20"/>
              </w:rPr>
            </w:pPr>
            <w:r w:rsidRPr="00E63F07">
              <w:rPr>
                <w:sz w:val="20"/>
                <w:szCs w:val="20"/>
              </w:rPr>
              <w:t xml:space="preserve">103,98                </w:t>
            </w:r>
          </w:p>
          <w:p w:rsidR="00A52449" w:rsidRPr="00E63F07" w:rsidRDefault="00A52449" w:rsidP="002242A2">
            <w:pPr>
              <w:jc w:val="right"/>
              <w:rPr>
                <w:sz w:val="20"/>
                <w:szCs w:val="20"/>
              </w:rPr>
            </w:pPr>
            <w:r w:rsidRPr="00E63F07">
              <w:rPr>
                <w:sz w:val="20"/>
                <w:szCs w:val="20"/>
              </w:rPr>
              <w:t>107,85</w:t>
            </w:r>
          </w:p>
        </w:tc>
      </w:tr>
      <w:tr w:rsidR="00A52449" w:rsidRPr="00F95459" w:rsidTr="002242A2">
        <w:trPr>
          <w:trHeight w:val="383"/>
        </w:trPr>
        <w:tc>
          <w:tcPr>
            <w:tcW w:w="4252" w:type="dxa"/>
            <w:tcBorders>
              <w:top w:val="single" w:sz="8" w:space="0" w:color="7F7F7F" w:themeColor="text1" w:themeTint="80"/>
              <w:bottom w:val="single" w:sz="8" w:space="0" w:color="7F7F7F" w:themeColor="text1" w:themeTint="80"/>
            </w:tcBorders>
            <w:shd w:val="clear" w:color="auto" w:fill="auto"/>
          </w:tcPr>
          <w:p w:rsidR="00A52449" w:rsidRPr="00F95459" w:rsidRDefault="00A52449" w:rsidP="002242A2">
            <w:pPr>
              <w:rPr>
                <w:b/>
                <w:sz w:val="20"/>
                <w:szCs w:val="20"/>
              </w:rPr>
            </w:pPr>
            <w:r w:rsidRPr="00F95459">
              <w:rPr>
                <w:b/>
                <w:sz w:val="20"/>
                <w:szCs w:val="20"/>
              </w:rPr>
              <w:t xml:space="preserve">Neinvestiční transfery do zahraničí </w:t>
            </w:r>
            <w:r w:rsidRPr="00F95459">
              <w:rPr>
                <w:sz w:val="20"/>
                <w:szCs w:val="20"/>
              </w:rPr>
              <w:t>(podsesk. pol. 551, 553, 554)</w:t>
            </w:r>
          </w:p>
        </w:tc>
        <w:tc>
          <w:tcPr>
            <w:tcW w:w="1418" w:type="dxa"/>
            <w:tcBorders>
              <w:top w:val="single" w:sz="8" w:space="0" w:color="7F7F7F" w:themeColor="text1" w:themeTint="80"/>
              <w:bottom w:val="single" w:sz="8" w:space="0" w:color="7F7F7F" w:themeColor="text1" w:themeTint="80"/>
            </w:tcBorders>
            <w:shd w:val="clear" w:color="auto" w:fill="auto"/>
            <w:vAlign w:val="bottom"/>
          </w:tcPr>
          <w:p w:rsidR="00A52449" w:rsidRPr="00F95459" w:rsidRDefault="00A52449" w:rsidP="002242A2">
            <w:pPr>
              <w:ind w:right="15"/>
              <w:jc w:val="right"/>
              <w:rPr>
                <w:b/>
                <w:color w:val="FF0000"/>
                <w:sz w:val="20"/>
                <w:szCs w:val="20"/>
              </w:rPr>
            </w:pPr>
            <w:r w:rsidRPr="00F95459">
              <w:rPr>
                <w:b/>
                <w:sz w:val="20"/>
                <w:szCs w:val="20"/>
              </w:rPr>
              <w:t>941 977</w:t>
            </w:r>
          </w:p>
        </w:tc>
        <w:tc>
          <w:tcPr>
            <w:tcW w:w="1417" w:type="dxa"/>
            <w:tcBorders>
              <w:top w:val="single" w:sz="8" w:space="0" w:color="7F7F7F" w:themeColor="text1" w:themeTint="80"/>
              <w:bottom w:val="single" w:sz="8" w:space="0" w:color="7F7F7F" w:themeColor="text1" w:themeTint="80"/>
            </w:tcBorders>
            <w:shd w:val="clear" w:color="auto" w:fill="auto"/>
            <w:vAlign w:val="bottom"/>
          </w:tcPr>
          <w:p w:rsidR="00A52449" w:rsidRPr="00F95459" w:rsidRDefault="00A52449" w:rsidP="002242A2">
            <w:pPr>
              <w:jc w:val="right"/>
              <w:rPr>
                <w:b/>
                <w:sz w:val="20"/>
                <w:szCs w:val="20"/>
              </w:rPr>
            </w:pPr>
            <w:r w:rsidRPr="00F95459">
              <w:rPr>
                <w:b/>
                <w:sz w:val="20"/>
                <w:szCs w:val="20"/>
              </w:rPr>
              <w:t>1 227 802</w:t>
            </w:r>
          </w:p>
        </w:tc>
        <w:tc>
          <w:tcPr>
            <w:tcW w:w="1418" w:type="dxa"/>
            <w:tcBorders>
              <w:top w:val="single" w:sz="8" w:space="0" w:color="7F7F7F" w:themeColor="text1" w:themeTint="80"/>
              <w:bottom w:val="single" w:sz="8" w:space="0" w:color="7F7F7F" w:themeColor="text1" w:themeTint="80"/>
            </w:tcBorders>
            <w:shd w:val="clear" w:color="auto" w:fill="auto"/>
            <w:vAlign w:val="bottom"/>
          </w:tcPr>
          <w:p w:rsidR="00A52449" w:rsidRPr="008971F1" w:rsidRDefault="00A52449" w:rsidP="002242A2">
            <w:pPr>
              <w:jc w:val="right"/>
              <w:rPr>
                <w:b/>
                <w:sz w:val="20"/>
                <w:szCs w:val="20"/>
              </w:rPr>
            </w:pPr>
            <w:r w:rsidRPr="008971F1">
              <w:rPr>
                <w:b/>
                <w:sz w:val="20"/>
                <w:szCs w:val="20"/>
              </w:rPr>
              <w:t>1 224 436</w:t>
            </w:r>
          </w:p>
        </w:tc>
        <w:tc>
          <w:tcPr>
            <w:tcW w:w="997" w:type="dxa"/>
            <w:tcBorders>
              <w:top w:val="single" w:sz="8" w:space="0" w:color="7F7F7F" w:themeColor="text1" w:themeTint="80"/>
              <w:bottom w:val="single" w:sz="8" w:space="0" w:color="7F7F7F" w:themeColor="text1" w:themeTint="80"/>
            </w:tcBorders>
            <w:shd w:val="clear" w:color="auto" w:fill="auto"/>
            <w:vAlign w:val="bottom"/>
          </w:tcPr>
          <w:p w:rsidR="00A52449" w:rsidRPr="00F0677D" w:rsidRDefault="00A52449" w:rsidP="002242A2">
            <w:pPr>
              <w:jc w:val="right"/>
              <w:rPr>
                <w:b/>
                <w:sz w:val="20"/>
                <w:szCs w:val="20"/>
              </w:rPr>
            </w:pPr>
            <w:r w:rsidRPr="00F0677D">
              <w:rPr>
                <w:b/>
                <w:sz w:val="20"/>
                <w:szCs w:val="20"/>
              </w:rPr>
              <w:t>99,73</w:t>
            </w:r>
          </w:p>
        </w:tc>
      </w:tr>
      <w:tr w:rsidR="00A52449" w:rsidRPr="00F95459" w:rsidTr="002242A2">
        <w:trPr>
          <w:trHeight w:hRule="exact" w:val="1281"/>
        </w:trPr>
        <w:tc>
          <w:tcPr>
            <w:tcW w:w="4252" w:type="dxa"/>
            <w:tcBorders>
              <w:top w:val="single" w:sz="8" w:space="0" w:color="7F7F7F" w:themeColor="text1" w:themeTint="80"/>
            </w:tcBorders>
            <w:shd w:val="clear" w:color="auto" w:fill="auto"/>
            <w:vAlign w:val="bottom"/>
          </w:tcPr>
          <w:p w:rsidR="00A52449" w:rsidRPr="00F95459" w:rsidRDefault="00A52449" w:rsidP="002242A2">
            <w:pPr>
              <w:rPr>
                <w:b/>
                <w:sz w:val="20"/>
                <w:szCs w:val="20"/>
              </w:rPr>
            </w:pPr>
            <w:r w:rsidRPr="00F95459">
              <w:rPr>
                <w:b/>
                <w:sz w:val="20"/>
                <w:szCs w:val="20"/>
              </w:rPr>
              <w:t xml:space="preserve">BĚŽNÉ VÝDAJE CELKEM  </w:t>
            </w:r>
          </w:p>
          <w:p w:rsidR="00A52449" w:rsidRPr="00F95459" w:rsidRDefault="00A52449" w:rsidP="002242A2">
            <w:pPr>
              <w:rPr>
                <w:sz w:val="20"/>
                <w:szCs w:val="20"/>
              </w:rPr>
            </w:pPr>
            <w:r w:rsidRPr="00F95459">
              <w:rPr>
                <w:sz w:val="20"/>
                <w:szCs w:val="20"/>
              </w:rPr>
              <w:t>z toho: dopravně správní agendy</w:t>
            </w:r>
          </w:p>
          <w:p w:rsidR="00A52449" w:rsidRPr="00F95459" w:rsidRDefault="00A52449" w:rsidP="002242A2">
            <w:pPr>
              <w:rPr>
                <w:sz w:val="20"/>
                <w:szCs w:val="20"/>
              </w:rPr>
            </w:pPr>
            <w:r w:rsidRPr="00F95459">
              <w:rPr>
                <w:b/>
                <w:sz w:val="20"/>
                <w:szCs w:val="20"/>
              </w:rPr>
              <w:t xml:space="preserve">            </w:t>
            </w:r>
            <w:r w:rsidRPr="00F95459">
              <w:rPr>
                <w:sz w:val="20"/>
                <w:szCs w:val="20"/>
              </w:rPr>
              <w:t>programové financování (EDS/SMVS)</w:t>
            </w:r>
          </w:p>
          <w:p w:rsidR="00A52449" w:rsidRPr="00F95459" w:rsidRDefault="00A52449" w:rsidP="002242A2">
            <w:pPr>
              <w:rPr>
                <w:sz w:val="20"/>
                <w:szCs w:val="20"/>
              </w:rPr>
            </w:pPr>
            <w:r w:rsidRPr="00F95459">
              <w:rPr>
                <w:sz w:val="20"/>
                <w:szCs w:val="20"/>
              </w:rPr>
              <w:t xml:space="preserve">            prostředky EU</w:t>
            </w:r>
          </w:p>
          <w:p w:rsidR="00A52449" w:rsidRPr="00F95459" w:rsidRDefault="00A52449" w:rsidP="002242A2">
            <w:pPr>
              <w:rPr>
                <w:sz w:val="20"/>
                <w:szCs w:val="20"/>
              </w:rPr>
            </w:pPr>
            <w:r w:rsidRPr="00F95459">
              <w:rPr>
                <w:sz w:val="20"/>
                <w:szCs w:val="20"/>
              </w:rPr>
              <w:t xml:space="preserve">            výzkum, vývoj a inovace</w:t>
            </w:r>
          </w:p>
          <w:p w:rsidR="00A52449" w:rsidRPr="00F95459" w:rsidRDefault="00A52449" w:rsidP="002242A2">
            <w:pPr>
              <w:rPr>
                <w:sz w:val="20"/>
                <w:szCs w:val="20"/>
              </w:rPr>
            </w:pPr>
          </w:p>
          <w:p w:rsidR="00A52449" w:rsidRPr="00F95459" w:rsidRDefault="00A52449" w:rsidP="002242A2">
            <w:pPr>
              <w:rPr>
                <w:sz w:val="20"/>
                <w:szCs w:val="20"/>
              </w:rPr>
            </w:pPr>
            <w:r w:rsidRPr="00F95459">
              <w:rPr>
                <w:sz w:val="20"/>
                <w:szCs w:val="20"/>
              </w:rPr>
              <w:t xml:space="preserve">           </w:t>
            </w:r>
          </w:p>
        </w:tc>
        <w:tc>
          <w:tcPr>
            <w:tcW w:w="1418" w:type="dxa"/>
            <w:tcBorders>
              <w:top w:val="single" w:sz="8" w:space="0" w:color="7F7F7F" w:themeColor="text1" w:themeTint="80"/>
            </w:tcBorders>
            <w:shd w:val="clear" w:color="auto" w:fill="auto"/>
          </w:tcPr>
          <w:p w:rsidR="00A52449" w:rsidRPr="00F95459" w:rsidRDefault="00A52449" w:rsidP="002242A2">
            <w:pPr>
              <w:ind w:right="15"/>
              <w:jc w:val="right"/>
              <w:rPr>
                <w:b/>
                <w:sz w:val="20"/>
                <w:szCs w:val="20"/>
              </w:rPr>
            </w:pPr>
            <w:r w:rsidRPr="00F95459">
              <w:rPr>
                <w:b/>
                <w:sz w:val="20"/>
                <w:szCs w:val="20"/>
              </w:rPr>
              <w:t>30 434 855</w:t>
            </w:r>
          </w:p>
          <w:p w:rsidR="00A52449" w:rsidRPr="001064D7" w:rsidRDefault="00A52449" w:rsidP="002242A2">
            <w:pPr>
              <w:ind w:right="15"/>
              <w:jc w:val="right"/>
              <w:rPr>
                <w:sz w:val="20"/>
                <w:szCs w:val="20"/>
              </w:rPr>
            </w:pPr>
            <w:r w:rsidRPr="00F95459">
              <w:rPr>
                <w:color w:val="FF0000"/>
                <w:sz w:val="20"/>
                <w:szCs w:val="20"/>
              </w:rPr>
              <w:t xml:space="preserve">        </w:t>
            </w:r>
            <w:r w:rsidRPr="001064D7">
              <w:rPr>
                <w:sz w:val="20"/>
                <w:szCs w:val="20"/>
              </w:rPr>
              <w:t>267 816</w:t>
            </w:r>
          </w:p>
          <w:p w:rsidR="00A52449" w:rsidRPr="00F95459" w:rsidRDefault="00A52449" w:rsidP="002242A2">
            <w:pPr>
              <w:ind w:right="15"/>
              <w:jc w:val="right"/>
              <w:rPr>
                <w:sz w:val="20"/>
                <w:szCs w:val="20"/>
              </w:rPr>
            </w:pPr>
            <w:r w:rsidRPr="00F95459">
              <w:rPr>
                <w:sz w:val="20"/>
                <w:szCs w:val="20"/>
              </w:rPr>
              <w:t xml:space="preserve">77 761           </w:t>
            </w:r>
          </w:p>
          <w:p w:rsidR="00A52449" w:rsidRPr="00F95459" w:rsidRDefault="00A52449" w:rsidP="002242A2">
            <w:pPr>
              <w:ind w:right="15"/>
              <w:jc w:val="right"/>
              <w:rPr>
                <w:sz w:val="20"/>
                <w:szCs w:val="20"/>
              </w:rPr>
            </w:pPr>
            <w:r w:rsidRPr="00F95459">
              <w:rPr>
                <w:sz w:val="20"/>
                <w:szCs w:val="20"/>
              </w:rPr>
              <w:t xml:space="preserve">182 627 </w:t>
            </w:r>
          </w:p>
          <w:p w:rsidR="00A52449" w:rsidRPr="00F95459" w:rsidRDefault="00A52449" w:rsidP="002242A2">
            <w:pPr>
              <w:ind w:right="15"/>
              <w:jc w:val="right"/>
              <w:rPr>
                <w:color w:val="FF0000"/>
                <w:sz w:val="20"/>
                <w:szCs w:val="20"/>
              </w:rPr>
            </w:pPr>
            <w:r w:rsidRPr="00F95459">
              <w:rPr>
                <w:sz w:val="20"/>
                <w:szCs w:val="20"/>
              </w:rPr>
              <w:t xml:space="preserve">42 763  </w:t>
            </w:r>
          </w:p>
        </w:tc>
        <w:tc>
          <w:tcPr>
            <w:tcW w:w="1417" w:type="dxa"/>
            <w:tcBorders>
              <w:top w:val="single" w:sz="8" w:space="0" w:color="7F7F7F" w:themeColor="text1" w:themeTint="80"/>
            </w:tcBorders>
            <w:shd w:val="clear" w:color="auto" w:fill="auto"/>
          </w:tcPr>
          <w:p w:rsidR="00A52449" w:rsidRPr="00F95459" w:rsidRDefault="00A52449" w:rsidP="002242A2">
            <w:pPr>
              <w:jc w:val="right"/>
              <w:rPr>
                <w:b/>
                <w:sz w:val="20"/>
                <w:szCs w:val="20"/>
              </w:rPr>
            </w:pPr>
            <w:r>
              <w:rPr>
                <w:b/>
                <w:sz w:val="20"/>
                <w:szCs w:val="20"/>
              </w:rPr>
              <w:t>30 093 180</w:t>
            </w:r>
            <w:r w:rsidRPr="00F95459">
              <w:rPr>
                <w:b/>
                <w:sz w:val="20"/>
                <w:szCs w:val="20"/>
              </w:rPr>
              <w:t xml:space="preserve">  </w:t>
            </w:r>
          </w:p>
          <w:p w:rsidR="00A52449" w:rsidRPr="00F95459" w:rsidRDefault="00A52449" w:rsidP="002242A2">
            <w:pPr>
              <w:jc w:val="right"/>
              <w:rPr>
                <w:sz w:val="20"/>
                <w:szCs w:val="20"/>
              </w:rPr>
            </w:pPr>
            <w:r w:rsidRPr="00F95459">
              <w:rPr>
                <w:sz w:val="20"/>
                <w:szCs w:val="20"/>
              </w:rPr>
              <w:t>333 599</w:t>
            </w:r>
          </w:p>
          <w:p w:rsidR="00A52449" w:rsidRPr="00F95459" w:rsidRDefault="00A52449" w:rsidP="002242A2">
            <w:pPr>
              <w:jc w:val="right"/>
              <w:rPr>
                <w:sz w:val="20"/>
                <w:szCs w:val="20"/>
              </w:rPr>
            </w:pPr>
            <w:r>
              <w:rPr>
                <w:sz w:val="20"/>
                <w:szCs w:val="20"/>
              </w:rPr>
              <w:t>14 513 658</w:t>
            </w:r>
          </w:p>
          <w:p w:rsidR="00A52449" w:rsidRPr="00F95459" w:rsidRDefault="00A52449" w:rsidP="002242A2">
            <w:pPr>
              <w:tabs>
                <w:tab w:val="center" w:pos="560"/>
                <w:tab w:val="right" w:pos="1120"/>
              </w:tabs>
              <w:jc w:val="right"/>
              <w:rPr>
                <w:sz w:val="20"/>
                <w:szCs w:val="20"/>
              </w:rPr>
            </w:pPr>
            <w:r w:rsidRPr="00F95459">
              <w:rPr>
                <w:sz w:val="20"/>
                <w:szCs w:val="20"/>
              </w:rPr>
              <w:t>139 358</w:t>
            </w:r>
          </w:p>
          <w:p w:rsidR="00A52449" w:rsidRPr="00F95459" w:rsidRDefault="00A52449" w:rsidP="002242A2">
            <w:pPr>
              <w:jc w:val="right"/>
              <w:rPr>
                <w:b/>
                <w:sz w:val="20"/>
                <w:szCs w:val="20"/>
              </w:rPr>
            </w:pPr>
            <w:r w:rsidRPr="00F95459">
              <w:rPr>
                <w:sz w:val="20"/>
                <w:szCs w:val="20"/>
              </w:rPr>
              <w:t xml:space="preserve">27 140     </w:t>
            </w:r>
            <w:r w:rsidRPr="00F95459">
              <w:rPr>
                <w:b/>
                <w:sz w:val="20"/>
                <w:szCs w:val="20"/>
              </w:rPr>
              <w:t xml:space="preserve"> </w:t>
            </w:r>
          </w:p>
          <w:p w:rsidR="00A52449" w:rsidRPr="00F95459" w:rsidRDefault="00A52449" w:rsidP="002242A2">
            <w:pPr>
              <w:tabs>
                <w:tab w:val="center" w:pos="560"/>
                <w:tab w:val="right" w:pos="1120"/>
              </w:tabs>
              <w:jc w:val="right"/>
              <w:rPr>
                <w:sz w:val="20"/>
                <w:szCs w:val="20"/>
              </w:rPr>
            </w:pPr>
            <w:r w:rsidRPr="00F95459">
              <w:rPr>
                <w:sz w:val="20"/>
                <w:szCs w:val="20"/>
              </w:rPr>
              <w:t xml:space="preserve"> </w:t>
            </w:r>
          </w:p>
        </w:tc>
        <w:tc>
          <w:tcPr>
            <w:tcW w:w="1418" w:type="dxa"/>
            <w:tcBorders>
              <w:top w:val="single" w:sz="8" w:space="0" w:color="7F7F7F" w:themeColor="text1" w:themeTint="80"/>
            </w:tcBorders>
            <w:shd w:val="clear" w:color="auto" w:fill="auto"/>
          </w:tcPr>
          <w:p w:rsidR="00A52449" w:rsidRPr="00E71BE6" w:rsidRDefault="00A52449" w:rsidP="002242A2">
            <w:pPr>
              <w:jc w:val="right"/>
              <w:rPr>
                <w:b/>
                <w:sz w:val="20"/>
                <w:szCs w:val="20"/>
              </w:rPr>
            </w:pPr>
            <w:r w:rsidRPr="00E71BE6">
              <w:rPr>
                <w:b/>
                <w:sz w:val="20"/>
                <w:szCs w:val="20"/>
              </w:rPr>
              <w:t xml:space="preserve">32 811 358   </w:t>
            </w:r>
          </w:p>
          <w:p w:rsidR="00A52449" w:rsidRPr="00D77F0B" w:rsidRDefault="00A52449" w:rsidP="002242A2">
            <w:pPr>
              <w:jc w:val="right"/>
              <w:rPr>
                <w:sz w:val="20"/>
                <w:szCs w:val="20"/>
              </w:rPr>
            </w:pPr>
            <w:r w:rsidRPr="00D77F0B">
              <w:rPr>
                <w:sz w:val="20"/>
                <w:szCs w:val="20"/>
              </w:rPr>
              <w:t>337 249</w:t>
            </w:r>
          </w:p>
          <w:p w:rsidR="00A52449" w:rsidRPr="001A7080" w:rsidRDefault="00A52449" w:rsidP="002242A2">
            <w:pPr>
              <w:jc w:val="right"/>
              <w:rPr>
                <w:sz w:val="20"/>
                <w:szCs w:val="20"/>
              </w:rPr>
            </w:pPr>
            <w:r w:rsidRPr="001A7080">
              <w:rPr>
                <w:sz w:val="20"/>
                <w:szCs w:val="20"/>
              </w:rPr>
              <w:t>15 089 866</w:t>
            </w:r>
          </w:p>
          <w:p w:rsidR="00A52449" w:rsidRPr="0044263D" w:rsidRDefault="00A52449" w:rsidP="002242A2">
            <w:pPr>
              <w:tabs>
                <w:tab w:val="center" w:pos="560"/>
                <w:tab w:val="right" w:pos="1120"/>
              </w:tabs>
              <w:jc w:val="right"/>
              <w:rPr>
                <w:sz w:val="20"/>
                <w:szCs w:val="20"/>
              </w:rPr>
            </w:pPr>
            <w:r>
              <w:rPr>
                <w:sz w:val="20"/>
                <w:szCs w:val="20"/>
              </w:rPr>
              <w:t>162 698</w:t>
            </w:r>
          </w:p>
          <w:p w:rsidR="00A52449" w:rsidRPr="00BC1123" w:rsidRDefault="00A52449" w:rsidP="002242A2">
            <w:pPr>
              <w:tabs>
                <w:tab w:val="center" w:pos="560"/>
                <w:tab w:val="right" w:pos="1120"/>
              </w:tabs>
              <w:jc w:val="right"/>
              <w:rPr>
                <w:color w:val="FF0000"/>
                <w:sz w:val="20"/>
                <w:szCs w:val="20"/>
              </w:rPr>
            </w:pPr>
            <w:r w:rsidRPr="00D77F0B">
              <w:rPr>
                <w:sz w:val="20"/>
                <w:szCs w:val="20"/>
              </w:rPr>
              <w:t xml:space="preserve">55 000    </w:t>
            </w:r>
          </w:p>
        </w:tc>
        <w:tc>
          <w:tcPr>
            <w:tcW w:w="997" w:type="dxa"/>
            <w:tcBorders>
              <w:top w:val="single" w:sz="8" w:space="0" w:color="7F7F7F" w:themeColor="text1" w:themeTint="80"/>
            </w:tcBorders>
            <w:shd w:val="clear" w:color="auto" w:fill="auto"/>
          </w:tcPr>
          <w:p w:rsidR="00A52449" w:rsidRPr="00A52449" w:rsidRDefault="00A52449" w:rsidP="002242A2">
            <w:pPr>
              <w:jc w:val="right"/>
              <w:rPr>
                <w:b/>
                <w:sz w:val="20"/>
                <w:szCs w:val="20"/>
              </w:rPr>
            </w:pPr>
            <w:r w:rsidRPr="00A52449">
              <w:rPr>
                <w:b/>
                <w:sz w:val="20"/>
                <w:szCs w:val="20"/>
              </w:rPr>
              <w:t>109,03</w:t>
            </w:r>
          </w:p>
          <w:p w:rsidR="00A52449" w:rsidRPr="00A52449" w:rsidRDefault="00A52449" w:rsidP="002242A2">
            <w:pPr>
              <w:jc w:val="right"/>
              <w:rPr>
                <w:sz w:val="20"/>
                <w:szCs w:val="20"/>
              </w:rPr>
            </w:pPr>
            <w:r w:rsidRPr="00A52449">
              <w:rPr>
                <w:sz w:val="20"/>
                <w:szCs w:val="20"/>
              </w:rPr>
              <w:t xml:space="preserve">    101,09</w:t>
            </w:r>
          </w:p>
          <w:p w:rsidR="00A52449" w:rsidRPr="00A52449" w:rsidRDefault="00A52449" w:rsidP="002242A2">
            <w:pPr>
              <w:jc w:val="right"/>
              <w:rPr>
                <w:sz w:val="20"/>
                <w:szCs w:val="20"/>
              </w:rPr>
            </w:pPr>
            <w:r w:rsidRPr="00A52449">
              <w:rPr>
                <w:sz w:val="20"/>
                <w:szCs w:val="20"/>
              </w:rPr>
              <w:t>103,97</w:t>
            </w:r>
          </w:p>
          <w:p w:rsidR="00A52449" w:rsidRPr="00A52449" w:rsidRDefault="00A52449" w:rsidP="002242A2">
            <w:pPr>
              <w:jc w:val="right"/>
              <w:rPr>
                <w:sz w:val="20"/>
                <w:szCs w:val="20"/>
              </w:rPr>
            </w:pPr>
            <w:r w:rsidRPr="00A52449">
              <w:rPr>
                <w:sz w:val="20"/>
                <w:szCs w:val="20"/>
              </w:rPr>
              <w:t>116,75</w:t>
            </w:r>
          </w:p>
          <w:p w:rsidR="00A52449" w:rsidRPr="00A52449" w:rsidRDefault="00A52449" w:rsidP="002242A2">
            <w:pPr>
              <w:jc w:val="right"/>
              <w:rPr>
                <w:sz w:val="20"/>
                <w:szCs w:val="20"/>
              </w:rPr>
            </w:pPr>
            <w:r w:rsidRPr="00A52449">
              <w:rPr>
                <w:sz w:val="20"/>
                <w:szCs w:val="20"/>
              </w:rPr>
              <w:t>202,65</w:t>
            </w:r>
          </w:p>
          <w:p w:rsidR="00A52449" w:rsidRPr="00BC1123" w:rsidRDefault="00A52449" w:rsidP="002242A2">
            <w:pPr>
              <w:jc w:val="right"/>
              <w:rPr>
                <w:color w:val="FF0000"/>
                <w:sz w:val="20"/>
                <w:szCs w:val="20"/>
              </w:rPr>
            </w:pPr>
          </w:p>
        </w:tc>
      </w:tr>
    </w:tbl>
    <w:p w:rsidR="004D0049" w:rsidRPr="00E24034" w:rsidRDefault="004D0049" w:rsidP="00857587">
      <w:pPr>
        <w:rPr>
          <w:color w:val="FF0000"/>
        </w:rPr>
      </w:pPr>
    </w:p>
    <w:p w:rsidR="00857587" w:rsidRPr="00E24034" w:rsidRDefault="00857587" w:rsidP="00857587">
      <w:pPr>
        <w:rPr>
          <w:rFonts w:cs="Times New Roman"/>
          <w:bCs/>
          <w:color w:val="FF0000"/>
          <w:szCs w:val="24"/>
        </w:rPr>
      </w:pPr>
      <w:r w:rsidRPr="00E24034">
        <w:rPr>
          <w:color w:val="FF0000"/>
        </w:rPr>
        <w:t xml:space="preserve">                                                                                                                                                                                      </w:t>
      </w:r>
    </w:p>
    <w:p w:rsidR="00857587" w:rsidRPr="001B037B" w:rsidRDefault="00857587" w:rsidP="00857587">
      <w:pPr>
        <w:pStyle w:val="Titulek"/>
        <w:keepNext/>
      </w:pPr>
      <w:bookmarkStart w:id="43" w:name="_Toc463338096"/>
      <w:bookmarkStart w:id="44" w:name="_Toc54190950"/>
      <w:r w:rsidRPr="001B037B">
        <w:lastRenderedPageBreak/>
        <w:t xml:space="preserve">Graf č. </w:t>
      </w:r>
      <w:r w:rsidR="0001421C" w:rsidRPr="001B037B">
        <w:rPr>
          <w:noProof/>
        </w:rPr>
        <w:fldChar w:fldCharType="begin"/>
      </w:r>
      <w:r w:rsidR="0001421C" w:rsidRPr="001B037B">
        <w:rPr>
          <w:noProof/>
        </w:rPr>
        <w:instrText xml:space="preserve"> SEQ Graf_č. \* ARABIC </w:instrText>
      </w:r>
      <w:r w:rsidR="0001421C" w:rsidRPr="001B037B">
        <w:rPr>
          <w:noProof/>
        </w:rPr>
        <w:fldChar w:fldCharType="separate"/>
      </w:r>
      <w:r w:rsidR="006076E7">
        <w:rPr>
          <w:noProof/>
        </w:rPr>
        <w:t>5</w:t>
      </w:r>
      <w:r w:rsidR="0001421C" w:rsidRPr="001B037B">
        <w:rPr>
          <w:noProof/>
        </w:rPr>
        <w:fldChar w:fldCharType="end"/>
      </w:r>
      <w:r w:rsidRPr="001B037B">
        <w:t xml:space="preserve">: Členění běžných výdajů </w:t>
      </w:r>
      <w:bookmarkEnd w:id="43"/>
      <w:r w:rsidR="004D0049" w:rsidRPr="001B037B">
        <w:t>202</w:t>
      </w:r>
      <w:r w:rsidR="001B037B" w:rsidRPr="001B037B">
        <w:t>1</w:t>
      </w:r>
      <w:bookmarkEnd w:id="44"/>
    </w:p>
    <w:p w:rsidR="00857587" w:rsidRPr="00E24034" w:rsidRDefault="004D0049" w:rsidP="00857587">
      <w:pPr>
        <w:pStyle w:val="obyctext"/>
        <w:ind w:firstLine="0"/>
        <w:rPr>
          <w:noProof/>
          <w:color w:val="FF0000"/>
        </w:rPr>
      </w:pPr>
      <w:r w:rsidRPr="00E24034">
        <w:rPr>
          <w:noProof/>
          <w:color w:val="FF0000"/>
        </w:rPr>
        <w:drawing>
          <wp:inline distT="0" distB="0" distL="0" distR="0" wp14:anchorId="0E476A8B" wp14:editId="64CF00D4">
            <wp:extent cx="5760720" cy="2699385"/>
            <wp:effectExtent l="0" t="0" r="11430" b="5715"/>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A036B" w:rsidRPr="001B037B" w:rsidRDefault="009A036B" w:rsidP="007B2F4B">
      <w:pPr>
        <w:pStyle w:val="Nadpis3"/>
      </w:pPr>
      <w:bookmarkStart w:id="45" w:name="_Toc462314390"/>
      <w:bookmarkStart w:id="46" w:name="_Toc53750567"/>
      <w:r w:rsidRPr="001B037B">
        <w:t>Běžné výdaje organizačních složek státu bez podseskupení položek 521, 522, 531, 532, 533, 551, 553, 554</w:t>
      </w:r>
      <w:r w:rsidR="004D0049" w:rsidRPr="001B037B">
        <w:t>, 561</w:t>
      </w:r>
      <w:r w:rsidRPr="001B037B">
        <w:t xml:space="preserve"> a 5193</w:t>
      </w:r>
      <w:bookmarkEnd w:id="45"/>
      <w:bookmarkEnd w:id="46"/>
    </w:p>
    <w:p w:rsidR="001B037B" w:rsidRPr="006E4927" w:rsidRDefault="001B037B" w:rsidP="001B037B">
      <w:pPr>
        <w:pStyle w:val="Styl1"/>
      </w:pPr>
      <w:r w:rsidRPr="006E4927">
        <w:t xml:space="preserve">Navrhovaný objem běžných výdajů po vyloučení podseskupení položek rozpočtové skladby 521, 522, 531, 532, 533, 551, 553, 554, 561 a položky 5193 ve výši 7 653 055 tis. Kč, </w:t>
      </w:r>
      <w:r w:rsidRPr="006E4927">
        <w:br/>
        <w:t xml:space="preserve">tj. 135,22 % schváleného rozpočtu na rok 2020, je určen na financování orgánů státní správy </w:t>
      </w:r>
      <w:r w:rsidRPr="006E4927">
        <w:br/>
        <w:t>a ostatní organizační složky státu.</w:t>
      </w:r>
    </w:p>
    <w:p w:rsidR="001B037B" w:rsidRPr="007F2429" w:rsidRDefault="001B037B" w:rsidP="001B037B">
      <w:pPr>
        <w:pStyle w:val="obyctext"/>
        <w:ind w:firstLine="0"/>
        <w:rPr>
          <w:b/>
        </w:rPr>
      </w:pPr>
      <w:r w:rsidRPr="007F2429">
        <w:rPr>
          <w:b/>
        </w:rPr>
        <w:t>Organizační složky státu zajišťující výkon státní správy:</w:t>
      </w:r>
    </w:p>
    <w:p w:rsidR="001B037B" w:rsidRPr="007F2429" w:rsidRDefault="001B037B" w:rsidP="001B037B">
      <w:pPr>
        <w:pStyle w:val="Styl1"/>
        <w:numPr>
          <w:ilvl w:val="0"/>
          <w:numId w:val="17"/>
        </w:numPr>
        <w:spacing w:after="0"/>
        <w:ind w:left="567" w:hanging="283"/>
      </w:pPr>
      <w:r w:rsidRPr="007F2429">
        <w:t>Ústřední orgán Ministerstva dopravy (ÚO MD)</w:t>
      </w:r>
    </w:p>
    <w:p w:rsidR="001B037B" w:rsidRPr="007F2429" w:rsidRDefault="001B037B" w:rsidP="001B037B">
      <w:pPr>
        <w:pStyle w:val="Styl1"/>
        <w:numPr>
          <w:ilvl w:val="0"/>
          <w:numId w:val="17"/>
        </w:numPr>
        <w:spacing w:after="0"/>
        <w:ind w:left="567" w:hanging="283"/>
      </w:pPr>
      <w:r w:rsidRPr="007F2429">
        <w:t>Úřad pro civilní letectví (ÚCL)</w:t>
      </w:r>
    </w:p>
    <w:p w:rsidR="001B037B" w:rsidRPr="007F2429" w:rsidRDefault="001B037B" w:rsidP="001B037B">
      <w:pPr>
        <w:pStyle w:val="Styl1"/>
        <w:numPr>
          <w:ilvl w:val="0"/>
          <w:numId w:val="17"/>
        </w:numPr>
        <w:spacing w:after="0"/>
        <w:ind w:left="568" w:hanging="284"/>
      </w:pPr>
      <w:r w:rsidRPr="007F2429">
        <w:t>Státní plavební správa (SPS)</w:t>
      </w:r>
    </w:p>
    <w:p w:rsidR="001B037B" w:rsidRPr="007F2429" w:rsidRDefault="001B037B" w:rsidP="001B037B">
      <w:pPr>
        <w:pStyle w:val="Styl1"/>
        <w:numPr>
          <w:ilvl w:val="0"/>
          <w:numId w:val="17"/>
        </w:numPr>
        <w:spacing w:after="0"/>
        <w:ind w:left="567" w:hanging="283"/>
      </w:pPr>
      <w:r w:rsidRPr="007F2429">
        <w:t>Drážní úřad (DÚ)</w:t>
      </w:r>
    </w:p>
    <w:p w:rsidR="001B037B" w:rsidRPr="007F2429" w:rsidRDefault="001B037B" w:rsidP="001B037B">
      <w:pPr>
        <w:pStyle w:val="Styl1"/>
        <w:numPr>
          <w:ilvl w:val="0"/>
          <w:numId w:val="17"/>
        </w:numPr>
        <w:spacing w:after="0"/>
        <w:ind w:left="567" w:hanging="283"/>
      </w:pPr>
      <w:r w:rsidRPr="007F2429">
        <w:t>Drážní inspekce (DI)</w:t>
      </w:r>
    </w:p>
    <w:p w:rsidR="001B037B" w:rsidRPr="007F2429" w:rsidRDefault="001B037B" w:rsidP="001B037B">
      <w:pPr>
        <w:pStyle w:val="Styl1"/>
        <w:numPr>
          <w:ilvl w:val="0"/>
          <w:numId w:val="17"/>
        </w:numPr>
        <w:spacing w:after="0"/>
        <w:ind w:left="567" w:hanging="283"/>
      </w:pPr>
      <w:r w:rsidRPr="007F2429">
        <w:t>Ústav pro odborné zjišťování příčin leteckých nehod (ÚZPLN)</w:t>
      </w:r>
    </w:p>
    <w:p w:rsidR="001B037B" w:rsidRPr="007F2429" w:rsidRDefault="001B037B" w:rsidP="001B037B">
      <w:pPr>
        <w:pStyle w:val="obyctext"/>
        <w:spacing w:before="220"/>
        <w:ind w:firstLine="0"/>
        <w:rPr>
          <w:b/>
        </w:rPr>
      </w:pPr>
      <w:r w:rsidRPr="007F2429">
        <w:rPr>
          <w:b/>
        </w:rPr>
        <w:t>Ostatní organizační složky státu:</w:t>
      </w:r>
    </w:p>
    <w:p w:rsidR="001B037B" w:rsidRPr="007F2429" w:rsidRDefault="001B037B" w:rsidP="001B037B">
      <w:pPr>
        <w:pStyle w:val="Styl1"/>
        <w:numPr>
          <w:ilvl w:val="0"/>
          <w:numId w:val="18"/>
        </w:numPr>
        <w:tabs>
          <w:tab w:val="left" w:pos="567"/>
        </w:tabs>
        <w:spacing w:before="140" w:after="140"/>
        <w:ind w:left="568" w:hanging="284"/>
      </w:pPr>
      <w:r w:rsidRPr="007F2429">
        <w:t>Ředitelství vodních cest ČR (ŘVC ČR)</w:t>
      </w:r>
    </w:p>
    <w:p w:rsidR="001B037B" w:rsidRPr="007F2429" w:rsidRDefault="001B037B" w:rsidP="001B037B">
      <w:pPr>
        <w:pStyle w:val="Styl1"/>
      </w:pPr>
      <w:r w:rsidRPr="007F2429">
        <w:lastRenderedPageBreak/>
        <w:t>Výše navržených běžných výdajů je výrazně ovlivněna zejména</w:t>
      </w:r>
      <w:r w:rsidRPr="007F2429">
        <w:rPr>
          <w:rFonts w:asciiTheme="minorHAnsi" w:eastAsiaTheme="minorHAnsi" w:hAnsiTheme="minorHAnsi" w:cstheme="minorBidi"/>
          <w:sz w:val="22"/>
          <w:szCs w:val="22"/>
          <w:lang w:eastAsia="en-US"/>
        </w:rPr>
        <w:t xml:space="preserve"> </w:t>
      </w:r>
      <w:r w:rsidRPr="007F2429">
        <w:t xml:space="preserve">výdaji na kompenzaci ztráty vznikající dopravcům ve veřejné osobní dopravě přiznáváním státem nařízených slev, dopadem zabezpečení činností spojených s dopravně správními agendami vyplývajících ze zákona </w:t>
      </w:r>
      <w:r w:rsidRPr="007F2429">
        <w:br/>
        <w:t xml:space="preserve">č. 247/2000 Sb., o získávání a zdokonalování odborné způsobilosti k řízení motorových vozidel a o změnách některých zákonů, ve znění pozdějších úprav, zákona č. 361/2000 Sb., o provozu na pozemních komunikacích a o změnách některých zákonů, ve znění pozdějších úprav, zákona č. 56/2001 Sb., o podmínkách provozu vozidel na pozemních komunikacích a o změně zákona č. 168/1999 Sb., o pojištění odpovědnosti za škodu způsobenou provozem vozidla a o změně některých souvisejících zákonů, ve znění pozdějších úprav. Další výdaje vyplynuly zejména </w:t>
      </w:r>
      <w:r w:rsidRPr="007F2429">
        <w:br/>
        <w:t>ze zákona č. 240/2000 Sb., o krizovém řízení a o změně některých zákonů, ve znění pozdějších úprav a ze zákona č. 241/2000 Sb., o hospodářských opatřeních pro krizové stavy a o změně některých souvisejících zákonů, ve znění pozdějších úprav.</w:t>
      </w:r>
    </w:p>
    <w:p w:rsidR="003A0B78" w:rsidRPr="0074279C" w:rsidRDefault="003A0B78" w:rsidP="003A0B78">
      <w:pPr>
        <w:pStyle w:val="Nadpis3"/>
      </w:pPr>
      <w:bookmarkStart w:id="47" w:name="_Toc21936868"/>
      <w:bookmarkStart w:id="48" w:name="_Toc53750568"/>
      <w:bookmarkStart w:id="49" w:name="_Toc462314392"/>
      <w:bookmarkEnd w:id="42"/>
      <w:r>
        <w:t>V</w:t>
      </w:r>
      <w:r w:rsidRPr="0074279C">
        <w:t>ýdaje</w:t>
      </w:r>
      <w:r>
        <w:t xml:space="preserve"> na platy</w:t>
      </w:r>
      <w:r w:rsidRPr="0074279C">
        <w:t xml:space="preserve"> a počty pracovníků za OSS a PO</w:t>
      </w:r>
      <w:bookmarkEnd w:id="47"/>
      <w:bookmarkEnd w:id="48"/>
    </w:p>
    <w:p w:rsidR="003A0B78" w:rsidRPr="0074279C" w:rsidRDefault="003A0B78" w:rsidP="00CF4AED">
      <w:pPr>
        <w:pStyle w:val="Nadpis9"/>
      </w:pPr>
      <w:r w:rsidRPr="0074279C">
        <w:t>A) Objem výdajů na platy a ostatní platby za provedenou práci</w:t>
      </w:r>
    </w:p>
    <w:p w:rsidR="003A0B78" w:rsidRPr="00125CEC" w:rsidRDefault="003A0B78" w:rsidP="00BE723A">
      <w:pPr>
        <w:pStyle w:val="Styl1"/>
      </w:pPr>
      <w:r w:rsidRPr="00125CEC">
        <w:t xml:space="preserve">Objem výdajů na platy a ostatní platby za provedenou práci organizačních složek státu (Ústřední orgán MD, Úřad pro civilní letectví, Státní plavební správa, Drážní úřad, Drážní inspekce, Ústav pro odborné zjišťování příčin leteckých nehod a Ředitelství vodních cest ČR) a </w:t>
      </w:r>
      <w:r w:rsidR="00AD1E95" w:rsidRPr="00AD1E95">
        <w:t>objem nákladů na platy a ostatní osobní náklady</w:t>
      </w:r>
      <w:r w:rsidRPr="00125CEC">
        <w:t xml:space="preserve"> příspěvkové organizace (Centrum služeb </w:t>
      </w:r>
      <w:r w:rsidR="00AD1E95">
        <w:br/>
      </w:r>
      <w:r w:rsidRPr="00125CEC">
        <w:t>pro silniční dopravu) je navrhován v celkové výši 591 926 tis. Kč, což předst</w:t>
      </w:r>
      <w:r w:rsidR="00AD1E95">
        <w:t xml:space="preserve">avuje navýšení </w:t>
      </w:r>
      <w:r w:rsidR="00AD1E95">
        <w:br/>
        <w:t>o 11 897 tis. Kč</w:t>
      </w:r>
      <w:r w:rsidR="00AD1E95" w:rsidRPr="00AD1E95">
        <w:t>, tj. o 2,05 %</w:t>
      </w:r>
      <w:r w:rsidR="00AD1E95">
        <w:t xml:space="preserve"> </w:t>
      </w:r>
      <w:r w:rsidRPr="00125CEC">
        <w:t>oproti roku 2020, kdy objem prostředků byl schválen ve výši 580 029 tis. Kč.</w:t>
      </w:r>
    </w:p>
    <w:p w:rsidR="003A0B78" w:rsidRPr="0069661E" w:rsidRDefault="003A0B78" w:rsidP="003A0B78">
      <w:pPr>
        <w:pStyle w:val="obyctext"/>
        <w:spacing w:before="240" w:after="0"/>
        <w:ind w:firstLine="0"/>
        <w:rPr>
          <w:b/>
        </w:rPr>
      </w:pPr>
      <w:r w:rsidRPr="0069661E">
        <w:rPr>
          <w:b/>
        </w:rPr>
        <w:t xml:space="preserve">V oblasti platů a ostatních plateb za provedenou práci byly promítnuty na rok 2021 tyto změny oproti </w:t>
      </w:r>
      <w:r>
        <w:rPr>
          <w:b/>
        </w:rPr>
        <w:t>schválenému rozpočtu na rok 2020</w:t>
      </w:r>
      <w:r w:rsidRPr="0097024E">
        <w:rPr>
          <w:b/>
        </w:rPr>
        <w:t>:</w:t>
      </w:r>
    </w:p>
    <w:p w:rsidR="003A0B78" w:rsidRDefault="003A0B78" w:rsidP="003A0B78">
      <w:pPr>
        <w:pStyle w:val="obyctext"/>
        <w:numPr>
          <w:ilvl w:val="0"/>
          <w:numId w:val="27"/>
        </w:numPr>
        <w:tabs>
          <w:tab w:val="left" w:pos="567"/>
          <w:tab w:val="left" w:pos="851"/>
        </w:tabs>
        <w:spacing w:before="60" w:after="0"/>
        <w:ind w:left="567" w:hanging="283"/>
      </w:pPr>
      <w:r w:rsidRPr="0039721B">
        <w:t xml:space="preserve">navýšení prostředků na platy  ve vazbě na novelu zákona č. 416/2009 Sb., o urychlení výstavby dopravní, vodní a </w:t>
      </w:r>
      <w:r w:rsidR="001004D1" w:rsidRPr="0039721B">
        <w:t>energetické</w:t>
      </w:r>
      <w:r w:rsidRPr="0039721B">
        <w:t xml:space="preserve"> infrastruktury a infrastruktury elektronických komunikací, ve znění pozdějších předpisů (dále jen „liniový zákon“);</w:t>
      </w:r>
    </w:p>
    <w:p w:rsidR="003A0B78" w:rsidRPr="0039721B" w:rsidRDefault="003A0B78" w:rsidP="003A0B78">
      <w:pPr>
        <w:pStyle w:val="obyctext"/>
        <w:numPr>
          <w:ilvl w:val="0"/>
          <w:numId w:val="27"/>
        </w:numPr>
        <w:tabs>
          <w:tab w:val="left" w:pos="567"/>
          <w:tab w:val="left" w:pos="851"/>
        </w:tabs>
        <w:spacing w:before="60" w:after="0"/>
        <w:ind w:left="567" w:hanging="283"/>
      </w:pPr>
      <w:r>
        <w:t>navýšení prostředků na platy v souladu s UV č. 729/2019, k zajištění příprav předsednictví ČR v Radě EU;</w:t>
      </w:r>
    </w:p>
    <w:p w:rsidR="003A0B78" w:rsidRPr="004950E6" w:rsidRDefault="003A0B78" w:rsidP="003A0B78">
      <w:pPr>
        <w:pStyle w:val="obyctext"/>
        <w:numPr>
          <w:ilvl w:val="0"/>
          <w:numId w:val="27"/>
        </w:numPr>
        <w:tabs>
          <w:tab w:val="left" w:pos="567"/>
        </w:tabs>
        <w:spacing w:before="60" w:after="0"/>
        <w:ind w:left="567" w:hanging="283"/>
      </w:pPr>
      <w:r w:rsidRPr="0039721B">
        <w:t>navýšení</w:t>
      </w:r>
      <w:r w:rsidRPr="004950E6">
        <w:t xml:space="preserve"> objemu prostředků na platy z fondů EU (SR a EU podíl);</w:t>
      </w:r>
    </w:p>
    <w:p w:rsidR="003A0B78" w:rsidRPr="00B47674" w:rsidRDefault="003A0B78" w:rsidP="003A0B78">
      <w:pPr>
        <w:pStyle w:val="obyctext"/>
        <w:numPr>
          <w:ilvl w:val="0"/>
          <w:numId w:val="27"/>
        </w:numPr>
        <w:tabs>
          <w:tab w:val="left" w:pos="567"/>
        </w:tabs>
        <w:spacing w:before="60" w:after="0"/>
        <w:ind w:left="567" w:hanging="283"/>
      </w:pPr>
      <w:r>
        <w:t xml:space="preserve">přesun prostředků na platy v souvislosti se </w:t>
      </w:r>
      <w:r w:rsidRPr="00EE6AAB">
        <w:t>schválen</w:t>
      </w:r>
      <w:r>
        <w:t>ou</w:t>
      </w:r>
      <w:r w:rsidRPr="00EE6AAB">
        <w:t xml:space="preserve"> změn</w:t>
      </w:r>
      <w:r>
        <w:t>ou</w:t>
      </w:r>
      <w:r w:rsidRPr="00EE6AAB">
        <w:t xml:space="preserve"> systemizace s účinnosti </w:t>
      </w:r>
      <w:r>
        <w:br/>
      </w:r>
      <w:r w:rsidRPr="00EE6AAB">
        <w:t xml:space="preserve">od </w:t>
      </w:r>
      <w:r w:rsidR="001004D1" w:rsidRPr="00EE6AAB">
        <w:t>1. 6. 2020</w:t>
      </w:r>
      <w:r w:rsidRPr="00EE6AAB">
        <w:t xml:space="preserve"> – UV č. 563</w:t>
      </w:r>
      <w:r w:rsidRPr="00B47674">
        <w:t>/2020.</w:t>
      </w:r>
    </w:p>
    <w:p w:rsidR="003A0B78" w:rsidRPr="0069661E" w:rsidRDefault="003A0B78" w:rsidP="003A0B78">
      <w:pPr>
        <w:pStyle w:val="obyctext"/>
        <w:tabs>
          <w:tab w:val="left" w:pos="567"/>
        </w:tabs>
        <w:spacing w:before="240" w:after="0"/>
        <w:ind w:firstLine="0"/>
        <w:rPr>
          <w:b/>
        </w:rPr>
      </w:pPr>
      <w:r w:rsidRPr="0069661E">
        <w:rPr>
          <w:b/>
        </w:rPr>
        <w:t xml:space="preserve">U jednotlivých OSS a PO jsou na rok 2021 promítnuté tyto změny: </w:t>
      </w:r>
    </w:p>
    <w:p w:rsidR="003A0B78" w:rsidRPr="0069661E" w:rsidRDefault="003A0B78" w:rsidP="00CF4AED">
      <w:pPr>
        <w:pStyle w:val="Nadpis8"/>
      </w:pPr>
      <w:r w:rsidRPr="0069661E">
        <w:t>ÚO MD</w:t>
      </w:r>
    </w:p>
    <w:p w:rsidR="003A0B78" w:rsidRPr="006E4D17" w:rsidRDefault="003A0B78" w:rsidP="003A0B78">
      <w:pPr>
        <w:pStyle w:val="obyctext"/>
        <w:numPr>
          <w:ilvl w:val="0"/>
          <w:numId w:val="23"/>
        </w:numPr>
        <w:tabs>
          <w:tab w:val="left" w:pos="426"/>
        </w:tabs>
        <w:spacing w:after="0"/>
        <w:ind w:left="425" w:hanging="425"/>
        <w:rPr>
          <w:b/>
        </w:rPr>
      </w:pPr>
      <w:r w:rsidRPr="00B57A2D">
        <w:t>navýšení  prostředků na platy ve výši 2 376 tis. Kč na zajištění činností vyplývající z novely zákona č. 416/2009 Sb., liniový zákon;</w:t>
      </w:r>
    </w:p>
    <w:p w:rsidR="003A0B78" w:rsidRPr="006E4D17" w:rsidRDefault="003A0B78" w:rsidP="003A0B78">
      <w:pPr>
        <w:pStyle w:val="obyctext"/>
        <w:numPr>
          <w:ilvl w:val="0"/>
          <w:numId w:val="23"/>
        </w:numPr>
        <w:tabs>
          <w:tab w:val="left" w:pos="426"/>
        </w:tabs>
        <w:spacing w:before="60" w:after="0"/>
        <w:ind w:left="425" w:hanging="425"/>
        <w:rPr>
          <w:b/>
        </w:rPr>
      </w:pPr>
      <w:r>
        <w:t>navýšení prostředků na platy ve výši 1 200 tis. Kč v souladu s UV č. 729/2019, k zajištění příprav předsednictví ČR v Radě EU;</w:t>
      </w:r>
    </w:p>
    <w:p w:rsidR="003A0B78" w:rsidRPr="00CF4AED" w:rsidRDefault="003A0B78" w:rsidP="003A0B78">
      <w:pPr>
        <w:pStyle w:val="obyctext"/>
        <w:numPr>
          <w:ilvl w:val="0"/>
          <w:numId w:val="23"/>
        </w:numPr>
        <w:tabs>
          <w:tab w:val="left" w:pos="426"/>
        </w:tabs>
        <w:spacing w:after="0"/>
        <w:ind w:left="425" w:hanging="425"/>
        <w:rPr>
          <w:b/>
        </w:rPr>
      </w:pPr>
      <w:r>
        <w:t xml:space="preserve">navýšení prostředků na platy a ostatní platby za provedenou práci u projektů EU ve výši 7 120 tis. Kč (SR podíl ve výši 161 tis. Kč a EU podíl ve výši 6 958 tis. Kč), jednalo se </w:t>
      </w:r>
      <w:r>
        <w:br/>
        <w:t xml:space="preserve">o </w:t>
      </w:r>
      <w:r w:rsidR="001004D1">
        <w:t>kombinací</w:t>
      </w:r>
      <w:r>
        <w:t xml:space="preserve"> následujících změn: </w:t>
      </w:r>
    </w:p>
    <w:p w:rsidR="00CF4AED" w:rsidRDefault="00CF4AED" w:rsidP="00CF4AED">
      <w:pPr>
        <w:pStyle w:val="obyctext"/>
        <w:tabs>
          <w:tab w:val="left" w:pos="426"/>
        </w:tabs>
        <w:spacing w:after="0"/>
      </w:pPr>
    </w:p>
    <w:p w:rsidR="003A0B78" w:rsidRPr="00B67C7A" w:rsidRDefault="003A0B78" w:rsidP="003A0B78">
      <w:pPr>
        <w:pStyle w:val="obyctext"/>
        <w:numPr>
          <w:ilvl w:val="0"/>
          <w:numId w:val="5"/>
        </w:numPr>
        <w:tabs>
          <w:tab w:val="left" w:pos="426"/>
        </w:tabs>
        <w:spacing w:after="0"/>
        <w:rPr>
          <w:b/>
          <w:i/>
        </w:rPr>
      </w:pPr>
      <w:r w:rsidRPr="00B67C7A">
        <w:rPr>
          <w:i/>
        </w:rPr>
        <w:lastRenderedPageBreak/>
        <w:t>navýšení prostředků na platy u Komunitárních projektů ve výši 20 tis. Kč;</w:t>
      </w:r>
    </w:p>
    <w:p w:rsidR="003A0B78" w:rsidRPr="00B67C7A" w:rsidRDefault="003A0B78" w:rsidP="003A0B78">
      <w:pPr>
        <w:pStyle w:val="obyctext"/>
        <w:numPr>
          <w:ilvl w:val="0"/>
          <w:numId w:val="5"/>
        </w:numPr>
        <w:tabs>
          <w:tab w:val="left" w:pos="426"/>
        </w:tabs>
        <w:spacing w:after="0"/>
        <w:rPr>
          <w:b/>
          <w:i/>
        </w:rPr>
      </w:pPr>
      <w:r w:rsidRPr="00B67C7A">
        <w:rPr>
          <w:i/>
        </w:rPr>
        <w:t xml:space="preserve">navýšení ostatních plateb za provedenou práci u Komunitárních projektů ve výši </w:t>
      </w:r>
      <w:r w:rsidRPr="00B67C7A">
        <w:rPr>
          <w:i/>
        </w:rPr>
        <w:br/>
        <w:t>3 993 tis. Kč (v minulém roce nebyly prostředky rozpočtované, byly využity nároky z nespotřebovaných výdajů minulých let);</w:t>
      </w:r>
    </w:p>
    <w:p w:rsidR="003A0B78" w:rsidRPr="00B67C7A" w:rsidRDefault="003A0B78" w:rsidP="003A0B78">
      <w:pPr>
        <w:pStyle w:val="obyctext"/>
        <w:numPr>
          <w:ilvl w:val="0"/>
          <w:numId w:val="5"/>
        </w:numPr>
        <w:tabs>
          <w:tab w:val="left" w:pos="426"/>
        </w:tabs>
        <w:spacing w:after="0"/>
        <w:rPr>
          <w:b/>
          <w:i/>
        </w:rPr>
      </w:pPr>
      <w:r w:rsidRPr="00B67C7A">
        <w:rPr>
          <w:i/>
        </w:rPr>
        <w:t xml:space="preserve">navýšení prostředků na platy u Operačního programu Doprava ve výši 3 859 tis. Kč (došlo k navýšení SR a EU podílu ve výši 2 696 tis. Kč a dorovnání EU podílu ve výši </w:t>
      </w:r>
      <w:r w:rsidRPr="00B67C7A">
        <w:rPr>
          <w:i/>
        </w:rPr>
        <w:br/>
        <w:t>1 163 tis. Kč, jednalo se o srovnání SR podílu ve výši 15 % a EU podílu ve výši 85 %</w:t>
      </w:r>
      <w:r>
        <w:rPr>
          <w:i/>
        </w:rPr>
        <w:t>)</w:t>
      </w:r>
      <w:r w:rsidRPr="00B67C7A">
        <w:rPr>
          <w:i/>
        </w:rPr>
        <w:t>;</w:t>
      </w:r>
    </w:p>
    <w:p w:rsidR="003A0B78" w:rsidRPr="00B67C7A" w:rsidRDefault="003A0B78" w:rsidP="003A0B78">
      <w:pPr>
        <w:pStyle w:val="obyctext"/>
        <w:numPr>
          <w:ilvl w:val="0"/>
          <w:numId w:val="5"/>
        </w:numPr>
        <w:tabs>
          <w:tab w:val="left" w:pos="426"/>
        </w:tabs>
        <w:spacing w:after="0"/>
        <w:rPr>
          <w:b/>
          <w:i/>
        </w:rPr>
      </w:pPr>
      <w:r w:rsidRPr="00B67C7A">
        <w:rPr>
          <w:i/>
        </w:rPr>
        <w:t>snížení prostředků na platy u Operačního programu Zaměstnanost ve výši 752 tis. Kč (budou použity nároky z nespotřebovaných výdajů minulých let);</w:t>
      </w:r>
    </w:p>
    <w:p w:rsidR="00AD1E95" w:rsidRPr="00AD1E95" w:rsidRDefault="003A0B78" w:rsidP="00AD1E95">
      <w:pPr>
        <w:pStyle w:val="obyctext"/>
        <w:numPr>
          <w:ilvl w:val="0"/>
          <w:numId w:val="23"/>
        </w:numPr>
        <w:tabs>
          <w:tab w:val="left" w:pos="709"/>
        </w:tabs>
        <w:spacing w:before="180" w:after="0"/>
        <w:ind w:left="426" w:hanging="426"/>
        <w:rPr>
          <w:b/>
          <w:color w:val="FF0000"/>
        </w:rPr>
      </w:pPr>
      <w:r>
        <w:t xml:space="preserve">přesun prostředků na platy ve výši 1 117 tis. Kč z pracovního poměru do služebního </w:t>
      </w:r>
      <w:r w:rsidRPr="00AD1E95">
        <w:t>poměru</w:t>
      </w:r>
      <w:r w:rsidR="00AD1E95" w:rsidRPr="00AD1E95">
        <w:t>, změna systemizace schválená UV č. 563/2020 s účinnosti od 1.6.2020.</w:t>
      </w:r>
    </w:p>
    <w:p w:rsidR="003A0B78" w:rsidRPr="00AD1E95" w:rsidRDefault="003A0B78" w:rsidP="00BE723A">
      <w:pPr>
        <w:pStyle w:val="Styl1"/>
        <w:spacing w:before="240"/>
        <w:rPr>
          <w:b/>
          <w:color w:val="FF0000"/>
        </w:rPr>
      </w:pPr>
      <w:r w:rsidRPr="00B67C7A">
        <w:t xml:space="preserve">Prostředky na platy (303 825 tis. Kč) a ostatní platby za provedenou práci (10 358 tis. Kč) </w:t>
      </w:r>
      <w:r>
        <w:br/>
      </w:r>
      <w:r w:rsidRPr="00B67C7A">
        <w:t xml:space="preserve">u ÚO MD jsou stanovené pro rok 2021 v celkové výši 314 183 tis. Kč. Ve srovnání s rokem 2020 dochází k navýšení o 10 696 tis. Kč, tj. o 3,52 %. </w:t>
      </w:r>
    </w:p>
    <w:p w:rsidR="003A0B78" w:rsidRPr="009E6E4D" w:rsidRDefault="003A0B78" w:rsidP="00CF4AED">
      <w:pPr>
        <w:pStyle w:val="Nadpis8"/>
      </w:pPr>
      <w:r w:rsidRPr="009E6E4D">
        <w:t>ÚCL</w:t>
      </w:r>
    </w:p>
    <w:p w:rsidR="003A0B78" w:rsidRPr="009E6E4D" w:rsidRDefault="003A0B78" w:rsidP="00BE723A">
      <w:pPr>
        <w:pStyle w:val="Styl1"/>
        <w:rPr>
          <w:b/>
        </w:rPr>
      </w:pPr>
      <w:r w:rsidRPr="009E6E4D">
        <w:t>Prostředky na platy a ostatní platby za provedenou práci u ÚCL jsou stanovené pro rok 2021 v celkové výši 109 007 tis. Kč. Ve srovnání s rokem 2020 nedochází ke změně.</w:t>
      </w:r>
    </w:p>
    <w:p w:rsidR="003A0B78" w:rsidRPr="004D7CA2" w:rsidRDefault="003A0B78" w:rsidP="00CF4AED">
      <w:pPr>
        <w:pStyle w:val="Nadpis8"/>
      </w:pPr>
      <w:r w:rsidRPr="004D7CA2">
        <w:t>SPS</w:t>
      </w:r>
    </w:p>
    <w:p w:rsidR="003A0B78" w:rsidRPr="004D7CA2" w:rsidRDefault="003A0B78" w:rsidP="003A0B78">
      <w:pPr>
        <w:pStyle w:val="obyctext"/>
        <w:numPr>
          <w:ilvl w:val="0"/>
          <w:numId w:val="23"/>
        </w:numPr>
        <w:tabs>
          <w:tab w:val="left" w:pos="426"/>
        </w:tabs>
        <w:spacing w:before="60" w:after="0"/>
        <w:ind w:left="425" w:hanging="425"/>
        <w:rPr>
          <w:b/>
        </w:rPr>
      </w:pPr>
      <w:r w:rsidRPr="004D7CA2">
        <w:t>navýšení objemu prostředků na platy z fondů EU (SR a EU podíl) ve výši  186 tis. Kč.</w:t>
      </w:r>
    </w:p>
    <w:p w:rsidR="003A0B78" w:rsidRPr="004D7CA2" w:rsidRDefault="003A0B78" w:rsidP="00BE723A">
      <w:pPr>
        <w:pStyle w:val="Styl1"/>
        <w:spacing w:before="240"/>
        <w:rPr>
          <w:b/>
        </w:rPr>
      </w:pPr>
      <w:r w:rsidRPr="004D7CA2">
        <w:t xml:space="preserve">Prostředky na platy a ostatní platby za provedenou práci u SPS jsou stanovené pro rok 2021 v celkové výši 40 701 tis. Kč. Ve srovnání s rokem 2020 dochází ke zvýšení o 186 tis. Kč, </w:t>
      </w:r>
      <w:r w:rsidR="009210B6">
        <w:br/>
        <w:t xml:space="preserve">tj. </w:t>
      </w:r>
      <w:r w:rsidRPr="004D7CA2">
        <w:t>o 0,46 %.</w:t>
      </w:r>
    </w:p>
    <w:p w:rsidR="003A0B78" w:rsidRPr="00F96EDD" w:rsidRDefault="003A0B78" w:rsidP="00CF4AED">
      <w:pPr>
        <w:pStyle w:val="Nadpis8"/>
      </w:pPr>
      <w:r w:rsidRPr="00F96EDD">
        <w:t>DÚ</w:t>
      </w:r>
    </w:p>
    <w:p w:rsidR="003A0B78" w:rsidRPr="006E4D17" w:rsidRDefault="003A0B78" w:rsidP="003A0B78">
      <w:pPr>
        <w:pStyle w:val="obyctext"/>
        <w:numPr>
          <w:ilvl w:val="0"/>
          <w:numId w:val="23"/>
        </w:numPr>
        <w:tabs>
          <w:tab w:val="left" w:pos="426"/>
        </w:tabs>
        <w:spacing w:after="0"/>
        <w:ind w:left="425" w:hanging="425"/>
        <w:rPr>
          <w:b/>
        </w:rPr>
      </w:pPr>
      <w:r w:rsidRPr="00B57A2D">
        <w:t xml:space="preserve">navýšení  prostředků na platy ve výši </w:t>
      </w:r>
      <w:r w:rsidR="009A5C4F">
        <w:t>1 015</w:t>
      </w:r>
      <w:r w:rsidRPr="00B57A2D">
        <w:t xml:space="preserve"> tis. Kč na zajištění činností vyplývající z novely zákona č. 416/2009 Sb., liniový zákon;</w:t>
      </w:r>
    </w:p>
    <w:p w:rsidR="003A0B78" w:rsidRPr="00B57A2D" w:rsidRDefault="003A0B78" w:rsidP="003A0B78">
      <w:pPr>
        <w:pStyle w:val="obyctext"/>
        <w:numPr>
          <w:ilvl w:val="0"/>
          <w:numId w:val="23"/>
        </w:numPr>
        <w:tabs>
          <w:tab w:val="left" w:pos="426"/>
        </w:tabs>
        <w:spacing w:after="0"/>
        <w:ind w:left="425" w:hanging="425"/>
        <w:rPr>
          <w:b/>
        </w:rPr>
      </w:pPr>
      <w:r>
        <w:t>přesun prostředků na platy ve výši 1 919 tis. Kč ze služebního poměru do pracovního poměru</w:t>
      </w:r>
      <w:r w:rsidR="009A5C4F" w:rsidRPr="009A5C4F">
        <w:t>, změna systemizace schválená UV č. 563/2020 s účinnosti od 1.6.2020.</w:t>
      </w:r>
    </w:p>
    <w:p w:rsidR="003A0B78" w:rsidRPr="00CE63A8" w:rsidRDefault="003A0B78" w:rsidP="003A0B78">
      <w:pPr>
        <w:pStyle w:val="obyctext"/>
        <w:tabs>
          <w:tab w:val="left" w:pos="0"/>
        </w:tabs>
        <w:spacing w:before="180" w:after="0"/>
        <w:ind w:firstLine="0"/>
        <w:rPr>
          <w:b/>
        </w:rPr>
      </w:pPr>
      <w:r w:rsidRPr="00CE63A8">
        <w:t xml:space="preserve">Prostředky na platy a ostatní platby za provedenou práci u DÚ jsou stanovené pro rok 2021 v celkové výši 55 628 tis. Kč. Ve srovnání s rokem 2020 dochází ke zvýšení </w:t>
      </w:r>
      <w:r w:rsidRPr="00CE63A8">
        <w:br/>
        <w:t>o 1 01</w:t>
      </w:r>
      <w:r w:rsidR="00C95DAE">
        <w:t>5</w:t>
      </w:r>
      <w:r w:rsidRPr="00CE63A8">
        <w:t xml:space="preserve"> tis. Kč, tj. o 1,86 %.</w:t>
      </w:r>
    </w:p>
    <w:p w:rsidR="003A0B78" w:rsidRPr="00F96EDD" w:rsidRDefault="003A0B78" w:rsidP="00CF4AED">
      <w:pPr>
        <w:pStyle w:val="Nadpis8"/>
      </w:pPr>
      <w:r w:rsidRPr="00F96EDD">
        <w:t>DI</w:t>
      </w:r>
    </w:p>
    <w:p w:rsidR="003A0B78" w:rsidRPr="00F96EDD" w:rsidRDefault="003A0B78" w:rsidP="00BE723A">
      <w:pPr>
        <w:pStyle w:val="Styl1"/>
        <w:rPr>
          <w:b/>
        </w:rPr>
      </w:pPr>
      <w:r w:rsidRPr="00F96EDD">
        <w:t>Prostředky na platy a ostatní platby za provedenou práci u DI jsou stanovené pro rok 2021 v celkové výši 22 677 tis. Kč. Ve srovnání s rokem 2020 nedochází ke změně.</w:t>
      </w:r>
    </w:p>
    <w:p w:rsidR="003A0B78" w:rsidRPr="003F52AF" w:rsidRDefault="003A0B78" w:rsidP="00CF4AED">
      <w:pPr>
        <w:pStyle w:val="Nadpis8"/>
      </w:pPr>
      <w:r w:rsidRPr="003F52AF">
        <w:t>ÚZPLN</w:t>
      </w:r>
    </w:p>
    <w:p w:rsidR="003A0B78" w:rsidRPr="003F52AF" w:rsidRDefault="003A0B78" w:rsidP="00BE723A">
      <w:pPr>
        <w:pStyle w:val="Styl1"/>
        <w:rPr>
          <w:u w:val="single"/>
        </w:rPr>
      </w:pPr>
      <w:r w:rsidRPr="003F52AF">
        <w:t>Prostředky na platy a ostatní platby za provedenou práci u ÚZPLN jsou stanovené pro rok 202</w:t>
      </w:r>
      <w:r>
        <w:t>1</w:t>
      </w:r>
      <w:r w:rsidRPr="003F52AF">
        <w:t xml:space="preserve"> v celkové výši 8 501 tis. Kč. Ve srovnání s rokem 20</w:t>
      </w:r>
      <w:r>
        <w:t>20</w:t>
      </w:r>
      <w:r w:rsidRPr="003F52AF">
        <w:t xml:space="preserve"> </w:t>
      </w:r>
      <w:r>
        <w:t>ne</w:t>
      </w:r>
      <w:r w:rsidRPr="003F52AF">
        <w:t>dochází ke z</w:t>
      </w:r>
      <w:r>
        <w:t>měně</w:t>
      </w:r>
      <w:r w:rsidRPr="003F52AF">
        <w:t>.</w:t>
      </w:r>
    </w:p>
    <w:p w:rsidR="003A0B78" w:rsidRPr="009E6E4D" w:rsidRDefault="003A0B78" w:rsidP="00CF4AED">
      <w:pPr>
        <w:pStyle w:val="Nadpis8"/>
      </w:pPr>
      <w:r w:rsidRPr="00CF4AED">
        <w:lastRenderedPageBreak/>
        <w:t>ŘVC</w:t>
      </w:r>
      <w:r w:rsidRPr="009E6E4D">
        <w:t xml:space="preserve"> ČR</w:t>
      </w:r>
    </w:p>
    <w:p w:rsidR="003A0B78" w:rsidRPr="009E6E4D" w:rsidRDefault="003A0B78" w:rsidP="003A0B78">
      <w:pPr>
        <w:pStyle w:val="obyctext"/>
        <w:tabs>
          <w:tab w:val="left" w:pos="426"/>
        </w:tabs>
        <w:spacing w:before="240" w:after="120"/>
        <w:ind w:firstLine="0"/>
        <w:rPr>
          <w:u w:val="single"/>
        </w:rPr>
      </w:pPr>
      <w:r w:rsidRPr="009E6E4D">
        <w:t>Prostředky na platy a ostatní platby za provedenou práci u ŘVC ČR jsou stanovené pro rok 2021 v celkové výši 6 943 tis. Kč. Ve srovnání s rokem 2020 nedochází ke změně.</w:t>
      </w:r>
    </w:p>
    <w:p w:rsidR="003A0B78" w:rsidRPr="009E6E4D" w:rsidRDefault="003A0B78" w:rsidP="00CF4AED">
      <w:pPr>
        <w:pStyle w:val="Nadpis8"/>
      </w:pPr>
      <w:r w:rsidRPr="009E6E4D">
        <w:t>CSPSD</w:t>
      </w:r>
    </w:p>
    <w:p w:rsidR="003A0B78" w:rsidRPr="009E6E4D" w:rsidRDefault="003A0B78" w:rsidP="003A0B78">
      <w:pPr>
        <w:pStyle w:val="obyctext"/>
        <w:tabs>
          <w:tab w:val="left" w:pos="0"/>
        </w:tabs>
        <w:spacing w:before="180" w:after="0"/>
        <w:ind w:firstLine="0"/>
      </w:pPr>
      <w:r w:rsidRPr="009E6E4D">
        <w:t>Prostředky na platy a ostatní osobní náklady u CSPSD jsou stanovené pro rok 202</w:t>
      </w:r>
      <w:r>
        <w:t>1</w:t>
      </w:r>
      <w:r w:rsidRPr="009E6E4D">
        <w:t xml:space="preserve"> v celkové výši 34 286 tis. Kč. Ve srovnání s rokem 20</w:t>
      </w:r>
      <w:r>
        <w:t>20</w:t>
      </w:r>
      <w:r w:rsidRPr="009E6E4D">
        <w:t xml:space="preserve"> </w:t>
      </w:r>
      <w:r>
        <w:t>ne</w:t>
      </w:r>
      <w:r w:rsidRPr="009E6E4D">
        <w:t>dochází ke z</w:t>
      </w:r>
      <w:r>
        <w:t>měně</w:t>
      </w:r>
      <w:r w:rsidRPr="009E6E4D">
        <w:t>.</w:t>
      </w:r>
    </w:p>
    <w:p w:rsidR="00905890" w:rsidRPr="00905890" w:rsidRDefault="00905890" w:rsidP="00905890">
      <w:pPr>
        <w:pStyle w:val="Nadpis9"/>
      </w:pPr>
      <w:r w:rsidRPr="00905890">
        <w:t>B) Počty zaměstnanců</w:t>
      </w:r>
    </w:p>
    <w:p w:rsidR="00905890" w:rsidRPr="00905890" w:rsidRDefault="00905890" w:rsidP="00905890">
      <w:pPr>
        <w:pStyle w:val="Styl1"/>
      </w:pPr>
      <w:r w:rsidRPr="00905890">
        <w:t xml:space="preserve">Počet zaměstnanců pro rok 2021 ve výši 971 je oproti roku 2020 navýšen o 10, </w:t>
      </w:r>
      <w:r w:rsidRPr="00905890">
        <w:br/>
        <w:t xml:space="preserve">tj. o 1,04 %, kdy počet zaměstnanců byl schválen ve výši 961. </w:t>
      </w:r>
    </w:p>
    <w:p w:rsidR="00905890" w:rsidRPr="00905890" w:rsidRDefault="00905890" w:rsidP="00905890">
      <w:pPr>
        <w:pStyle w:val="obyctext"/>
        <w:spacing w:before="240" w:after="0"/>
        <w:ind w:firstLine="0"/>
        <w:rPr>
          <w:b/>
        </w:rPr>
      </w:pPr>
      <w:r w:rsidRPr="00905890">
        <w:rPr>
          <w:b/>
        </w:rPr>
        <w:t xml:space="preserve">V oblasti počtu zaměsntnanců byly promítnuty na rok 2021 tyto změny oproti schválenému rozpočtu na rok 2020: </w:t>
      </w:r>
    </w:p>
    <w:p w:rsidR="00905890" w:rsidRPr="00905890" w:rsidRDefault="00905890" w:rsidP="00905890">
      <w:pPr>
        <w:pStyle w:val="obyctext"/>
        <w:numPr>
          <w:ilvl w:val="0"/>
          <w:numId w:val="27"/>
        </w:numPr>
        <w:tabs>
          <w:tab w:val="left" w:pos="567"/>
          <w:tab w:val="left" w:pos="851"/>
        </w:tabs>
        <w:spacing w:before="60" w:after="0"/>
        <w:ind w:left="567" w:hanging="283"/>
      </w:pPr>
      <w:r w:rsidRPr="00905890">
        <w:t>navýšení počtu zaměstnanců ve vazbě na novelu zákona č. 416/2009 Sb., liniový zákon;</w:t>
      </w:r>
    </w:p>
    <w:p w:rsidR="00905890" w:rsidRPr="00905890" w:rsidRDefault="00905890" w:rsidP="00905890">
      <w:pPr>
        <w:pStyle w:val="obyctext"/>
        <w:numPr>
          <w:ilvl w:val="0"/>
          <w:numId w:val="27"/>
        </w:numPr>
        <w:tabs>
          <w:tab w:val="left" w:pos="567"/>
        </w:tabs>
        <w:spacing w:before="60" w:after="0"/>
        <w:ind w:left="567" w:hanging="283"/>
      </w:pPr>
      <w:r w:rsidRPr="00905890">
        <w:t>navýšení počtu zaměstnanců v souladu s UV č. 729/2019, k zajištění příprav předsednictví ČR v Radě EU;</w:t>
      </w:r>
    </w:p>
    <w:p w:rsidR="00905890" w:rsidRPr="00905890" w:rsidRDefault="00905890" w:rsidP="00905890">
      <w:pPr>
        <w:pStyle w:val="obyctext"/>
        <w:numPr>
          <w:ilvl w:val="0"/>
          <w:numId w:val="27"/>
        </w:numPr>
        <w:tabs>
          <w:tab w:val="left" w:pos="567"/>
        </w:tabs>
        <w:spacing w:before="60" w:after="0"/>
        <w:ind w:left="567" w:hanging="283"/>
      </w:pPr>
      <w:r w:rsidRPr="00905890">
        <w:t>navýšení počtu zaměstnanců v souvislosti se schválenou změnou systemizace s účinnosti od 1. 1. 2020 – UV č. 898/20219;</w:t>
      </w:r>
    </w:p>
    <w:p w:rsidR="00905890" w:rsidRPr="00905890" w:rsidRDefault="00905890" w:rsidP="00905890">
      <w:pPr>
        <w:pStyle w:val="obyctext"/>
        <w:numPr>
          <w:ilvl w:val="0"/>
          <w:numId w:val="27"/>
        </w:numPr>
        <w:tabs>
          <w:tab w:val="left" w:pos="567"/>
        </w:tabs>
        <w:spacing w:before="60" w:after="0"/>
        <w:ind w:left="567" w:hanging="283"/>
      </w:pPr>
      <w:r w:rsidRPr="00905890">
        <w:t xml:space="preserve">přesun zaměstnanců v souvislosti se schválenou změnou systemizace s účinnosti </w:t>
      </w:r>
      <w:r w:rsidRPr="00905890">
        <w:br/>
        <w:t>od 1. 6. 2020 – UV č. 563/2020.</w:t>
      </w:r>
    </w:p>
    <w:p w:rsidR="00905890" w:rsidRPr="00905890" w:rsidRDefault="00905890" w:rsidP="00905890">
      <w:pPr>
        <w:pStyle w:val="obyctext"/>
        <w:tabs>
          <w:tab w:val="left" w:pos="567"/>
        </w:tabs>
        <w:spacing w:before="240" w:after="0"/>
        <w:ind w:firstLine="0"/>
        <w:rPr>
          <w:b/>
        </w:rPr>
      </w:pPr>
      <w:r w:rsidRPr="00905890">
        <w:rPr>
          <w:b/>
        </w:rPr>
        <w:t xml:space="preserve">U jednotlivých OSS a PO jsou v rámci počtu zaměstnanců promítnuté na rok 2021 tyto změny: </w:t>
      </w:r>
    </w:p>
    <w:p w:rsidR="00905890" w:rsidRPr="00905890" w:rsidRDefault="00905890" w:rsidP="00905890">
      <w:pPr>
        <w:pStyle w:val="Nadpis8"/>
      </w:pPr>
      <w:r w:rsidRPr="00905890">
        <w:t>ÚO MD</w:t>
      </w:r>
    </w:p>
    <w:p w:rsidR="00905890" w:rsidRPr="00905890" w:rsidRDefault="00905890" w:rsidP="00905890">
      <w:pPr>
        <w:pStyle w:val="obyctext"/>
        <w:numPr>
          <w:ilvl w:val="0"/>
          <w:numId w:val="23"/>
        </w:numPr>
        <w:tabs>
          <w:tab w:val="left" w:pos="426"/>
        </w:tabs>
        <w:spacing w:before="60" w:after="0"/>
        <w:ind w:left="425" w:hanging="425"/>
      </w:pPr>
      <w:r w:rsidRPr="00905890">
        <w:t>navýšení 4 státních zaměstnanců, ve vazbě na novelu zákona č. 416/2009 Sb., liniový zákon;</w:t>
      </w:r>
    </w:p>
    <w:p w:rsidR="00905890" w:rsidRPr="00905890" w:rsidRDefault="00905890" w:rsidP="00905890">
      <w:pPr>
        <w:pStyle w:val="obyctext"/>
        <w:numPr>
          <w:ilvl w:val="0"/>
          <w:numId w:val="23"/>
        </w:numPr>
        <w:tabs>
          <w:tab w:val="left" w:pos="426"/>
        </w:tabs>
        <w:spacing w:before="60" w:after="0"/>
        <w:ind w:left="425" w:hanging="425"/>
      </w:pPr>
      <w:r w:rsidRPr="00905890">
        <w:t>navýšení 3 státních zaměstnanců, v souladu s UV č. 729/2019, k zajištění příprav předsednictví ČR v Radě EU;</w:t>
      </w:r>
    </w:p>
    <w:p w:rsidR="00905890" w:rsidRPr="00905890" w:rsidRDefault="00905890" w:rsidP="00905890">
      <w:pPr>
        <w:pStyle w:val="obyctext"/>
        <w:numPr>
          <w:ilvl w:val="0"/>
          <w:numId w:val="23"/>
        </w:numPr>
        <w:tabs>
          <w:tab w:val="left" w:pos="426"/>
        </w:tabs>
        <w:spacing w:before="60" w:after="0"/>
        <w:ind w:left="425" w:hanging="425"/>
      </w:pPr>
      <w:r w:rsidRPr="00905890">
        <w:t xml:space="preserve">snížení 1 státního zaměstnance, ve vazbě na ukončení projektu OP Zaměstnanost </w:t>
      </w:r>
      <w:r w:rsidRPr="00905890">
        <w:br/>
        <w:t>k 30. 6. 2021;</w:t>
      </w:r>
    </w:p>
    <w:p w:rsidR="00905890" w:rsidRPr="00905890" w:rsidRDefault="00905890" w:rsidP="00905890">
      <w:pPr>
        <w:pStyle w:val="obyctext"/>
        <w:numPr>
          <w:ilvl w:val="0"/>
          <w:numId w:val="23"/>
        </w:numPr>
        <w:tabs>
          <w:tab w:val="left" w:pos="426"/>
        </w:tabs>
        <w:spacing w:before="60" w:after="0"/>
        <w:ind w:left="425" w:hanging="425"/>
      </w:pPr>
      <w:r w:rsidRPr="00905890">
        <w:t>navýšení 2 státních zaměstnanců, změna systemizace schválená UV č. 898/2019 s účinnosti od 1. 1. 2020;</w:t>
      </w:r>
    </w:p>
    <w:p w:rsidR="00905890" w:rsidRPr="00905890" w:rsidRDefault="00905890" w:rsidP="00905890">
      <w:pPr>
        <w:pStyle w:val="obyctext"/>
        <w:numPr>
          <w:ilvl w:val="0"/>
          <w:numId w:val="23"/>
        </w:numPr>
        <w:tabs>
          <w:tab w:val="left" w:pos="426"/>
        </w:tabs>
        <w:spacing w:before="60" w:after="0"/>
        <w:ind w:left="425" w:hanging="425"/>
      </w:pPr>
      <w:r w:rsidRPr="00905890">
        <w:t>přesun 2  zaměstnanců z pracovního poměru na státní zaměstnnce, změna systemizace schválená UV č. 563/2020, s účinnosti od 1. 6. 2020.</w:t>
      </w:r>
    </w:p>
    <w:p w:rsidR="00905890" w:rsidRPr="00905890" w:rsidRDefault="00905890" w:rsidP="00905890">
      <w:pPr>
        <w:pStyle w:val="Styl1"/>
        <w:spacing w:before="240"/>
        <w:rPr>
          <w:b/>
        </w:rPr>
      </w:pPr>
      <w:r w:rsidRPr="00905890">
        <w:t xml:space="preserve">Počet zaměstnanců ÚO MD je pro rok 2021 stanoven ve výši 457 (63 zaměstnanců v pracovním poměru a 394 státních zaměstnanců). Ve srovnání s rokem 2020 dochází k navýšení o 8, </w:t>
      </w:r>
      <w:r w:rsidRPr="00905890">
        <w:br/>
        <w:t xml:space="preserve">tj. o 1,78 %. </w:t>
      </w:r>
    </w:p>
    <w:p w:rsidR="00905890" w:rsidRPr="00905890" w:rsidRDefault="00905890" w:rsidP="00905890">
      <w:pPr>
        <w:pStyle w:val="Nadpis8"/>
      </w:pPr>
      <w:r w:rsidRPr="00905890">
        <w:t>ÚCL</w:t>
      </w:r>
    </w:p>
    <w:p w:rsidR="00905890" w:rsidRPr="00905890" w:rsidRDefault="00905890" w:rsidP="00905890">
      <w:pPr>
        <w:pStyle w:val="Styl1"/>
        <w:rPr>
          <w:b/>
        </w:rPr>
      </w:pPr>
      <w:r w:rsidRPr="00905890">
        <w:t>Počet zaměstnanců ÚCL je pro rok 2021 stanoven ve výši 166 (15 zaměstnanců v pracovním poměru a 151 státních zaměstnanců). Ve srovnání s rokem 2020 nedochází ke změně.</w:t>
      </w:r>
    </w:p>
    <w:p w:rsidR="00905890" w:rsidRPr="00905890" w:rsidRDefault="00905890" w:rsidP="00905890">
      <w:pPr>
        <w:pStyle w:val="Nadpis8"/>
      </w:pPr>
      <w:r w:rsidRPr="00905890">
        <w:lastRenderedPageBreak/>
        <w:t>SPS</w:t>
      </w:r>
    </w:p>
    <w:p w:rsidR="00905890" w:rsidRPr="00905890" w:rsidRDefault="00905890" w:rsidP="00905890">
      <w:pPr>
        <w:pStyle w:val="obyctext"/>
        <w:numPr>
          <w:ilvl w:val="0"/>
          <w:numId w:val="23"/>
        </w:numPr>
        <w:tabs>
          <w:tab w:val="left" w:pos="426"/>
        </w:tabs>
        <w:spacing w:before="60" w:after="0"/>
        <w:ind w:left="425" w:hanging="425"/>
      </w:pPr>
      <w:r w:rsidRPr="00905890">
        <w:t>přesun 1  zaměstnance z pracovního poměru na státního zaměstnance, změna provedená v rámci přípravy státního rozpočtu na rok 2021.</w:t>
      </w:r>
    </w:p>
    <w:p w:rsidR="00905890" w:rsidRPr="00905890" w:rsidRDefault="00905890" w:rsidP="00905890">
      <w:pPr>
        <w:pStyle w:val="Styl1"/>
        <w:spacing w:before="240"/>
        <w:rPr>
          <w:b/>
        </w:rPr>
      </w:pPr>
      <w:r w:rsidRPr="00905890">
        <w:t>Počet zaměstnanců SPS je pro rok 2021 stanoven ve výši 85 (16 zaměstnanců v pracovním poměru a 69 státních zaměstnanců). Ve srovnání s rokem 2020 nedochází ke změně.</w:t>
      </w:r>
    </w:p>
    <w:p w:rsidR="00905890" w:rsidRPr="00905890" w:rsidRDefault="00905890" w:rsidP="00905890">
      <w:pPr>
        <w:pStyle w:val="Nadpis8"/>
      </w:pPr>
      <w:r w:rsidRPr="00905890">
        <w:t>DÚ</w:t>
      </w:r>
    </w:p>
    <w:p w:rsidR="00905890" w:rsidRPr="00905890" w:rsidRDefault="00905890" w:rsidP="00905890">
      <w:pPr>
        <w:pStyle w:val="obyctext"/>
        <w:numPr>
          <w:ilvl w:val="0"/>
          <w:numId w:val="23"/>
        </w:numPr>
        <w:tabs>
          <w:tab w:val="left" w:pos="426"/>
        </w:tabs>
        <w:spacing w:before="60" w:after="0"/>
        <w:ind w:left="425" w:hanging="425"/>
      </w:pPr>
      <w:r w:rsidRPr="00905890">
        <w:t>navýšení 2 státních zaměstnanců, ve vazbě na novelu zákona č. 416/2009 Sb., liniový zákon;</w:t>
      </w:r>
    </w:p>
    <w:p w:rsidR="00905890" w:rsidRPr="00905890" w:rsidRDefault="00905890" w:rsidP="00905890">
      <w:pPr>
        <w:pStyle w:val="obyctext"/>
        <w:numPr>
          <w:ilvl w:val="0"/>
          <w:numId w:val="23"/>
        </w:numPr>
        <w:tabs>
          <w:tab w:val="left" w:pos="426"/>
        </w:tabs>
        <w:spacing w:before="60" w:after="0"/>
        <w:ind w:left="425" w:hanging="425"/>
      </w:pPr>
      <w:r w:rsidRPr="00905890">
        <w:t xml:space="preserve">přesun 2 státních zaměstnanců do pracovního poměru, změna systemizace schválená </w:t>
      </w:r>
      <w:r w:rsidRPr="00905890">
        <w:br/>
        <w:t>UV č. 563/2020, s účinnosti od 1. 6. 2020.</w:t>
      </w:r>
    </w:p>
    <w:p w:rsidR="00905890" w:rsidRPr="00905890" w:rsidRDefault="00905890" w:rsidP="00905890">
      <w:pPr>
        <w:pStyle w:val="Styl1"/>
        <w:spacing w:before="240"/>
        <w:rPr>
          <w:b/>
        </w:rPr>
      </w:pPr>
      <w:r w:rsidRPr="00905890">
        <w:t xml:space="preserve">Počet zaměstnanců DÚ je pro rok 2021 stanoven ve výši 111 (11 zaměstnanců v pracovním poměru a 100 státních zaměstnanců). Ve srovnání s rokem 2020 dochází k navýšení o 2, tj. </w:t>
      </w:r>
      <w:r w:rsidRPr="00905890">
        <w:br/>
        <w:t xml:space="preserve">o 1,83 %. </w:t>
      </w:r>
    </w:p>
    <w:p w:rsidR="00905890" w:rsidRPr="00905890" w:rsidRDefault="00905890" w:rsidP="00905890">
      <w:pPr>
        <w:pStyle w:val="Nadpis8"/>
      </w:pPr>
      <w:r w:rsidRPr="00905890">
        <w:t>DI</w:t>
      </w:r>
    </w:p>
    <w:p w:rsidR="00905890" w:rsidRPr="00F90B85" w:rsidRDefault="00905890" w:rsidP="00905890">
      <w:pPr>
        <w:pStyle w:val="obyctext"/>
        <w:tabs>
          <w:tab w:val="left" w:pos="567"/>
        </w:tabs>
        <w:spacing w:after="0"/>
        <w:ind w:firstLine="0"/>
        <w:rPr>
          <w:b/>
        </w:rPr>
      </w:pPr>
      <w:r w:rsidRPr="00905890">
        <w:t>Počet zaměstnanců DI je pro rok 2021 stanoven ve výši 38 (státní zaměstnanci). Ve srovnání s rokem 2020 nedochází ke změně.</w:t>
      </w:r>
    </w:p>
    <w:p w:rsidR="00905890" w:rsidRPr="00553672" w:rsidRDefault="00905890" w:rsidP="00905890">
      <w:pPr>
        <w:pStyle w:val="Nadpis8"/>
      </w:pPr>
      <w:r w:rsidRPr="00553672">
        <w:t xml:space="preserve">ÚZPLN </w:t>
      </w:r>
    </w:p>
    <w:p w:rsidR="00905890" w:rsidRPr="00F90B85" w:rsidRDefault="00905890" w:rsidP="00905890">
      <w:pPr>
        <w:pStyle w:val="obyctext"/>
        <w:tabs>
          <w:tab w:val="left" w:pos="567"/>
        </w:tabs>
        <w:spacing w:after="0"/>
        <w:ind w:firstLine="0"/>
        <w:rPr>
          <w:b/>
        </w:rPr>
      </w:pPr>
      <w:r w:rsidRPr="00F90B85">
        <w:t>Počet zaměstnanců ÚZPLN je pro rok 2021 stanoven ve výši 15 (zaměstnanci v pracovním poměru). Ve srovnání s rokem 2020 nedochází ke změně.</w:t>
      </w:r>
    </w:p>
    <w:p w:rsidR="00905890" w:rsidRPr="00553672" w:rsidRDefault="00905890" w:rsidP="00905890">
      <w:pPr>
        <w:pStyle w:val="Nadpis8"/>
      </w:pPr>
      <w:r w:rsidRPr="00553672">
        <w:t xml:space="preserve">ŘVC ČR </w:t>
      </w:r>
    </w:p>
    <w:p w:rsidR="00905890" w:rsidRPr="00F90B85" w:rsidRDefault="00905890" w:rsidP="00905890">
      <w:pPr>
        <w:pStyle w:val="obyctext"/>
        <w:tabs>
          <w:tab w:val="left" w:pos="0"/>
        </w:tabs>
        <w:spacing w:before="180" w:after="0"/>
        <w:ind w:firstLine="0"/>
        <w:rPr>
          <w:b/>
        </w:rPr>
      </w:pPr>
      <w:r w:rsidRPr="00F90B85">
        <w:t>Počet zaměstnanců ŘVC ČR je pro rok 2021 stanoven ve výši 15 (zaměstnanci v pracovním poměru). Ve srovnání s rokem 2020 nedochází ke změně.</w:t>
      </w:r>
    </w:p>
    <w:p w:rsidR="00905890" w:rsidRPr="00553672" w:rsidRDefault="00905890" w:rsidP="00905890">
      <w:pPr>
        <w:pStyle w:val="Nadpis8"/>
      </w:pPr>
      <w:r w:rsidRPr="00553672">
        <w:t>CSPSD</w:t>
      </w:r>
    </w:p>
    <w:p w:rsidR="00905890" w:rsidRPr="00F90B85" w:rsidRDefault="00905890" w:rsidP="00905890">
      <w:pPr>
        <w:pStyle w:val="obyctext"/>
        <w:tabs>
          <w:tab w:val="left" w:pos="0"/>
        </w:tabs>
        <w:spacing w:before="180" w:after="0"/>
        <w:ind w:firstLine="0"/>
      </w:pPr>
      <w:r w:rsidRPr="00F90B85">
        <w:t>Počet zaměstnanců CSPSD je pro rok 2021 stanoven ve výši 84 (zaměstnanci v pracovním poměru). Ve srovnání s rokem 2020 nedochází ke změně.</w:t>
      </w:r>
    </w:p>
    <w:p w:rsidR="003A0B78" w:rsidRPr="00526F91" w:rsidRDefault="003A0B78" w:rsidP="00CF4AED">
      <w:pPr>
        <w:pStyle w:val="Nadpis9"/>
      </w:pPr>
      <w:r w:rsidRPr="00526F91">
        <w:t>C) Průměrný plat</w:t>
      </w:r>
    </w:p>
    <w:p w:rsidR="003A0B78" w:rsidRPr="00526F91" w:rsidRDefault="003A0B78" w:rsidP="003A0B78">
      <w:pPr>
        <w:pStyle w:val="Styl1"/>
      </w:pPr>
      <w:r w:rsidRPr="00526F91">
        <w:t xml:space="preserve">Průměrný plat v kapitole Ministerstvo dopravy je pro rok 2021 navržen ve výši </w:t>
      </w:r>
      <w:r w:rsidRPr="00526F91">
        <w:br/>
        <w:t>49 709 Kč. Ve srovnání s předchozím rokem, kdy byl průměrný plat u schváleného rozpočtu ve výši 49 541 Kč, dochází k jeho mírnému navýšení o 168 Kč, tj. o 0,34 %.</w:t>
      </w:r>
    </w:p>
    <w:p w:rsidR="003A0B78" w:rsidRPr="00E01BEC" w:rsidRDefault="003A0B78" w:rsidP="00CF4AED">
      <w:pPr>
        <w:pStyle w:val="Nadpis9"/>
      </w:pPr>
      <w:r w:rsidRPr="00E01BEC">
        <w:t>D) Prostředky z rozpočtu EU a finančních mechanismů</w:t>
      </w:r>
    </w:p>
    <w:p w:rsidR="003A0B78" w:rsidRPr="00E01BEC" w:rsidRDefault="003A0B78" w:rsidP="00CF4AED">
      <w:pPr>
        <w:pStyle w:val="Nadpis8"/>
      </w:pPr>
      <w:r w:rsidRPr="00E01BEC">
        <w:t xml:space="preserve">Operační program Doprava na období 2014-2020 (týká se jen ÚO MD)  </w:t>
      </w:r>
    </w:p>
    <w:p w:rsidR="003A0B78" w:rsidRPr="002E1BFA" w:rsidRDefault="003A0B78" w:rsidP="003A0B78">
      <w:pPr>
        <w:pStyle w:val="Styl1"/>
        <w:numPr>
          <w:ilvl w:val="0"/>
          <w:numId w:val="19"/>
        </w:numPr>
        <w:spacing w:before="60" w:after="0"/>
        <w:ind w:left="567" w:hanging="283"/>
      </w:pPr>
      <w:r w:rsidRPr="002E1BFA">
        <w:t>prostředky na platy ve výši 8 323 tis. Kč ze státního rozpočtu a 47 166 tis. Kč z rozpočtu EU, celkem ve výši 55 490 tis. Kč;</w:t>
      </w:r>
    </w:p>
    <w:p w:rsidR="003A0B78" w:rsidRPr="002E1BFA" w:rsidRDefault="003A0B78" w:rsidP="003A0B78">
      <w:pPr>
        <w:pStyle w:val="Styl1"/>
        <w:numPr>
          <w:ilvl w:val="0"/>
          <w:numId w:val="19"/>
        </w:numPr>
        <w:spacing w:before="60" w:after="0"/>
        <w:ind w:left="567" w:hanging="283"/>
      </w:pPr>
      <w:r w:rsidRPr="002E1BFA">
        <w:t>ostatní platby z</w:t>
      </w:r>
      <w:r w:rsidR="001004D1">
        <w:t>a provedenou práci nebyly rozp</w:t>
      </w:r>
      <w:r w:rsidRPr="002E1BFA">
        <w:t>očtovány, budou hrazeny z nároku z nespotřebovaných výdajů předchozích let;</w:t>
      </w:r>
    </w:p>
    <w:p w:rsidR="003A0B78" w:rsidRPr="002E1BFA" w:rsidRDefault="003A0B78" w:rsidP="003A0B78">
      <w:pPr>
        <w:pStyle w:val="Styl1"/>
        <w:numPr>
          <w:ilvl w:val="0"/>
          <w:numId w:val="19"/>
        </w:numPr>
        <w:spacing w:before="60" w:after="0"/>
        <w:ind w:left="567" w:hanging="283"/>
      </w:pPr>
      <w:r w:rsidRPr="002E1BFA">
        <w:lastRenderedPageBreak/>
        <w:t xml:space="preserve">počet 78 zaměstnanců přepočtených plně zapojených do implementace OPD </w:t>
      </w:r>
      <w:r w:rsidRPr="002E1BFA">
        <w:br/>
        <w:t>(v tom: 43 kmenoví zaměstnanci a 35 jednorázové navýšení).</w:t>
      </w:r>
    </w:p>
    <w:p w:rsidR="003A0B78" w:rsidRPr="002E1BFA" w:rsidRDefault="003A0B78" w:rsidP="00CF4AED">
      <w:pPr>
        <w:pStyle w:val="Nadpis8"/>
      </w:pPr>
      <w:r w:rsidRPr="002E1BFA">
        <w:t>Komunitární programy EU</w:t>
      </w:r>
    </w:p>
    <w:p w:rsidR="003A0B78" w:rsidRPr="002E1BFA" w:rsidRDefault="003A0B78" w:rsidP="003A0B78">
      <w:pPr>
        <w:pStyle w:val="Odstavecseseznamem"/>
        <w:numPr>
          <w:ilvl w:val="0"/>
          <w:numId w:val="14"/>
        </w:numPr>
        <w:tabs>
          <w:tab w:val="left" w:pos="2410"/>
        </w:tabs>
        <w:spacing w:before="240"/>
        <w:ind w:left="284" w:hanging="284"/>
      </w:pPr>
      <w:r w:rsidRPr="002E1BFA">
        <w:t>C-ROADS (ÚO MD)</w:t>
      </w:r>
    </w:p>
    <w:p w:rsidR="003A0B78" w:rsidRPr="002E1BFA" w:rsidRDefault="00C95DAE" w:rsidP="003A0B78">
      <w:pPr>
        <w:pStyle w:val="obyctext"/>
        <w:numPr>
          <w:ilvl w:val="0"/>
          <w:numId w:val="20"/>
        </w:numPr>
        <w:tabs>
          <w:tab w:val="left" w:pos="2410"/>
        </w:tabs>
        <w:spacing w:before="60" w:after="0"/>
        <w:ind w:left="567" w:hanging="283"/>
      </w:pPr>
      <w:r>
        <w:t>ostatní na platby</w:t>
      </w:r>
      <w:r w:rsidR="003A0B78" w:rsidRPr="002E1BFA">
        <w:t xml:space="preserve"> za provedenou práci ve výši 554 tis. Kč ze státního rozpočtu </w:t>
      </w:r>
      <w:r w:rsidR="003A0B78" w:rsidRPr="002E1BFA">
        <w:br/>
        <w:t>a 3 142 tis. Kč z rozpočtu EU, celkem ve výši 3 696 tis. Kč.</w:t>
      </w:r>
    </w:p>
    <w:p w:rsidR="003A0B78" w:rsidRPr="002E1BFA" w:rsidRDefault="003A0B78" w:rsidP="003A0B78">
      <w:pPr>
        <w:pStyle w:val="Odstavecseseznamem"/>
        <w:numPr>
          <w:ilvl w:val="0"/>
          <w:numId w:val="14"/>
        </w:numPr>
        <w:tabs>
          <w:tab w:val="left" w:pos="2410"/>
        </w:tabs>
        <w:spacing w:before="240"/>
        <w:ind w:left="284" w:hanging="284"/>
      </w:pPr>
      <w:r w:rsidRPr="002E1BFA">
        <w:t>C-ROADS Austria 2 (ÚO MD)</w:t>
      </w:r>
    </w:p>
    <w:p w:rsidR="003A0B78" w:rsidRPr="002E1BFA" w:rsidRDefault="003A0B78" w:rsidP="003A0B78">
      <w:pPr>
        <w:pStyle w:val="obyctext"/>
        <w:numPr>
          <w:ilvl w:val="0"/>
          <w:numId w:val="20"/>
        </w:numPr>
        <w:tabs>
          <w:tab w:val="left" w:pos="2410"/>
        </w:tabs>
        <w:spacing w:before="60" w:after="0"/>
        <w:ind w:left="567" w:hanging="283"/>
      </w:pPr>
      <w:r w:rsidRPr="002E1BFA">
        <w:t>prostředky na platy ve výši 100 tis. Kč ze státního rozpočtu a 100 tis. Kč z rozpočtu EU, celkem ve výši 200 tis. Kč;</w:t>
      </w:r>
    </w:p>
    <w:p w:rsidR="003A0B78" w:rsidRPr="002E1BFA" w:rsidRDefault="003A0B78" w:rsidP="003A0B78">
      <w:pPr>
        <w:pStyle w:val="obyctext"/>
        <w:numPr>
          <w:ilvl w:val="0"/>
          <w:numId w:val="20"/>
        </w:numPr>
        <w:tabs>
          <w:tab w:val="left" w:pos="2410"/>
        </w:tabs>
        <w:spacing w:before="60" w:after="0"/>
        <w:ind w:left="567" w:hanging="283"/>
      </w:pPr>
      <w:r w:rsidRPr="002E1BFA">
        <w:t>ostatní platby za provedenou práci ve výši 100 tis. Kč ze státního rozpočtu a 100 tis. Kč z </w:t>
      </w:r>
      <w:r w:rsidR="001004D1" w:rsidRPr="002E1BFA">
        <w:t>rozpočtu</w:t>
      </w:r>
      <w:r w:rsidRPr="002E1BFA">
        <w:t xml:space="preserve"> EU, celkem ve výši 200 tis. Kč;</w:t>
      </w:r>
    </w:p>
    <w:p w:rsidR="003A0B78" w:rsidRPr="002E1BFA" w:rsidRDefault="003A0B78" w:rsidP="003A0B78">
      <w:pPr>
        <w:pStyle w:val="obyctext"/>
        <w:numPr>
          <w:ilvl w:val="0"/>
          <w:numId w:val="20"/>
        </w:numPr>
        <w:tabs>
          <w:tab w:val="left" w:pos="2410"/>
        </w:tabs>
        <w:spacing w:before="60" w:after="0"/>
        <w:ind w:left="567" w:hanging="283"/>
      </w:pPr>
      <w:r w:rsidRPr="002E1BFA">
        <w:t>počet zaměstnanců 3 (motivace).</w:t>
      </w:r>
    </w:p>
    <w:p w:rsidR="003A0B78" w:rsidRPr="002E1BFA" w:rsidRDefault="003A0B78" w:rsidP="003A0B78">
      <w:pPr>
        <w:pStyle w:val="Odstavecseseznamem"/>
        <w:numPr>
          <w:ilvl w:val="0"/>
          <w:numId w:val="14"/>
        </w:numPr>
        <w:tabs>
          <w:tab w:val="left" w:pos="2410"/>
        </w:tabs>
        <w:spacing w:before="240"/>
        <w:ind w:left="284" w:hanging="284"/>
      </w:pPr>
      <w:r w:rsidRPr="002E1BFA">
        <w:t>PSA-NAP Governance (ÚO MD)</w:t>
      </w:r>
    </w:p>
    <w:p w:rsidR="003A0B78" w:rsidRPr="002E1BFA" w:rsidRDefault="003A0B78" w:rsidP="003A0B78">
      <w:pPr>
        <w:pStyle w:val="obyctext"/>
        <w:numPr>
          <w:ilvl w:val="0"/>
          <w:numId w:val="20"/>
        </w:numPr>
        <w:tabs>
          <w:tab w:val="left" w:pos="2410"/>
        </w:tabs>
        <w:spacing w:before="60" w:after="0"/>
        <w:ind w:left="567" w:hanging="283"/>
      </w:pPr>
      <w:r w:rsidRPr="002E1BFA">
        <w:t>prostředky na platy ve výši 30 tis. Kč ze státního rozpočtu a 170 tis. Kč z rozpočtu EU, celkem ve výši 200 tis. Kč;</w:t>
      </w:r>
    </w:p>
    <w:p w:rsidR="003A0B78" w:rsidRPr="002E1BFA" w:rsidRDefault="003A0B78" w:rsidP="003A0B78">
      <w:pPr>
        <w:pStyle w:val="obyctext"/>
        <w:numPr>
          <w:ilvl w:val="0"/>
          <w:numId w:val="20"/>
        </w:numPr>
        <w:tabs>
          <w:tab w:val="left" w:pos="2410"/>
        </w:tabs>
        <w:spacing w:before="60" w:after="0"/>
        <w:ind w:left="567" w:hanging="283"/>
      </w:pPr>
      <w:r w:rsidRPr="002E1BFA">
        <w:t>ostatní platby za provedenou práci ve výši 30 tis. Kč ze státního rozpočtu a 170 tis. Kč z </w:t>
      </w:r>
      <w:r w:rsidR="001004D1" w:rsidRPr="002E1BFA">
        <w:t>rozpočtu</w:t>
      </w:r>
      <w:r w:rsidRPr="002E1BFA">
        <w:t xml:space="preserve"> EU, celkem ve výši 200 tis. Kč;</w:t>
      </w:r>
    </w:p>
    <w:p w:rsidR="003A0B78" w:rsidRPr="002E1BFA" w:rsidRDefault="003A0B78" w:rsidP="003A0B78">
      <w:pPr>
        <w:pStyle w:val="obyctext"/>
        <w:numPr>
          <w:ilvl w:val="0"/>
          <w:numId w:val="20"/>
        </w:numPr>
        <w:tabs>
          <w:tab w:val="left" w:pos="2410"/>
        </w:tabs>
        <w:spacing w:before="60" w:after="0"/>
        <w:ind w:left="567" w:hanging="283"/>
      </w:pPr>
      <w:r w:rsidRPr="002E1BFA">
        <w:t>počet zaměstnanců 6 (motivace).</w:t>
      </w:r>
    </w:p>
    <w:p w:rsidR="003A0B78" w:rsidRPr="002E1BFA" w:rsidRDefault="003A0B78" w:rsidP="003A0B78">
      <w:pPr>
        <w:pStyle w:val="Odstavecseseznamem"/>
        <w:numPr>
          <w:ilvl w:val="0"/>
          <w:numId w:val="14"/>
        </w:numPr>
        <w:tabs>
          <w:tab w:val="left" w:pos="2410"/>
        </w:tabs>
        <w:spacing w:before="240"/>
        <w:ind w:left="284" w:hanging="284"/>
      </w:pPr>
      <w:r w:rsidRPr="002E1BFA">
        <w:t>TP CEF (ÚO MD)</w:t>
      </w:r>
    </w:p>
    <w:p w:rsidR="003A0B78" w:rsidRPr="002E1BFA" w:rsidRDefault="003A0B78" w:rsidP="003A0B78">
      <w:pPr>
        <w:pStyle w:val="obyctext"/>
        <w:numPr>
          <w:ilvl w:val="0"/>
          <w:numId w:val="20"/>
        </w:numPr>
        <w:tabs>
          <w:tab w:val="left" w:pos="2410"/>
        </w:tabs>
        <w:spacing w:before="60" w:after="0"/>
        <w:ind w:left="567" w:hanging="283"/>
      </w:pPr>
      <w:r w:rsidRPr="002E1BFA">
        <w:t>prostředky na platy ve výši 51 tis. Kč ze státního rozpočtu a 2 585 tis. Kč z rozpočtu EU, celkem 2 63</w:t>
      </w:r>
      <w:r w:rsidR="00C95DAE">
        <w:t>6</w:t>
      </w:r>
      <w:r w:rsidRPr="002E1BFA">
        <w:t xml:space="preserve"> tis. Kč;</w:t>
      </w:r>
    </w:p>
    <w:p w:rsidR="003A0B78" w:rsidRPr="002E1BFA" w:rsidRDefault="003A0B78" w:rsidP="003A0B78">
      <w:pPr>
        <w:pStyle w:val="obyctext"/>
        <w:numPr>
          <w:ilvl w:val="0"/>
          <w:numId w:val="20"/>
        </w:numPr>
        <w:tabs>
          <w:tab w:val="left" w:pos="2410"/>
        </w:tabs>
        <w:spacing w:before="60" w:after="0"/>
        <w:ind w:left="567" w:hanging="283"/>
      </w:pPr>
      <w:r w:rsidRPr="002E1BFA">
        <w:t>počet zaměstnanců 3,8 (kmenoví zaměstnanci) a 6 (motivace).</w:t>
      </w:r>
    </w:p>
    <w:p w:rsidR="003A0B78" w:rsidRPr="002E1BFA" w:rsidRDefault="003A0B78" w:rsidP="003A0B78">
      <w:pPr>
        <w:pStyle w:val="Odstavecseseznamem"/>
        <w:numPr>
          <w:ilvl w:val="0"/>
          <w:numId w:val="14"/>
        </w:numPr>
        <w:tabs>
          <w:tab w:val="left" w:pos="2410"/>
        </w:tabs>
        <w:spacing w:before="240"/>
        <w:ind w:left="284" w:hanging="284"/>
      </w:pPr>
      <w:r w:rsidRPr="002E1BFA">
        <w:t>RIS COMEX (SPS)</w:t>
      </w:r>
    </w:p>
    <w:p w:rsidR="003A0B78" w:rsidRPr="002E1BFA" w:rsidRDefault="003A0B78" w:rsidP="003A0B78">
      <w:pPr>
        <w:pStyle w:val="obyctext"/>
        <w:numPr>
          <w:ilvl w:val="0"/>
          <w:numId w:val="20"/>
        </w:numPr>
        <w:tabs>
          <w:tab w:val="left" w:pos="2410"/>
        </w:tabs>
        <w:spacing w:before="60" w:after="0"/>
        <w:ind w:left="567" w:hanging="283"/>
      </w:pPr>
      <w:r w:rsidRPr="002E1BFA">
        <w:t>prostředky na platy ve výši 102 tis. Kč ze státního rozpočtu a 578 tis. Kč z rozpočtu EU, celkem ve výši 680 tis. Kč;</w:t>
      </w:r>
    </w:p>
    <w:p w:rsidR="003A0B78" w:rsidRPr="002E1BFA" w:rsidRDefault="003A0B78" w:rsidP="003A0B78">
      <w:pPr>
        <w:pStyle w:val="obyctext"/>
        <w:numPr>
          <w:ilvl w:val="0"/>
          <w:numId w:val="20"/>
        </w:numPr>
        <w:tabs>
          <w:tab w:val="left" w:pos="2410"/>
        </w:tabs>
        <w:spacing w:before="60" w:after="0"/>
        <w:ind w:left="567" w:hanging="283"/>
      </w:pPr>
      <w:r w:rsidRPr="002E1BFA">
        <w:t>počet zaměstnanců 0,4 (kmenoví zaměstnanci) a 4 (motivace).</w:t>
      </w:r>
    </w:p>
    <w:p w:rsidR="003A0B78" w:rsidRPr="002E1BFA" w:rsidRDefault="003A0B78" w:rsidP="003A0B78">
      <w:pPr>
        <w:spacing w:before="240" w:after="120" w:line="240" w:lineRule="auto"/>
        <w:rPr>
          <w:rFonts w:eastAsia="Times New Roman" w:cs="Times New Roman"/>
          <w:szCs w:val="24"/>
          <w:u w:val="single"/>
          <w:lang w:eastAsia="cs-CZ"/>
        </w:rPr>
      </w:pPr>
      <w:r w:rsidRPr="002E1BFA">
        <w:rPr>
          <w:rFonts w:eastAsia="Times New Roman" w:cs="Times New Roman"/>
          <w:szCs w:val="24"/>
          <w:u w:val="single"/>
          <w:lang w:eastAsia="cs-CZ"/>
        </w:rPr>
        <w:t>Operační program Zaměstnanost (ÚO MD)</w:t>
      </w:r>
    </w:p>
    <w:p w:rsidR="003A0B78" w:rsidRPr="002E1BFA" w:rsidRDefault="003A0B78" w:rsidP="003A0B78">
      <w:pPr>
        <w:pStyle w:val="obyctext"/>
        <w:numPr>
          <w:ilvl w:val="0"/>
          <w:numId w:val="21"/>
        </w:numPr>
        <w:tabs>
          <w:tab w:val="left" w:pos="567"/>
        </w:tabs>
        <w:spacing w:before="60" w:after="0"/>
        <w:ind w:left="567" w:hanging="283"/>
      </w:pPr>
      <w:r w:rsidRPr="002E1BFA">
        <w:t>prostředky na platy nebyly rozpočtovány, budou hrazeny z nároku z nespotřebovaných výdajů předchozích let;</w:t>
      </w:r>
    </w:p>
    <w:p w:rsidR="003A0B78" w:rsidRPr="002E1BFA" w:rsidRDefault="003A0B78" w:rsidP="003A0B78">
      <w:pPr>
        <w:pStyle w:val="obyctext"/>
        <w:numPr>
          <w:ilvl w:val="0"/>
          <w:numId w:val="21"/>
        </w:numPr>
        <w:tabs>
          <w:tab w:val="left" w:pos="567"/>
        </w:tabs>
        <w:spacing w:before="60" w:after="0"/>
        <w:ind w:left="567" w:hanging="283"/>
      </w:pPr>
      <w:r w:rsidRPr="002E1BFA">
        <w:t xml:space="preserve">počet </w:t>
      </w:r>
      <w:r w:rsidR="001004D1" w:rsidRPr="002E1BFA">
        <w:t>zaměstnanců</w:t>
      </w:r>
      <w:r w:rsidRPr="002E1BFA">
        <w:t xml:space="preserve"> 1 (jednorázové navýšení).</w:t>
      </w:r>
    </w:p>
    <w:p w:rsidR="00CF4AED" w:rsidRDefault="003A0B78" w:rsidP="00BE723A">
      <w:pPr>
        <w:pStyle w:val="Styl1"/>
        <w:spacing w:before="240"/>
      </w:pPr>
      <w:r w:rsidRPr="00426C3B">
        <w:t>Podrobné informace k jednotlivým programům EU jsou uvedené v části 3.5 Prostředky fondů Evropské unie.</w:t>
      </w:r>
    </w:p>
    <w:p w:rsidR="007264DA" w:rsidRDefault="007264DA" w:rsidP="00BE723A">
      <w:pPr>
        <w:pStyle w:val="Styl1"/>
        <w:spacing w:before="240"/>
      </w:pPr>
    </w:p>
    <w:p w:rsidR="00CF4AED" w:rsidRDefault="00CF4AED">
      <w:pPr>
        <w:spacing w:after="160"/>
        <w:jc w:val="left"/>
        <w:rPr>
          <w:rFonts w:eastAsia="Times New Roman" w:cs="Times New Roman"/>
          <w:szCs w:val="24"/>
          <w:lang w:eastAsia="cs-CZ"/>
        </w:rPr>
      </w:pPr>
      <w:r>
        <w:br w:type="page"/>
      </w:r>
    </w:p>
    <w:p w:rsidR="00F472F7" w:rsidRPr="001B037B" w:rsidRDefault="00F472F7" w:rsidP="007B2F4B">
      <w:pPr>
        <w:pStyle w:val="Nadpis3"/>
      </w:pPr>
      <w:bookmarkStart w:id="50" w:name="_Toc489274098"/>
      <w:bookmarkStart w:id="51" w:name="_Toc53750569"/>
      <w:r w:rsidRPr="001B037B">
        <w:lastRenderedPageBreak/>
        <w:t>Organizační složky státu</w:t>
      </w:r>
      <w:bookmarkEnd w:id="50"/>
      <w:bookmarkEnd w:id="51"/>
    </w:p>
    <w:bookmarkEnd w:id="49"/>
    <w:p w:rsidR="00BD28A7" w:rsidRPr="001B037B" w:rsidRDefault="00BD28A7" w:rsidP="00CF4AED">
      <w:pPr>
        <w:pStyle w:val="Nadpis9"/>
      </w:pPr>
      <w:r w:rsidRPr="001B037B">
        <w:t>Ústřední orgán MD</w:t>
      </w:r>
    </w:p>
    <w:p w:rsidR="00730183" w:rsidRPr="001B037B" w:rsidRDefault="00730183" w:rsidP="007D2A71">
      <w:pPr>
        <w:pStyle w:val="Styl1"/>
        <w:spacing w:after="120"/>
      </w:pPr>
      <w:r w:rsidRPr="001B037B">
        <w:t xml:space="preserve">Ministerstvo dopravy ČR je ústředním orgánem státní správy.   </w:t>
      </w:r>
    </w:p>
    <w:p w:rsidR="00730183" w:rsidRDefault="00730183" w:rsidP="007D2A71">
      <w:pPr>
        <w:pStyle w:val="Titulek"/>
        <w:keepNext/>
      </w:pPr>
      <w:r w:rsidRPr="001B037B">
        <w:t xml:space="preserve">Tabulka č. </w:t>
      </w:r>
      <w:fldSimple w:instr=" SEQ Tabulka \* ARABIC ">
        <w:r w:rsidR="006076E7">
          <w:rPr>
            <w:noProof/>
          </w:rPr>
          <w:t>9</w:t>
        </w:r>
      </w:fldSimple>
      <w:r w:rsidRPr="001B037B">
        <w:t xml:space="preserve"> Ústřední orgán MD – běžné výdaje (v tis. Kč)</w:t>
      </w:r>
    </w:p>
    <w:tbl>
      <w:tblPr>
        <w:tblStyle w:val="Svtltabulkasmkou1zvraznn11"/>
        <w:tblW w:w="5000" w:type="pct"/>
        <w:jc w:val="righ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44"/>
        <w:gridCol w:w="1417"/>
        <w:gridCol w:w="1276"/>
        <w:gridCol w:w="1207"/>
        <w:gridCol w:w="907"/>
      </w:tblGrid>
      <w:tr w:rsidR="00A52449" w:rsidRPr="003C1676" w:rsidTr="00980C65">
        <w:trPr>
          <w:trHeight w:val="979"/>
          <w:jc w:val="right"/>
        </w:trPr>
        <w:tc>
          <w:tcPr>
            <w:tcW w:w="234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A52449" w:rsidRPr="003C1676" w:rsidRDefault="00A52449" w:rsidP="002242A2">
            <w:pPr>
              <w:jc w:val="center"/>
              <w:rPr>
                <w:b/>
              </w:rPr>
            </w:pPr>
            <w:r w:rsidRPr="003C1676">
              <w:rPr>
                <w:b/>
              </w:rPr>
              <w:t>Ukazatel</w:t>
            </w:r>
          </w:p>
        </w:tc>
        <w:tc>
          <w:tcPr>
            <w:tcW w:w="78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A52449" w:rsidRPr="003C1676" w:rsidRDefault="00A52449" w:rsidP="002242A2">
            <w:pPr>
              <w:jc w:val="center"/>
              <w:rPr>
                <w:b/>
              </w:rPr>
            </w:pPr>
            <w:r w:rsidRPr="003C1676">
              <w:rPr>
                <w:b/>
              </w:rPr>
              <w:t>Skutečnost 2019</w:t>
            </w:r>
          </w:p>
        </w:tc>
        <w:tc>
          <w:tcPr>
            <w:tcW w:w="70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A52449" w:rsidRPr="003C1676" w:rsidRDefault="00A52449" w:rsidP="002242A2">
            <w:pPr>
              <w:jc w:val="center"/>
              <w:rPr>
                <w:b/>
              </w:rPr>
            </w:pPr>
            <w:r w:rsidRPr="003C1676">
              <w:rPr>
                <w:b/>
              </w:rPr>
              <w:t>Schválený</w:t>
            </w:r>
          </w:p>
          <w:p w:rsidR="00A52449" w:rsidRPr="003C1676" w:rsidRDefault="00A52449" w:rsidP="002242A2">
            <w:pPr>
              <w:jc w:val="center"/>
              <w:rPr>
                <w:b/>
              </w:rPr>
            </w:pPr>
            <w:r w:rsidRPr="003C1676">
              <w:rPr>
                <w:b/>
              </w:rPr>
              <w:t>rozpočet</w:t>
            </w:r>
          </w:p>
          <w:p w:rsidR="00A52449" w:rsidRPr="003C1676" w:rsidRDefault="00A52449" w:rsidP="002242A2">
            <w:pPr>
              <w:ind w:left="-70"/>
              <w:jc w:val="center"/>
              <w:rPr>
                <w:b/>
              </w:rPr>
            </w:pPr>
            <w:r w:rsidRPr="003C1676">
              <w:rPr>
                <w:b/>
              </w:rPr>
              <w:t>2020</w:t>
            </w:r>
          </w:p>
        </w:tc>
        <w:tc>
          <w:tcPr>
            <w:tcW w:w="66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A52449" w:rsidRPr="003C1676" w:rsidRDefault="00A52449" w:rsidP="002242A2">
            <w:pPr>
              <w:jc w:val="center"/>
              <w:rPr>
                <w:b/>
              </w:rPr>
            </w:pPr>
            <w:r w:rsidRPr="003C1676">
              <w:rPr>
                <w:b/>
              </w:rPr>
              <w:t>Návrh</w:t>
            </w:r>
          </w:p>
          <w:p w:rsidR="00A52449" w:rsidRPr="003C1676" w:rsidRDefault="00A52449" w:rsidP="002242A2">
            <w:pPr>
              <w:jc w:val="center"/>
              <w:rPr>
                <w:b/>
              </w:rPr>
            </w:pPr>
            <w:r w:rsidRPr="003C1676">
              <w:rPr>
                <w:b/>
              </w:rPr>
              <w:t>rozpočtu</w:t>
            </w:r>
          </w:p>
          <w:p w:rsidR="00A52449" w:rsidRPr="003C1676" w:rsidRDefault="00A52449" w:rsidP="002242A2">
            <w:pPr>
              <w:jc w:val="center"/>
              <w:rPr>
                <w:b/>
              </w:rPr>
            </w:pPr>
            <w:r w:rsidRPr="003C1676">
              <w:rPr>
                <w:b/>
              </w:rPr>
              <w:t>2021</w:t>
            </w:r>
          </w:p>
        </w:tc>
        <w:tc>
          <w:tcPr>
            <w:tcW w:w="5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A52449" w:rsidRPr="003C1676" w:rsidRDefault="00A52449" w:rsidP="002242A2">
            <w:pPr>
              <w:jc w:val="center"/>
              <w:rPr>
                <w:b/>
              </w:rPr>
            </w:pPr>
            <w:r w:rsidRPr="003C1676">
              <w:rPr>
                <w:b/>
              </w:rPr>
              <w:t>Index</w:t>
            </w:r>
          </w:p>
          <w:p w:rsidR="00A52449" w:rsidRPr="003C1676" w:rsidRDefault="00A52449" w:rsidP="002242A2">
            <w:pPr>
              <w:jc w:val="center"/>
              <w:rPr>
                <w:b/>
              </w:rPr>
            </w:pPr>
            <w:r>
              <w:rPr>
                <w:b/>
              </w:rPr>
              <w:t>2021/</w:t>
            </w:r>
            <w:r>
              <w:rPr>
                <w:b/>
              </w:rPr>
              <w:br/>
              <w:t>202</w:t>
            </w:r>
            <w:r w:rsidRPr="003C1676">
              <w:rPr>
                <w:b/>
              </w:rPr>
              <w:t>0</w:t>
            </w:r>
          </w:p>
          <w:p w:rsidR="00A52449" w:rsidRPr="003C1676" w:rsidRDefault="00A52449" w:rsidP="002242A2">
            <w:pPr>
              <w:jc w:val="center"/>
              <w:rPr>
                <w:b/>
              </w:rPr>
            </w:pPr>
            <w:r w:rsidRPr="003C1676">
              <w:rPr>
                <w:b/>
              </w:rPr>
              <w:t>(v %)</w:t>
            </w:r>
          </w:p>
        </w:tc>
      </w:tr>
      <w:tr w:rsidR="00A52449" w:rsidRPr="003C1676" w:rsidTr="002242A2">
        <w:trPr>
          <w:trHeight w:val="243"/>
          <w:jc w:val="right"/>
        </w:trPr>
        <w:tc>
          <w:tcPr>
            <w:tcW w:w="2344" w:type="pct"/>
            <w:tcBorders>
              <w:top w:val="single" w:sz="4" w:space="0" w:color="7F7F7F" w:themeColor="text1" w:themeTint="80"/>
              <w:bottom w:val="single" w:sz="8" w:space="0" w:color="7F7F7F" w:themeColor="text1" w:themeTint="80"/>
            </w:tcBorders>
            <w:shd w:val="clear" w:color="auto" w:fill="auto"/>
          </w:tcPr>
          <w:p w:rsidR="00A52449" w:rsidRPr="003C1676" w:rsidRDefault="00A52449" w:rsidP="002242A2">
            <w:pPr>
              <w:jc w:val="center"/>
            </w:pPr>
            <w:r w:rsidRPr="003C1676">
              <w:t>a</w:t>
            </w:r>
          </w:p>
        </w:tc>
        <w:tc>
          <w:tcPr>
            <w:tcW w:w="783" w:type="pct"/>
            <w:tcBorders>
              <w:top w:val="single" w:sz="4" w:space="0" w:color="7F7F7F" w:themeColor="text1" w:themeTint="80"/>
              <w:bottom w:val="single" w:sz="8" w:space="0" w:color="7F7F7F" w:themeColor="text1" w:themeTint="80"/>
            </w:tcBorders>
            <w:shd w:val="clear" w:color="auto" w:fill="auto"/>
          </w:tcPr>
          <w:p w:rsidR="00A52449" w:rsidRPr="003C1676" w:rsidRDefault="00A52449" w:rsidP="002242A2">
            <w:pPr>
              <w:jc w:val="center"/>
            </w:pPr>
            <w:r w:rsidRPr="003C1676">
              <w:t>1</w:t>
            </w:r>
          </w:p>
        </w:tc>
        <w:tc>
          <w:tcPr>
            <w:tcW w:w="705" w:type="pct"/>
            <w:tcBorders>
              <w:top w:val="single" w:sz="4" w:space="0" w:color="7F7F7F" w:themeColor="text1" w:themeTint="80"/>
              <w:bottom w:val="single" w:sz="8" w:space="0" w:color="7F7F7F" w:themeColor="text1" w:themeTint="80"/>
            </w:tcBorders>
            <w:shd w:val="clear" w:color="auto" w:fill="auto"/>
          </w:tcPr>
          <w:p w:rsidR="00A52449" w:rsidRPr="003C1676" w:rsidRDefault="00A52449" w:rsidP="002242A2">
            <w:pPr>
              <w:jc w:val="center"/>
            </w:pPr>
            <w:r w:rsidRPr="003C1676">
              <w:t>2</w:t>
            </w:r>
          </w:p>
        </w:tc>
        <w:tc>
          <w:tcPr>
            <w:tcW w:w="667" w:type="pct"/>
            <w:tcBorders>
              <w:top w:val="single" w:sz="4" w:space="0" w:color="7F7F7F" w:themeColor="text1" w:themeTint="80"/>
              <w:bottom w:val="single" w:sz="8" w:space="0" w:color="7F7F7F" w:themeColor="text1" w:themeTint="80"/>
            </w:tcBorders>
            <w:shd w:val="clear" w:color="auto" w:fill="auto"/>
          </w:tcPr>
          <w:p w:rsidR="00A52449" w:rsidRPr="003C1676" w:rsidRDefault="00A52449" w:rsidP="002242A2">
            <w:pPr>
              <w:jc w:val="center"/>
            </w:pPr>
            <w:r w:rsidRPr="003C1676">
              <w:t>3</w:t>
            </w:r>
          </w:p>
        </w:tc>
        <w:tc>
          <w:tcPr>
            <w:tcW w:w="502" w:type="pct"/>
            <w:tcBorders>
              <w:top w:val="single" w:sz="4" w:space="0" w:color="7F7F7F" w:themeColor="text1" w:themeTint="80"/>
              <w:bottom w:val="single" w:sz="8" w:space="0" w:color="7F7F7F" w:themeColor="text1" w:themeTint="80"/>
            </w:tcBorders>
            <w:shd w:val="clear" w:color="auto" w:fill="auto"/>
          </w:tcPr>
          <w:p w:rsidR="00A52449" w:rsidRPr="003C1676" w:rsidRDefault="00A52449" w:rsidP="002242A2">
            <w:pPr>
              <w:jc w:val="center"/>
            </w:pPr>
            <w:r w:rsidRPr="003C1676">
              <w:t>4</w:t>
            </w:r>
          </w:p>
        </w:tc>
      </w:tr>
      <w:tr w:rsidR="00A52449" w:rsidRPr="003C1676" w:rsidTr="002242A2">
        <w:trPr>
          <w:trHeight w:val="367"/>
          <w:jc w:val="right"/>
        </w:trPr>
        <w:tc>
          <w:tcPr>
            <w:tcW w:w="2344" w:type="pct"/>
            <w:tcBorders>
              <w:top w:val="single" w:sz="8" w:space="0" w:color="7F7F7F" w:themeColor="text1" w:themeTint="80"/>
              <w:bottom w:val="single" w:sz="8" w:space="0" w:color="7F7F7F" w:themeColor="text1" w:themeTint="80"/>
            </w:tcBorders>
            <w:shd w:val="clear" w:color="auto" w:fill="auto"/>
          </w:tcPr>
          <w:p w:rsidR="00A52449" w:rsidRPr="00A52449" w:rsidRDefault="00A52449" w:rsidP="002242A2">
            <w:pPr>
              <w:spacing w:before="80"/>
            </w:pPr>
            <w:r w:rsidRPr="00A52449">
              <w:rPr>
                <w:b/>
                <w:iCs/>
              </w:rPr>
              <w:t xml:space="preserve">Běžné výdaje (bez položky 5193) </w:t>
            </w:r>
            <w:r w:rsidRPr="00A52449">
              <w:t xml:space="preserve">v tom: </w:t>
            </w:r>
          </w:p>
        </w:tc>
        <w:tc>
          <w:tcPr>
            <w:tcW w:w="783" w:type="pct"/>
            <w:tcBorders>
              <w:top w:val="single" w:sz="8" w:space="0" w:color="7F7F7F" w:themeColor="text1" w:themeTint="80"/>
              <w:bottom w:val="single" w:sz="8" w:space="0" w:color="7F7F7F" w:themeColor="text1" w:themeTint="80"/>
            </w:tcBorders>
            <w:shd w:val="clear" w:color="auto" w:fill="auto"/>
          </w:tcPr>
          <w:p w:rsidR="00A52449" w:rsidRPr="00A52449" w:rsidRDefault="00A52449" w:rsidP="002242A2">
            <w:pPr>
              <w:spacing w:before="80"/>
              <w:jc w:val="right"/>
              <w:rPr>
                <w:b/>
              </w:rPr>
            </w:pPr>
            <w:r w:rsidRPr="00A52449">
              <w:rPr>
                <w:b/>
              </w:rPr>
              <w:t>6 778 437</w:t>
            </w:r>
          </w:p>
        </w:tc>
        <w:tc>
          <w:tcPr>
            <w:tcW w:w="705" w:type="pct"/>
            <w:tcBorders>
              <w:top w:val="single" w:sz="8" w:space="0" w:color="7F7F7F" w:themeColor="text1" w:themeTint="80"/>
              <w:bottom w:val="single" w:sz="8" w:space="0" w:color="7F7F7F" w:themeColor="text1" w:themeTint="80"/>
            </w:tcBorders>
            <w:shd w:val="clear" w:color="auto" w:fill="auto"/>
          </w:tcPr>
          <w:p w:rsidR="00A52449" w:rsidRPr="00A52449" w:rsidRDefault="00A52449" w:rsidP="002242A2">
            <w:pPr>
              <w:spacing w:before="80"/>
              <w:jc w:val="right"/>
              <w:rPr>
                <w:b/>
              </w:rPr>
            </w:pPr>
            <w:r w:rsidRPr="00A52449">
              <w:rPr>
                <w:b/>
              </w:rPr>
              <w:t>5 206 856</w:t>
            </w:r>
          </w:p>
        </w:tc>
        <w:tc>
          <w:tcPr>
            <w:tcW w:w="667" w:type="pct"/>
            <w:tcBorders>
              <w:top w:val="single" w:sz="8" w:space="0" w:color="7F7F7F" w:themeColor="text1" w:themeTint="80"/>
              <w:bottom w:val="single" w:sz="8" w:space="0" w:color="7F7F7F" w:themeColor="text1" w:themeTint="80"/>
            </w:tcBorders>
            <w:shd w:val="clear" w:color="auto" w:fill="auto"/>
          </w:tcPr>
          <w:p w:rsidR="00A52449" w:rsidRPr="00A52449" w:rsidRDefault="00A52449" w:rsidP="002242A2">
            <w:pPr>
              <w:spacing w:before="80"/>
              <w:jc w:val="right"/>
              <w:rPr>
                <w:b/>
              </w:rPr>
            </w:pPr>
            <w:r w:rsidRPr="00A52449">
              <w:rPr>
                <w:b/>
              </w:rPr>
              <w:t>7 197 326</w:t>
            </w:r>
          </w:p>
        </w:tc>
        <w:tc>
          <w:tcPr>
            <w:tcW w:w="502" w:type="pct"/>
            <w:tcBorders>
              <w:top w:val="single" w:sz="8" w:space="0" w:color="7F7F7F" w:themeColor="text1" w:themeTint="80"/>
              <w:bottom w:val="single" w:sz="8" w:space="0" w:color="7F7F7F" w:themeColor="text1" w:themeTint="80"/>
            </w:tcBorders>
            <w:shd w:val="clear" w:color="auto" w:fill="auto"/>
          </w:tcPr>
          <w:p w:rsidR="00A52449" w:rsidRPr="00A52449" w:rsidRDefault="00A52449" w:rsidP="002242A2">
            <w:pPr>
              <w:spacing w:before="80"/>
              <w:jc w:val="right"/>
              <w:rPr>
                <w:b/>
              </w:rPr>
            </w:pPr>
            <w:r w:rsidRPr="00A52449">
              <w:rPr>
                <w:b/>
              </w:rPr>
              <w:t>138,23</w:t>
            </w:r>
          </w:p>
        </w:tc>
      </w:tr>
      <w:tr w:rsidR="00A52449" w:rsidRPr="003C1676" w:rsidTr="002242A2">
        <w:trPr>
          <w:trHeight w:val="3244"/>
          <w:jc w:val="right"/>
        </w:trPr>
        <w:tc>
          <w:tcPr>
            <w:tcW w:w="2344" w:type="pct"/>
            <w:tcBorders>
              <w:top w:val="single" w:sz="8" w:space="0" w:color="7F7F7F" w:themeColor="text1" w:themeTint="80"/>
            </w:tcBorders>
            <w:shd w:val="clear" w:color="auto" w:fill="auto"/>
          </w:tcPr>
          <w:p w:rsidR="00A52449" w:rsidRPr="00A52449" w:rsidRDefault="00A52449" w:rsidP="002242A2">
            <w:pPr>
              <w:rPr>
                <w:sz w:val="20"/>
              </w:rPr>
            </w:pPr>
            <w:r w:rsidRPr="00A52449">
              <w:rPr>
                <w:sz w:val="20"/>
              </w:rPr>
              <w:t>platy zaměstnanců a ostatní platby</w:t>
            </w:r>
          </w:p>
          <w:p w:rsidR="00A52449" w:rsidRPr="00A52449" w:rsidRDefault="00A52449" w:rsidP="002242A2">
            <w:pPr>
              <w:rPr>
                <w:sz w:val="20"/>
              </w:rPr>
            </w:pPr>
            <w:r w:rsidRPr="00A52449">
              <w:rPr>
                <w:sz w:val="20"/>
              </w:rPr>
              <w:t>za provedenou práci</w:t>
            </w:r>
          </w:p>
          <w:p w:rsidR="00A52449" w:rsidRPr="00A52449" w:rsidRDefault="00A52449" w:rsidP="002242A2">
            <w:pPr>
              <w:rPr>
                <w:i/>
                <w:sz w:val="20"/>
              </w:rPr>
            </w:pPr>
            <w:r w:rsidRPr="00A52449">
              <w:rPr>
                <w:i/>
                <w:sz w:val="20"/>
              </w:rPr>
              <w:t xml:space="preserve">z toho: výdaje na programy spolufinancované         </w:t>
            </w:r>
          </w:p>
          <w:p w:rsidR="00A52449" w:rsidRPr="00A52449" w:rsidRDefault="00A52449" w:rsidP="002242A2">
            <w:pPr>
              <w:rPr>
                <w:i/>
                <w:sz w:val="20"/>
              </w:rPr>
            </w:pPr>
            <w:r w:rsidRPr="00A52449">
              <w:rPr>
                <w:i/>
                <w:sz w:val="20"/>
              </w:rPr>
              <w:t xml:space="preserve">            z rozpočtu EU v tom:</w:t>
            </w:r>
          </w:p>
          <w:p w:rsidR="00A52449" w:rsidRPr="00A52449" w:rsidRDefault="00A52449" w:rsidP="002242A2">
            <w:pPr>
              <w:rPr>
                <w:i/>
                <w:sz w:val="20"/>
              </w:rPr>
            </w:pPr>
            <w:r w:rsidRPr="00A52449">
              <w:rPr>
                <w:i/>
                <w:sz w:val="20"/>
              </w:rPr>
              <w:t xml:space="preserve">                       OP Zaměstnanost</w:t>
            </w:r>
          </w:p>
          <w:p w:rsidR="00A52449" w:rsidRPr="00A52449" w:rsidRDefault="00A52449" w:rsidP="002242A2">
            <w:pPr>
              <w:rPr>
                <w:i/>
                <w:sz w:val="20"/>
              </w:rPr>
            </w:pPr>
            <w:r w:rsidRPr="00A52449">
              <w:rPr>
                <w:i/>
                <w:sz w:val="20"/>
              </w:rPr>
              <w:t xml:space="preserve">                                            v tom: ze SR</w:t>
            </w:r>
          </w:p>
          <w:p w:rsidR="00A52449" w:rsidRPr="00A52449" w:rsidRDefault="00A52449" w:rsidP="002242A2">
            <w:pPr>
              <w:rPr>
                <w:i/>
                <w:sz w:val="20"/>
              </w:rPr>
            </w:pPr>
            <w:r w:rsidRPr="00A52449">
              <w:rPr>
                <w:i/>
                <w:sz w:val="20"/>
              </w:rPr>
              <w:t xml:space="preserve">                                                       z rozpočtu EU  </w:t>
            </w:r>
          </w:p>
          <w:p w:rsidR="00A52449" w:rsidRPr="00A52449" w:rsidRDefault="00A52449" w:rsidP="002242A2">
            <w:pPr>
              <w:rPr>
                <w:i/>
                <w:sz w:val="20"/>
              </w:rPr>
            </w:pPr>
            <w:r w:rsidRPr="00A52449">
              <w:rPr>
                <w:i/>
                <w:sz w:val="20"/>
              </w:rPr>
              <w:t xml:space="preserve">                       OP Doprava 2014-2020</w:t>
            </w:r>
          </w:p>
          <w:p w:rsidR="00A52449" w:rsidRPr="00A52449" w:rsidRDefault="00A52449" w:rsidP="002242A2">
            <w:pPr>
              <w:rPr>
                <w:i/>
                <w:sz w:val="20"/>
              </w:rPr>
            </w:pPr>
            <w:r w:rsidRPr="00A52449">
              <w:rPr>
                <w:i/>
                <w:sz w:val="20"/>
              </w:rPr>
              <w:t xml:space="preserve">                                            v tom: ze SR</w:t>
            </w:r>
          </w:p>
          <w:p w:rsidR="00A52449" w:rsidRPr="00A52449" w:rsidRDefault="00A52449" w:rsidP="002242A2">
            <w:pPr>
              <w:rPr>
                <w:i/>
                <w:sz w:val="20"/>
              </w:rPr>
            </w:pPr>
            <w:r w:rsidRPr="00A52449">
              <w:rPr>
                <w:i/>
                <w:sz w:val="20"/>
              </w:rPr>
              <w:t xml:space="preserve">                                                       z rozpočtu EU</w:t>
            </w:r>
          </w:p>
          <w:p w:rsidR="00A52449" w:rsidRPr="00A52449" w:rsidRDefault="00A52449" w:rsidP="002242A2">
            <w:pPr>
              <w:tabs>
                <w:tab w:val="left" w:pos="1295"/>
              </w:tabs>
              <w:rPr>
                <w:i/>
                <w:sz w:val="20"/>
              </w:rPr>
            </w:pPr>
            <w:r w:rsidRPr="00A52449">
              <w:rPr>
                <w:i/>
                <w:sz w:val="20"/>
              </w:rPr>
              <w:t xml:space="preserve">                      Komunitární programy 2014-2020</w:t>
            </w:r>
          </w:p>
          <w:p w:rsidR="00A52449" w:rsidRPr="00A52449" w:rsidRDefault="00A52449" w:rsidP="002242A2">
            <w:pPr>
              <w:rPr>
                <w:i/>
                <w:sz w:val="20"/>
              </w:rPr>
            </w:pPr>
            <w:r w:rsidRPr="00A52449">
              <w:rPr>
                <w:i/>
                <w:sz w:val="20"/>
              </w:rPr>
              <w:t xml:space="preserve">                     (CEF)</w:t>
            </w:r>
          </w:p>
          <w:p w:rsidR="00A52449" w:rsidRPr="00A52449" w:rsidRDefault="00A52449" w:rsidP="002242A2">
            <w:pPr>
              <w:rPr>
                <w:i/>
                <w:sz w:val="20"/>
              </w:rPr>
            </w:pPr>
            <w:r w:rsidRPr="00A52449">
              <w:rPr>
                <w:i/>
                <w:sz w:val="20"/>
              </w:rPr>
              <w:t xml:space="preserve">                                             v tom: ze SR</w:t>
            </w:r>
          </w:p>
          <w:p w:rsidR="00A52449" w:rsidRPr="00A52449" w:rsidRDefault="00A52449" w:rsidP="002242A2">
            <w:pPr>
              <w:rPr>
                <w:i/>
                <w:sz w:val="20"/>
              </w:rPr>
            </w:pPr>
            <w:r w:rsidRPr="00A52449">
              <w:rPr>
                <w:i/>
                <w:sz w:val="20"/>
              </w:rPr>
              <w:t xml:space="preserve">                                                        z rozpočtu EU</w:t>
            </w:r>
          </w:p>
        </w:tc>
        <w:tc>
          <w:tcPr>
            <w:tcW w:w="783" w:type="pct"/>
            <w:tcBorders>
              <w:top w:val="single" w:sz="8" w:space="0" w:color="7F7F7F" w:themeColor="text1" w:themeTint="80"/>
            </w:tcBorders>
            <w:shd w:val="clear" w:color="auto" w:fill="auto"/>
            <w:vAlign w:val="bottom"/>
          </w:tcPr>
          <w:p w:rsidR="00A52449" w:rsidRPr="00A52449" w:rsidRDefault="00A52449" w:rsidP="002242A2">
            <w:pPr>
              <w:jc w:val="right"/>
              <w:rPr>
                <w:sz w:val="20"/>
                <w:szCs w:val="20"/>
              </w:rPr>
            </w:pPr>
            <w:r w:rsidRPr="00A52449">
              <w:rPr>
                <w:sz w:val="20"/>
                <w:szCs w:val="20"/>
              </w:rPr>
              <w:t>314 642</w:t>
            </w:r>
          </w:p>
          <w:p w:rsidR="00A52449" w:rsidRPr="00A52449" w:rsidRDefault="00A52449" w:rsidP="002242A2">
            <w:pPr>
              <w:jc w:val="right"/>
              <w:rPr>
                <w:i/>
                <w:sz w:val="20"/>
                <w:szCs w:val="20"/>
              </w:rPr>
            </w:pPr>
          </w:p>
          <w:p w:rsidR="00A52449" w:rsidRPr="00A52449" w:rsidRDefault="00A52449" w:rsidP="002242A2">
            <w:pPr>
              <w:jc w:val="right"/>
              <w:rPr>
                <w:i/>
                <w:sz w:val="20"/>
                <w:szCs w:val="20"/>
              </w:rPr>
            </w:pPr>
            <w:r w:rsidRPr="00A52449">
              <w:rPr>
                <w:i/>
                <w:sz w:val="20"/>
                <w:szCs w:val="20"/>
              </w:rPr>
              <w:t>68 841</w:t>
            </w:r>
          </w:p>
          <w:p w:rsidR="00A52449" w:rsidRPr="00A52449" w:rsidRDefault="00A52449" w:rsidP="002242A2">
            <w:pPr>
              <w:jc w:val="right"/>
              <w:rPr>
                <w:i/>
                <w:sz w:val="20"/>
                <w:szCs w:val="20"/>
              </w:rPr>
            </w:pPr>
            <w:r w:rsidRPr="00A52449">
              <w:rPr>
                <w:i/>
                <w:sz w:val="20"/>
                <w:szCs w:val="20"/>
              </w:rPr>
              <w:t>608</w:t>
            </w:r>
          </w:p>
          <w:p w:rsidR="00A52449" w:rsidRPr="00A52449" w:rsidRDefault="00A52449" w:rsidP="002242A2">
            <w:pPr>
              <w:jc w:val="right"/>
              <w:rPr>
                <w:i/>
                <w:sz w:val="20"/>
                <w:szCs w:val="20"/>
              </w:rPr>
            </w:pPr>
            <w:r w:rsidRPr="00A52449">
              <w:rPr>
                <w:i/>
                <w:sz w:val="20"/>
                <w:szCs w:val="20"/>
              </w:rPr>
              <w:t>304</w:t>
            </w:r>
          </w:p>
          <w:p w:rsidR="00A52449" w:rsidRPr="00A52449" w:rsidRDefault="00A52449" w:rsidP="002242A2">
            <w:pPr>
              <w:jc w:val="right"/>
              <w:rPr>
                <w:sz w:val="20"/>
                <w:szCs w:val="20"/>
              </w:rPr>
            </w:pPr>
            <w:r w:rsidRPr="00A52449">
              <w:rPr>
                <w:i/>
                <w:sz w:val="20"/>
                <w:szCs w:val="20"/>
              </w:rPr>
              <w:t>304</w:t>
            </w:r>
          </w:p>
          <w:p w:rsidR="00A52449" w:rsidRPr="00A52449" w:rsidRDefault="00A52449" w:rsidP="002242A2">
            <w:pPr>
              <w:jc w:val="right"/>
              <w:rPr>
                <w:i/>
                <w:sz w:val="20"/>
                <w:szCs w:val="20"/>
              </w:rPr>
            </w:pPr>
            <w:r w:rsidRPr="00A52449">
              <w:rPr>
                <w:i/>
                <w:sz w:val="20"/>
                <w:szCs w:val="20"/>
              </w:rPr>
              <w:t>63 526</w:t>
            </w:r>
          </w:p>
          <w:p w:rsidR="00A52449" w:rsidRPr="00A52449" w:rsidRDefault="00A52449" w:rsidP="002242A2">
            <w:pPr>
              <w:jc w:val="right"/>
              <w:rPr>
                <w:i/>
                <w:sz w:val="20"/>
                <w:szCs w:val="20"/>
              </w:rPr>
            </w:pPr>
            <w:r w:rsidRPr="00A52449">
              <w:rPr>
                <w:i/>
                <w:sz w:val="20"/>
                <w:szCs w:val="20"/>
              </w:rPr>
              <w:t>9 529</w:t>
            </w:r>
          </w:p>
          <w:p w:rsidR="00A52449" w:rsidRPr="00A52449" w:rsidRDefault="00A52449" w:rsidP="002242A2">
            <w:pPr>
              <w:jc w:val="right"/>
              <w:rPr>
                <w:i/>
                <w:sz w:val="20"/>
                <w:szCs w:val="20"/>
              </w:rPr>
            </w:pPr>
            <w:r w:rsidRPr="00A52449">
              <w:rPr>
                <w:i/>
                <w:sz w:val="20"/>
                <w:szCs w:val="20"/>
              </w:rPr>
              <w:t xml:space="preserve">     </w:t>
            </w:r>
            <w:r w:rsidRPr="00A52449">
              <w:rPr>
                <w:sz w:val="20"/>
                <w:szCs w:val="20"/>
              </w:rPr>
              <w:t>53 997</w:t>
            </w:r>
          </w:p>
          <w:p w:rsidR="00A52449" w:rsidRPr="00A52449" w:rsidRDefault="00A52449" w:rsidP="002242A2">
            <w:pPr>
              <w:jc w:val="right"/>
              <w:rPr>
                <w:i/>
                <w:sz w:val="20"/>
                <w:szCs w:val="20"/>
              </w:rPr>
            </w:pPr>
          </w:p>
          <w:p w:rsidR="00A52449" w:rsidRPr="00A52449" w:rsidRDefault="00A52449" w:rsidP="002242A2">
            <w:pPr>
              <w:jc w:val="right"/>
              <w:rPr>
                <w:i/>
                <w:sz w:val="20"/>
                <w:szCs w:val="20"/>
              </w:rPr>
            </w:pPr>
            <w:r w:rsidRPr="00A52449">
              <w:rPr>
                <w:i/>
                <w:sz w:val="20"/>
                <w:szCs w:val="20"/>
              </w:rPr>
              <w:t xml:space="preserve">           4 708</w:t>
            </w:r>
          </w:p>
          <w:p w:rsidR="00A52449" w:rsidRPr="00A52449" w:rsidRDefault="00A52449" w:rsidP="002242A2">
            <w:pPr>
              <w:jc w:val="right"/>
              <w:rPr>
                <w:i/>
                <w:sz w:val="20"/>
                <w:szCs w:val="20"/>
              </w:rPr>
            </w:pPr>
            <w:r w:rsidRPr="00A52449">
              <w:rPr>
                <w:i/>
                <w:sz w:val="20"/>
                <w:szCs w:val="20"/>
              </w:rPr>
              <w:t>844</w:t>
            </w:r>
          </w:p>
          <w:p w:rsidR="00A52449" w:rsidRPr="00A52449" w:rsidRDefault="00A52449" w:rsidP="002242A2">
            <w:pPr>
              <w:jc w:val="right"/>
              <w:rPr>
                <w:i/>
                <w:sz w:val="20"/>
                <w:szCs w:val="20"/>
              </w:rPr>
            </w:pPr>
            <w:r w:rsidRPr="00A52449">
              <w:rPr>
                <w:i/>
                <w:sz w:val="20"/>
                <w:szCs w:val="20"/>
              </w:rPr>
              <w:t xml:space="preserve">3 864         </w:t>
            </w:r>
          </w:p>
        </w:tc>
        <w:tc>
          <w:tcPr>
            <w:tcW w:w="705" w:type="pct"/>
            <w:tcBorders>
              <w:top w:val="single" w:sz="8" w:space="0" w:color="7F7F7F" w:themeColor="text1" w:themeTint="80"/>
            </w:tcBorders>
            <w:shd w:val="clear" w:color="auto" w:fill="auto"/>
            <w:vAlign w:val="bottom"/>
          </w:tcPr>
          <w:p w:rsidR="00A52449" w:rsidRPr="00A52449" w:rsidRDefault="00A52449" w:rsidP="002242A2">
            <w:pPr>
              <w:jc w:val="right"/>
              <w:rPr>
                <w:sz w:val="20"/>
              </w:rPr>
            </w:pPr>
            <w:r w:rsidRPr="00A52449">
              <w:rPr>
                <w:sz w:val="20"/>
              </w:rPr>
              <w:t>303 487</w:t>
            </w:r>
          </w:p>
          <w:p w:rsidR="00A52449" w:rsidRPr="00A52449" w:rsidRDefault="00A52449" w:rsidP="002242A2">
            <w:pPr>
              <w:jc w:val="right"/>
              <w:rPr>
                <w:i/>
                <w:sz w:val="20"/>
              </w:rPr>
            </w:pPr>
          </w:p>
          <w:p w:rsidR="00A52449" w:rsidRPr="00A52449" w:rsidRDefault="00A52449" w:rsidP="002242A2">
            <w:pPr>
              <w:jc w:val="right"/>
              <w:rPr>
                <w:i/>
                <w:sz w:val="20"/>
              </w:rPr>
            </w:pPr>
            <w:r w:rsidRPr="00A52449">
              <w:rPr>
                <w:i/>
                <w:sz w:val="20"/>
              </w:rPr>
              <w:t>55 503</w:t>
            </w:r>
          </w:p>
          <w:p w:rsidR="00A52449" w:rsidRPr="00A52449" w:rsidRDefault="00A52449" w:rsidP="002242A2">
            <w:pPr>
              <w:jc w:val="right"/>
              <w:rPr>
                <w:i/>
                <w:sz w:val="20"/>
              </w:rPr>
            </w:pPr>
            <w:r w:rsidRPr="00A52449">
              <w:rPr>
                <w:i/>
                <w:sz w:val="20"/>
              </w:rPr>
              <w:t>752</w:t>
            </w:r>
          </w:p>
          <w:p w:rsidR="00A52449" w:rsidRPr="00A52449" w:rsidRDefault="00A52449" w:rsidP="002242A2">
            <w:pPr>
              <w:jc w:val="right"/>
              <w:rPr>
                <w:i/>
                <w:sz w:val="20"/>
              </w:rPr>
            </w:pPr>
            <w:r w:rsidRPr="00A52449">
              <w:rPr>
                <w:i/>
                <w:sz w:val="20"/>
              </w:rPr>
              <w:t>376</w:t>
            </w:r>
          </w:p>
          <w:p w:rsidR="00A52449" w:rsidRPr="00A52449" w:rsidRDefault="00A52449" w:rsidP="002242A2">
            <w:pPr>
              <w:jc w:val="right"/>
              <w:rPr>
                <w:i/>
                <w:sz w:val="20"/>
              </w:rPr>
            </w:pPr>
            <w:r w:rsidRPr="00A52449">
              <w:rPr>
                <w:i/>
                <w:sz w:val="20"/>
              </w:rPr>
              <w:t>376</w:t>
            </w:r>
          </w:p>
          <w:p w:rsidR="00A52449" w:rsidRPr="00A52449" w:rsidRDefault="00A52449" w:rsidP="002242A2">
            <w:pPr>
              <w:jc w:val="right"/>
              <w:rPr>
                <w:i/>
                <w:sz w:val="20"/>
              </w:rPr>
            </w:pPr>
            <w:r w:rsidRPr="00A52449">
              <w:rPr>
                <w:i/>
                <w:sz w:val="20"/>
              </w:rPr>
              <w:t>51 631</w:t>
            </w:r>
          </w:p>
          <w:p w:rsidR="00A52449" w:rsidRPr="00A52449" w:rsidRDefault="00A52449" w:rsidP="002242A2">
            <w:pPr>
              <w:jc w:val="right"/>
              <w:rPr>
                <w:i/>
                <w:sz w:val="20"/>
              </w:rPr>
            </w:pPr>
            <w:r w:rsidRPr="00A52449">
              <w:rPr>
                <w:i/>
                <w:sz w:val="20"/>
              </w:rPr>
              <w:t xml:space="preserve">7 919     </w:t>
            </w:r>
          </w:p>
          <w:p w:rsidR="00A52449" w:rsidRPr="00A52449" w:rsidRDefault="00A52449" w:rsidP="002242A2">
            <w:pPr>
              <w:jc w:val="right"/>
              <w:rPr>
                <w:i/>
                <w:sz w:val="20"/>
              </w:rPr>
            </w:pPr>
            <w:r w:rsidRPr="00A52449">
              <w:rPr>
                <w:i/>
                <w:sz w:val="20"/>
              </w:rPr>
              <w:t>43 712</w:t>
            </w:r>
          </w:p>
          <w:p w:rsidR="00A52449" w:rsidRPr="00A52449" w:rsidRDefault="00A52449" w:rsidP="002242A2">
            <w:pPr>
              <w:jc w:val="right"/>
              <w:rPr>
                <w:i/>
                <w:sz w:val="20"/>
              </w:rPr>
            </w:pPr>
          </w:p>
          <w:p w:rsidR="00A52449" w:rsidRPr="00A52449" w:rsidRDefault="00A52449" w:rsidP="002242A2">
            <w:pPr>
              <w:jc w:val="right"/>
              <w:rPr>
                <w:i/>
                <w:sz w:val="20"/>
              </w:rPr>
            </w:pPr>
            <w:r w:rsidRPr="00A52449">
              <w:rPr>
                <w:i/>
                <w:sz w:val="20"/>
              </w:rPr>
              <w:t>3 120</w:t>
            </w:r>
          </w:p>
          <w:p w:rsidR="00A52449" w:rsidRPr="00A52449" w:rsidRDefault="00A52449" w:rsidP="002242A2">
            <w:pPr>
              <w:jc w:val="right"/>
              <w:rPr>
                <w:i/>
                <w:sz w:val="20"/>
              </w:rPr>
            </w:pPr>
            <w:r w:rsidRPr="00A52449">
              <w:rPr>
                <w:i/>
                <w:sz w:val="20"/>
              </w:rPr>
              <w:t>733</w:t>
            </w:r>
          </w:p>
          <w:p w:rsidR="00A52449" w:rsidRPr="00A52449" w:rsidRDefault="00A52449" w:rsidP="002242A2">
            <w:pPr>
              <w:jc w:val="right"/>
              <w:rPr>
                <w:i/>
                <w:sz w:val="20"/>
              </w:rPr>
            </w:pPr>
            <w:r w:rsidRPr="00A52449">
              <w:rPr>
                <w:i/>
                <w:sz w:val="20"/>
              </w:rPr>
              <w:t>2 387</w:t>
            </w:r>
          </w:p>
        </w:tc>
        <w:tc>
          <w:tcPr>
            <w:tcW w:w="667" w:type="pct"/>
            <w:tcBorders>
              <w:top w:val="single" w:sz="8" w:space="0" w:color="7F7F7F" w:themeColor="text1" w:themeTint="80"/>
            </w:tcBorders>
            <w:shd w:val="clear" w:color="auto" w:fill="auto"/>
            <w:vAlign w:val="bottom"/>
          </w:tcPr>
          <w:p w:rsidR="00A52449" w:rsidRPr="00A52449" w:rsidRDefault="00A52449" w:rsidP="002242A2">
            <w:pPr>
              <w:jc w:val="right"/>
              <w:rPr>
                <w:sz w:val="20"/>
              </w:rPr>
            </w:pPr>
            <w:r w:rsidRPr="00A52449">
              <w:rPr>
                <w:sz w:val="20"/>
              </w:rPr>
              <w:t>314 183</w:t>
            </w:r>
          </w:p>
          <w:p w:rsidR="00A52449" w:rsidRPr="00A52449" w:rsidRDefault="00A52449" w:rsidP="002242A2">
            <w:pPr>
              <w:jc w:val="right"/>
              <w:rPr>
                <w:i/>
                <w:sz w:val="20"/>
              </w:rPr>
            </w:pPr>
          </w:p>
          <w:p w:rsidR="00A52449" w:rsidRPr="00A52449" w:rsidRDefault="00A52449" w:rsidP="002242A2">
            <w:pPr>
              <w:jc w:val="right"/>
              <w:rPr>
                <w:i/>
                <w:sz w:val="20"/>
              </w:rPr>
            </w:pPr>
            <w:r w:rsidRPr="00A52449">
              <w:rPr>
                <w:i/>
                <w:sz w:val="20"/>
              </w:rPr>
              <w:t>62 622</w:t>
            </w:r>
          </w:p>
          <w:p w:rsidR="00A52449" w:rsidRPr="00A52449" w:rsidRDefault="00A52449" w:rsidP="002242A2">
            <w:pPr>
              <w:jc w:val="right"/>
              <w:rPr>
                <w:i/>
                <w:sz w:val="20"/>
              </w:rPr>
            </w:pPr>
            <w:r w:rsidRPr="00A52449">
              <w:rPr>
                <w:i/>
                <w:sz w:val="20"/>
              </w:rPr>
              <w:t>0</w:t>
            </w:r>
          </w:p>
          <w:p w:rsidR="00A52449" w:rsidRPr="00A52449" w:rsidRDefault="00A52449" w:rsidP="002242A2">
            <w:pPr>
              <w:jc w:val="right"/>
              <w:rPr>
                <w:i/>
                <w:sz w:val="20"/>
              </w:rPr>
            </w:pPr>
            <w:r w:rsidRPr="00A52449">
              <w:rPr>
                <w:i/>
                <w:sz w:val="20"/>
              </w:rPr>
              <w:t>0</w:t>
            </w:r>
          </w:p>
          <w:p w:rsidR="00A52449" w:rsidRPr="00A52449" w:rsidRDefault="00A52449" w:rsidP="002242A2">
            <w:pPr>
              <w:jc w:val="right"/>
              <w:rPr>
                <w:i/>
                <w:sz w:val="20"/>
              </w:rPr>
            </w:pPr>
            <w:r w:rsidRPr="00A52449">
              <w:rPr>
                <w:i/>
                <w:sz w:val="20"/>
              </w:rPr>
              <w:t>0</w:t>
            </w:r>
          </w:p>
          <w:p w:rsidR="00A52449" w:rsidRPr="00A52449" w:rsidRDefault="00A52449" w:rsidP="002242A2">
            <w:pPr>
              <w:jc w:val="right"/>
              <w:rPr>
                <w:i/>
                <w:sz w:val="20"/>
              </w:rPr>
            </w:pPr>
            <w:r w:rsidRPr="00A52449">
              <w:rPr>
                <w:i/>
                <w:sz w:val="20"/>
              </w:rPr>
              <w:t>55 489</w:t>
            </w:r>
          </w:p>
          <w:p w:rsidR="00A52449" w:rsidRPr="00A52449" w:rsidRDefault="00A52449" w:rsidP="002242A2">
            <w:pPr>
              <w:jc w:val="right"/>
              <w:rPr>
                <w:i/>
                <w:sz w:val="20"/>
              </w:rPr>
            </w:pPr>
            <w:r w:rsidRPr="00A52449">
              <w:rPr>
                <w:i/>
                <w:sz w:val="20"/>
              </w:rPr>
              <w:t xml:space="preserve">8 323     </w:t>
            </w:r>
          </w:p>
          <w:p w:rsidR="00A52449" w:rsidRPr="00A52449" w:rsidRDefault="00A52449" w:rsidP="002242A2">
            <w:pPr>
              <w:jc w:val="right"/>
              <w:rPr>
                <w:i/>
                <w:sz w:val="20"/>
              </w:rPr>
            </w:pPr>
            <w:r w:rsidRPr="00A52449">
              <w:rPr>
                <w:i/>
                <w:sz w:val="20"/>
              </w:rPr>
              <w:t>47 166</w:t>
            </w:r>
          </w:p>
          <w:p w:rsidR="00A52449" w:rsidRPr="00A52449" w:rsidRDefault="00A52449" w:rsidP="002242A2">
            <w:pPr>
              <w:jc w:val="right"/>
              <w:rPr>
                <w:i/>
                <w:sz w:val="20"/>
              </w:rPr>
            </w:pPr>
          </w:p>
          <w:p w:rsidR="00A52449" w:rsidRPr="00A52449" w:rsidRDefault="00A52449" w:rsidP="002242A2">
            <w:pPr>
              <w:jc w:val="right"/>
              <w:rPr>
                <w:i/>
                <w:sz w:val="20"/>
              </w:rPr>
            </w:pPr>
            <w:r w:rsidRPr="00A52449">
              <w:rPr>
                <w:i/>
                <w:sz w:val="20"/>
              </w:rPr>
              <w:t>7 133</w:t>
            </w:r>
          </w:p>
          <w:p w:rsidR="00A52449" w:rsidRPr="00A52449" w:rsidRDefault="00A52449" w:rsidP="002242A2">
            <w:pPr>
              <w:jc w:val="right"/>
              <w:rPr>
                <w:i/>
                <w:sz w:val="20"/>
              </w:rPr>
            </w:pPr>
            <w:r w:rsidRPr="00A52449">
              <w:rPr>
                <w:i/>
                <w:sz w:val="20"/>
              </w:rPr>
              <w:t>866</w:t>
            </w:r>
          </w:p>
          <w:p w:rsidR="00A52449" w:rsidRPr="00A52449" w:rsidRDefault="00A52449" w:rsidP="002242A2">
            <w:pPr>
              <w:jc w:val="right"/>
              <w:rPr>
                <w:i/>
                <w:sz w:val="20"/>
              </w:rPr>
            </w:pPr>
            <w:r w:rsidRPr="00A52449">
              <w:rPr>
                <w:i/>
                <w:sz w:val="20"/>
              </w:rPr>
              <w:t>6 267</w:t>
            </w:r>
          </w:p>
        </w:tc>
        <w:tc>
          <w:tcPr>
            <w:tcW w:w="502" w:type="pct"/>
            <w:tcBorders>
              <w:top w:val="single" w:sz="8" w:space="0" w:color="7F7F7F" w:themeColor="text1" w:themeTint="80"/>
            </w:tcBorders>
            <w:shd w:val="clear" w:color="auto" w:fill="auto"/>
            <w:vAlign w:val="bottom"/>
          </w:tcPr>
          <w:p w:rsidR="00A52449" w:rsidRPr="00A52449" w:rsidRDefault="00A52449" w:rsidP="002242A2">
            <w:pPr>
              <w:jc w:val="right"/>
              <w:rPr>
                <w:sz w:val="20"/>
              </w:rPr>
            </w:pPr>
            <w:r w:rsidRPr="00A52449">
              <w:rPr>
                <w:sz w:val="20"/>
              </w:rPr>
              <w:t>103,52</w:t>
            </w:r>
          </w:p>
          <w:p w:rsidR="00A52449" w:rsidRPr="00A52449" w:rsidRDefault="00A52449" w:rsidP="002242A2">
            <w:pPr>
              <w:jc w:val="right"/>
              <w:rPr>
                <w:i/>
                <w:sz w:val="20"/>
              </w:rPr>
            </w:pPr>
          </w:p>
          <w:p w:rsidR="00A52449" w:rsidRPr="00A52449" w:rsidRDefault="00A52449" w:rsidP="002242A2">
            <w:pPr>
              <w:jc w:val="right"/>
              <w:rPr>
                <w:i/>
                <w:sz w:val="20"/>
              </w:rPr>
            </w:pPr>
            <w:r w:rsidRPr="00A52449">
              <w:rPr>
                <w:i/>
                <w:sz w:val="20"/>
              </w:rPr>
              <w:t>112,83    0,00</w:t>
            </w:r>
          </w:p>
          <w:p w:rsidR="00A52449" w:rsidRPr="00A52449" w:rsidRDefault="00A52449" w:rsidP="002242A2">
            <w:pPr>
              <w:jc w:val="right"/>
              <w:rPr>
                <w:i/>
                <w:sz w:val="20"/>
              </w:rPr>
            </w:pPr>
            <w:r w:rsidRPr="00A52449">
              <w:rPr>
                <w:i/>
                <w:sz w:val="20"/>
              </w:rPr>
              <w:t>0,00</w:t>
            </w:r>
          </w:p>
          <w:p w:rsidR="00A52449" w:rsidRPr="00A52449" w:rsidRDefault="00A52449" w:rsidP="002242A2">
            <w:pPr>
              <w:jc w:val="right"/>
              <w:rPr>
                <w:i/>
                <w:sz w:val="20"/>
              </w:rPr>
            </w:pPr>
            <w:r w:rsidRPr="00A52449">
              <w:rPr>
                <w:i/>
                <w:sz w:val="20"/>
              </w:rPr>
              <w:t>0,00</w:t>
            </w:r>
          </w:p>
          <w:p w:rsidR="00A52449" w:rsidRPr="00A52449" w:rsidRDefault="00A52449" w:rsidP="002242A2">
            <w:pPr>
              <w:jc w:val="right"/>
              <w:rPr>
                <w:i/>
                <w:sz w:val="20"/>
              </w:rPr>
            </w:pPr>
            <w:r w:rsidRPr="00A52449">
              <w:rPr>
                <w:i/>
                <w:sz w:val="20"/>
              </w:rPr>
              <w:t>107,47</w:t>
            </w:r>
          </w:p>
          <w:p w:rsidR="00A52449" w:rsidRPr="00A52449" w:rsidRDefault="00A52449" w:rsidP="002242A2">
            <w:pPr>
              <w:jc w:val="right"/>
              <w:rPr>
                <w:i/>
                <w:sz w:val="20"/>
              </w:rPr>
            </w:pPr>
            <w:r w:rsidRPr="00A52449">
              <w:rPr>
                <w:i/>
                <w:sz w:val="20"/>
              </w:rPr>
              <w:t>105,10</w:t>
            </w:r>
          </w:p>
          <w:p w:rsidR="00A52449" w:rsidRPr="00A52449" w:rsidRDefault="00A52449" w:rsidP="002242A2">
            <w:pPr>
              <w:jc w:val="right"/>
              <w:rPr>
                <w:i/>
                <w:sz w:val="20"/>
              </w:rPr>
            </w:pPr>
            <w:r w:rsidRPr="00A52449">
              <w:rPr>
                <w:i/>
                <w:sz w:val="20"/>
              </w:rPr>
              <w:t>107,90</w:t>
            </w:r>
          </w:p>
          <w:p w:rsidR="00A52449" w:rsidRPr="00A52449" w:rsidRDefault="00A52449" w:rsidP="002242A2">
            <w:pPr>
              <w:jc w:val="center"/>
              <w:rPr>
                <w:i/>
                <w:sz w:val="20"/>
              </w:rPr>
            </w:pPr>
            <w:r w:rsidRPr="00A52449">
              <w:rPr>
                <w:i/>
                <w:sz w:val="20"/>
              </w:rPr>
              <w:t xml:space="preserve">   </w:t>
            </w:r>
          </w:p>
          <w:p w:rsidR="00A52449" w:rsidRPr="00A52449" w:rsidRDefault="00A52449" w:rsidP="002242A2">
            <w:pPr>
              <w:jc w:val="right"/>
              <w:rPr>
                <w:i/>
                <w:sz w:val="20"/>
              </w:rPr>
            </w:pPr>
            <w:r w:rsidRPr="00A52449">
              <w:rPr>
                <w:i/>
                <w:sz w:val="20"/>
              </w:rPr>
              <w:t>228,62</w:t>
            </w:r>
          </w:p>
          <w:p w:rsidR="00A52449" w:rsidRPr="00A52449" w:rsidRDefault="00A52449" w:rsidP="002242A2">
            <w:pPr>
              <w:jc w:val="right"/>
              <w:rPr>
                <w:i/>
                <w:sz w:val="20"/>
              </w:rPr>
            </w:pPr>
            <w:r w:rsidRPr="00A52449">
              <w:rPr>
                <w:i/>
                <w:sz w:val="20"/>
              </w:rPr>
              <w:t>118,14</w:t>
            </w:r>
          </w:p>
          <w:p w:rsidR="00A52449" w:rsidRPr="00A52449" w:rsidRDefault="00A52449" w:rsidP="002242A2">
            <w:pPr>
              <w:jc w:val="right"/>
              <w:rPr>
                <w:i/>
                <w:sz w:val="20"/>
              </w:rPr>
            </w:pPr>
            <w:r w:rsidRPr="00A52449">
              <w:rPr>
                <w:i/>
                <w:sz w:val="20"/>
              </w:rPr>
              <w:t>262,55</w:t>
            </w:r>
          </w:p>
        </w:tc>
      </w:tr>
      <w:tr w:rsidR="00A52449" w:rsidRPr="003C1676" w:rsidTr="002242A2">
        <w:trPr>
          <w:trHeight w:val="829"/>
          <w:jc w:val="right"/>
        </w:trPr>
        <w:tc>
          <w:tcPr>
            <w:tcW w:w="2344" w:type="pct"/>
            <w:shd w:val="clear" w:color="auto" w:fill="auto"/>
          </w:tcPr>
          <w:p w:rsidR="00A52449" w:rsidRPr="00A52449" w:rsidRDefault="00A52449" w:rsidP="002242A2">
            <w:pPr>
              <w:rPr>
                <w:sz w:val="20"/>
              </w:rPr>
            </w:pPr>
            <w:r w:rsidRPr="00A52449">
              <w:rPr>
                <w:sz w:val="20"/>
              </w:rPr>
              <w:t>povinné pojistné placené zaměstnavatelem</w:t>
            </w:r>
          </w:p>
          <w:p w:rsidR="00A52449" w:rsidRPr="00A52449" w:rsidRDefault="00A52449" w:rsidP="002242A2">
            <w:pPr>
              <w:rPr>
                <w:sz w:val="20"/>
              </w:rPr>
            </w:pPr>
            <w:r w:rsidRPr="00A52449">
              <w:rPr>
                <w:sz w:val="20"/>
              </w:rPr>
              <w:t xml:space="preserve">z toho: </w:t>
            </w:r>
            <w:r w:rsidRPr="00A52449">
              <w:rPr>
                <w:i/>
                <w:sz w:val="20"/>
              </w:rPr>
              <w:t xml:space="preserve">výdaje na programy spolufinancované         </w:t>
            </w:r>
          </w:p>
          <w:p w:rsidR="00A52449" w:rsidRPr="00A52449" w:rsidRDefault="00A52449" w:rsidP="002242A2">
            <w:pPr>
              <w:rPr>
                <w:i/>
                <w:sz w:val="20"/>
              </w:rPr>
            </w:pPr>
            <w:r w:rsidRPr="00A52449">
              <w:rPr>
                <w:i/>
                <w:sz w:val="20"/>
              </w:rPr>
              <w:t xml:space="preserve">             z rozpočtu EU v tom:</w:t>
            </w:r>
          </w:p>
          <w:p w:rsidR="00A52449" w:rsidRPr="00A52449" w:rsidRDefault="00A52449" w:rsidP="002242A2">
            <w:pPr>
              <w:rPr>
                <w:i/>
                <w:sz w:val="20"/>
              </w:rPr>
            </w:pPr>
            <w:r w:rsidRPr="00A52449">
              <w:rPr>
                <w:i/>
                <w:sz w:val="20"/>
              </w:rPr>
              <w:t xml:space="preserve">                        OP Zaměstnanost</w:t>
            </w:r>
          </w:p>
          <w:p w:rsidR="00A52449" w:rsidRPr="00A52449" w:rsidRDefault="00A52449" w:rsidP="002242A2">
            <w:pPr>
              <w:rPr>
                <w:i/>
                <w:sz w:val="20"/>
              </w:rPr>
            </w:pPr>
            <w:r w:rsidRPr="00A52449">
              <w:rPr>
                <w:i/>
                <w:sz w:val="20"/>
              </w:rPr>
              <w:t xml:space="preserve">                                            v tom: ze SR</w:t>
            </w:r>
          </w:p>
          <w:p w:rsidR="00A52449" w:rsidRPr="00A52449" w:rsidRDefault="00A52449" w:rsidP="002242A2">
            <w:pPr>
              <w:rPr>
                <w:i/>
                <w:sz w:val="20"/>
              </w:rPr>
            </w:pPr>
            <w:r w:rsidRPr="00A52449">
              <w:rPr>
                <w:i/>
                <w:sz w:val="20"/>
              </w:rPr>
              <w:t xml:space="preserve">                                                       z rozpočtu EU                </w:t>
            </w:r>
          </w:p>
          <w:p w:rsidR="00A52449" w:rsidRPr="00A52449" w:rsidRDefault="00A52449" w:rsidP="002242A2">
            <w:pPr>
              <w:rPr>
                <w:i/>
                <w:sz w:val="20"/>
              </w:rPr>
            </w:pPr>
            <w:r w:rsidRPr="00A52449">
              <w:rPr>
                <w:i/>
                <w:sz w:val="20"/>
              </w:rPr>
              <w:t xml:space="preserve">                       OP Doprava 2014-2020</w:t>
            </w:r>
          </w:p>
          <w:p w:rsidR="00A52449" w:rsidRPr="00A52449" w:rsidRDefault="00A52449" w:rsidP="002242A2">
            <w:pPr>
              <w:rPr>
                <w:i/>
                <w:sz w:val="20"/>
              </w:rPr>
            </w:pPr>
            <w:r w:rsidRPr="00A52449">
              <w:rPr>
                <w:i/>
                <w:sz w:val="20"/>
              </w:rPr>
              <w:t xml:space="preserve">                                            v tom: ze SR</w:t>
            </w:r>
          </w:p>
          <w:p w:rsidR="00A52449" w:rsidRPr="00A52449" w:rsidRDefault="00A52449" w:rsidP="002242A2">
            <w:pPr>
              <w:rPr>
                <w:i/>
                <w:sz w:val="20"/>
              </w:rPr>
            </w:pPr>
            <w:r w:rsidRPr="00A52449">
              <w:rPr>
                <w:i/>
                <w:sz w:val="20"/>
              </w:rPr>
              <w:t xml:space="preserve">                                                       z rozpočtu EU</w:t>
            </w:r>
          </w:p>
          <w:p w:rsidR="00A52449" w:rsidRPr="00A52449" w:rsidRDefault="00A52449" w:rsidP="002242A2">
            <w:pPr>
              <w:tabs>
                <w:tab w:val="left" w:pos="1295"/>
              </w:tabs>
              <w:rPr>
                <w:i/>
                <w:sz w:val="20"/>
              </w:rPr>
            </w:pPr>
            <w:r w:rsidRPr="00A52449">
              <w:rPr>
                <w:i/>
                <w:sz w:val="20"/>
              </w:rPr>
              <w:t xml:space="preserve">                      Komunitární programy 2014-2020</w:t>
            </w:r>
          </w:p>
          <w:p w:rsidR="00A52449" w:rsidRPr="00A52449" w:rsidRDefault="00A52449" w:rsidP="002242A2">
            <w:pPr>
              <w:rPr>
                <w:i/>
                <w:sz w:val="20"/>
              </w:rPr>
            </w:pPr>
            <w:r w:rsidRPr="00A52449">
              <w:rPr>
                <w:i/>
                <w:sz w:val="20"/>
              </w:rPr>
              <w:t xml:space="preserve">                     (CEF)</w:t>
            </w:r>
          </w:p>
          <w:p w:rsidR="00A52449" w:rsidRPr="00A52449" w:rsidRDefault="00A52449" w:rsidP="002242A2">
            <w:pPr>
              <w:rPr>
                <w:i/>
                <w:sz w:val="20"/>
              </w:rPr>
            </w:pPr>
            <w:r w:rsidRPr="00A52449">
              <w:rPr>
                <w:i/>
                <w:sz w:val="20"/>
              </w:rPr>
              <w:t xml:space="preserve">                                             v tom: ze SR</w:t>
            </w:r>
          </w:p>
          <w:p w:rsidR="00A52449" w:rsidRPr="00A52449" w:rsidRDefault="00A52449" w:rsidP="002242A2">
            <w:pPr>
              <w:rPr>
                <w:i/>
                <w:sz w:val="20"/>
              </w:rPr>
            </w:pPr>
            <w:r w:rsidRPr="00A52449">
              <w:rPr>
                <w:i/>
                <w:sz w:val="20"/>
              </w:rPr>
              <w:t xml:space="preserve">                                                        z rozpočtu EU                                           </w:t>
            </w:r>
          </w:p>
        </w:tc>
        <w:tc>
          <w:tcPr>
            <w:tcW w:w="783" w:type="pct"/>
            <w:shd w:val="clear" w:color="auto" w:fill="auto"/>
          </w:tcPr>
          <w:p w:rsidR="00A52449" w:rsidRPr="00A52449" w:rsidRDefault="00A52449" w:rsidP="002242A2">
            <w:pPr>
              <w:jc w:val="right"/>
              <w:rPr>
                <w:sz w:val="20"/>
              </w:rPr>
            </w:pPr>
            <w:r w:rsidRPr="00A52449">
              <w:rPr>
                <w:sz w:val="20"/>
              </w:rPr>
              <w:t>105 959</w:t>
            </w:r>
          </w:p>
          <w:p w:rsidR="00A52449" w:rsidRPr="00A52449" w:rsidRDefault="00A52449" w:rsidP="002242A2">
            <w:pPr>
              <w:jc w:val="right"/>
              <w:rPr>
                <w:sz w:val="20"/>
              </w:rPr>
            </w:pPr>
          </w:p>
          <w:p w:rsidR="00A52449" w:rsidRPr="00A52449" w:rsidRDefault="00A52449" w:rsidP="002242A2">
            <w:pPr>
              <w:jc w:val="right"/>
              <w:rPr>
                <w:i/>
                <w:sz w:val="20"/>
              </w:rPr>
            </w:pPr>
            <w:r w:rsidRPr="00A52449">
              <w:rPr>
                <w:i/>
                <w:sz w:val="20"/>
              </w:rPr>
              <w:t>23 194</w:t>
            </w:r>
          </w:p>
          <w:p w:rsidR="00A52449" w:rsidRPr="00A52449" w:rsidRDefault="00A52449" w:rsidP="002242A2">
            <w:pPr>
              <w:jc w:val="right"/>
              <w:rPr>
                <w:i/>
                <w:sz w:val="20"/>
                <w:szCs w:val="20"/>
              </w:rPr>
            </w:pPr>
            <w:r w:rsidRPr="00A52449">
              <w:rPr>
                <w:i/>
                <w:sz w:val="20"/>
                <w:szCs w:val="20"/>
              </w:rPr>
              <w:t>206</w:t>
            </w:r>
          </w:p>
          <w:p w:rsidR="00A52449" w:rsidRPr="00A52449" w:rsidRDefault="00A52449" w:rsidP="002242A2">
            <w:pPr>
              <w:jc w:val="right"/>
              <w:rPr>
                <w:i/>
                <w:sz w:val="20"/>
                <w:szCs w:val="20"/>
              </w:rPr>
            </w:pPr>
            <w:r w:rsidRPr="00A52449">
              <w:rPr>
                <w:i/>
                <w:sz w:val="20"/>
                <w:szCs w:val="20"/>
              </w:rPr>
              <w:t>103</w:t>
            </w:r>
          </w:p>
          <w:p w:rsidR="00A52449" w:rsidRPr="00A52449" w:rsidRDefault="00A52449" w:rsidP="002242A2">
            <w:pPr>
              <w:jc w:val="right"/>
              <w:rPr>
                <w:sz w:val="20"/>
                <w:szCs w:val="20"/>
              </w:rPr>
            </w:pPr>
            <w:r w:rsidRPr="00A52449">
              <w:rPr>
                <w:i/>
                <w:sz w:val="20"/>
                <w:szCs w:val="20"/>
              </w:rPr>
              <w:t>103</w:t>
            </w:r>
          </w:p>
          <w:p w:rsidR="00A52449" w:rsidRPr="00A52449" w:rsidRDefault="00A52449" w:rsidP="002242A2">
            <w:pPr>
              <w:jc w:val="right"/>
              <w:rPr>
                <w:i/>
                <w:sz w:val="20"/>
                <w:szCs w:val="20"/>
              </w:rPr>
            </w:pPr>
            <w:r w:rsidRPr="00A52449">
              <w:rPr>
                <w:i/>
                <w:sz w:val="20"/>
                <w:szCs w:val="20"/>
              </w:rPr>
              <w:t>21 401</w:t>
            </w:r>
          </w:p>
          <w:p w:rsidR="00A52449" w:rsidRPr="00A52449" w:rsidRDefault="00A52449" w:rsidP="002242A2">
            <w:pPr>
              <w:jc w:val="right"/>
              <w:rPr>
                <w:i/>
                <w:sz w:val="20"/>
                <w:szCs w:val="20"/>
              </w:rPr>
            </w:pPr>
            <w:r w:rsidRPr="00A52449">
              <w:rPr>
                <w:i/>
                <w:sz w:val="20"/>
                <w:szCs w:val="20"/>
              </w:rPr>
              <w:t>3 210</w:t>
            </w:r>
          </w:p>
          <w:p w:rsidR="00A52449" w:rsidRPr="00A52449" w:rsidRDefault="00A52449" w:rsidP="002242A2">
            <w:pPr>
              <w:jc w:val="right"/>
              <w:rPr>
                <w:i/>
                <w:sz w:val="20"/>
                <w:szCs w:val="20"/>
              </w:rPr>
            </w:pPr>
            <w:r w:rsidRPr="00A52449">
              <w:rPr>
                <w:i/>
                <w:sz w:val="20"/>
                <w:szCs w:val="20"/>
              </w:rPr>
              <w:t>18 190</w:t>
            </w:r>
          </w:p>
          <w:p w:rsidR="00A52449" w:rsidRPr="00A52449" w:rsidRDefault="00A52449" w:rsidP="002242A2">
            <w:pPr>
              <w:jc w:val="right"/>
              <w:rPr>
                <w:i/>
                <w:sz w:val="20"/>
                <w:szCs w:val="20"/>
              </w:rPr>
            </w:pPr>
          </w:p>
          <w:p w:rsidR="00A52449" w:rsidRPr="00A52449" w:rsidRDefault="00A52449" w:rsidP="002242A2">
            <w:pPr>
              <w:jc w:val="right"/>
              <w:rPr>
                <w:i/>
                <w:sz w:val="20"/>
                <w:szCs w:val="20"/>
              </w:rPr>
            </w:pPr>
            <w:r w:rsidRPr="00A52449">
              <w:rPr>
                <w:i/>
                <w:sz w:val="20"/>
                <w:szCs w:val="20"/>
              </w:rPr>
              <w:t>1 588</w:t>
            </w:r>
          </w:p>
          <w:p w:rsidR="00A52449" w:rsidRPr="00A52449" w:rsidRDefault="00A52449" w:rsidP="002242A2">
            <w:pPr>
              <w:jc w:val="right"/>
              <w:rPr>
                <w:i/>
                <w:sz w:val="20"/>
                <w:szCs w:val="20"/>
              </w:rPr>
            </w:pPr>
            <w:r w:rsidRPr="00A52449">
              <w:rPr>
                <w:i/>
                <w:sz w:val="20"/>
                <w:szCs w:val="20"/>
              </w:rPr>
              <w:t>281</w:t>
            </w:r>
          </w:p>
          <w:p w:rsidR="00A52449" w:rsidRPr="00A52449" w:rsidRDefault="00A52449" w:rsidP="002242A2">
            <w:pPr>
              <w:jc w:val="right"/>
              <w:rPr>
                <w:i/>
                <w:sz w:val="20"/>
              </w:rPr>
            </w:pPr>
            <w:r w:rsidRPr="00A52449">
              <w:rPr>
                <w:i/>
                <w:sz w:val="20"/>
                <w:szCs w:val="20"/>
              </w:rPr>
              <w:t>1 307</w:t>
            </w:r>
          </w:p>
        </w:tc>
        <w:tc>
          <w:tcPr>
            <w:tcW w:w="705" w:type="pct"/>
            <w:shd w:val="clear" w:color="auto" w:fill="auto"/>
          </w:tcPr>
          <w:p w:rsidR="00A52449" w:rsidRPr="00A52449" w:rsidRDefault="00A52449" w:rsidP="002242A2">
            <w:pPr>
              <w:jc w:val="right"/>
              <w:rPr>
                <w:sz w:val="20"/>
              </w:rPr>
            </w:pPr>
            <w:r w:rsidRPr="00A52449">
              <w:rPr>
                <w:sz w:val="20"/>
              </w:rPr>
              <w:t xml:space="preserve">  102 579</w:t>
            </w:r>
          </w:p>
          <w:p w:rsidR="00A52449" w:rsidRPr="00A52449" w:rsidRDefault="00A52449" w:rsidP="002242A2">
            <w:pPr>
              <w:jc w:val="right"/>
              <w:rPr>
                <w:i/>
                <w:sz w:val="20"/>
              </w:rPr>
            </w:pPr>
          </w:p>
          <w:p w:rsidR="00A52449" w:rsidRPr="00A52449" w:rsidRDefault="00A52449" w:rsidP="002242A2">
            <w:pPr>
              <w:jc w:val="right"/>
              <w:rPr>
                <w:i/>
                <w:sz w:val="20"/>
              </w:rPr>
            </w:pPr>
            <w:r w:rsidRPr="00A52449">
              <w:rPr>
                <w:i/>
                <w:sz w:val="20"/>
              </w:rPr>
              <w:t xml:space="preserve">18 761 </w:t>
            </w:r>
          </w:p>
          <w:p w:rsidR="00A52449" w:rsidRPr="00A52449" w:rsidRDefault="00A52449" w:rsidP="002242A2">
            <w:pPr>
              <w:jc w:val="right"/>
              <w:rPr>
                <w:i/>
                <w:sz w:val="20"/>
              </w:rPr>
            </w:pPr>
            <w:r w:rsidRPr="00A52449">
              <w:rPr>
                <w:i/>
                <w:sz w:val="20"/>
              </w:rPr>
              <w:t>254</w:t>
            </w:r>
          </w:p>
          <w:p w:rsidR="00A52449" w:rsidRPr="00A52449" w:rsidRDefault="00A52449" w:rsidP="002242A2">
            <w:pPr>
              <w:jc w:val="right"/>
              <w:rPr>
                <w:i/>
                <w:sz w:val="20"/>
              </w:rPr>
            </w:pPr>
            <w:r w:rsidRPr="00A52449">
              <w:rPr>
                <w:i/>
                <w:sz w:val="20"/>
              </w:rPr>
              <w:t>127</w:t>
            </w:r>
          </w:p>
          <w:p w:rsidR="00A52449" w:rsidRPr="00A52449" w:rsidRDefault="00A52449" w:rsidP="002242A2">
            <w:pPr>
              <w:jc w:val="right"/>
              <w:rPr>
                <w:i/>
                <w:sz w:val="20"/>
              </w:rPr>
            </w:pPr>
            <w:r w:rsidRPr="00A52449">
              <w:rPr>
                <w:i/>
                <w:sz w:val="20"/>
              </w:rPr>
              <w:t>127</w:t>
            </w:r>
          </w:p>
          <w:p w:rsidR="00A52449" w:rsidRPr="00A52449" w:rsidRDefault="00A52449" w:rsidP="002242A2">
            <w:pPr>
              <w:jc w:val="right"/>
              <w:rPr>
                <w:i/>
                <w:sz w:val="20"/>
              </w:rPr>
            </w:pPr>
            <w:r w:rsidRPr="00A52449">
              <w:rPr>
                <w:i/>
                <w:sz w:val="20"/>
              </w:rPr>
              <w:t xml:space="preserve"> 17 452</w:t>
            </w:r>
          </w:p>
          <w:p w:rsidR="00A52449" w:rsidRPr="00A52449" w:rsidRDefault="00A52449" w:rsidP="002242A2">
            <w:pPr>
              <w:jc w:val="right"/>
              <w:rPr>
                <w:i/>
                <w:sz w:val="20"/>
              </w:rPr>
            </w:pPr>
            <w:r w:rsidRPr="00A52449">
              <w:rPr>
                <w:i/>
                <w:sz w:val="20"/>
              </w:rPr>
              <w:t>2 677</w:t>
            </w:r>
          </w:p>
          <w:p w:rsidR="00A52449" w:rsidRPr="00A52449" w:rsidRDefault="00A52449" w:rsidP="002242A2">
            <w:pPr>
              <w:jc w:val="right"/>
              <w:rPr>
                <w:i/>
                <w:sz w:val="20"/>
              </w:rPr>
            </w:pPr>
            <w:r w:rsidRPr="00A52449">
              <w:rPr>
                <w:i/>
                <w:sz w:val="20"/>
              </w:rPr>
              <w:t>14 775</w:t>
            </w:r>
          </w:p>
          <w:p w:rsidR="00A52449" w:rsidRPr="00A52449" w:rsidRDefault="00A52449" w:rsidP="002242A2">
            <w:pPr>
              <w:jc w:val="right"/>
              <w:rPr>
                <w:i/>
                <w:sz w:val="20"/>
              </w:rPr>
            </w:pPr>
          </w:p>
          <w:p w:rsidR="00A52449" w:rsidRPr="00A52449" w:rsidRDefault="00A52449" w:rsidP="002242A2">
            <w:pPr>
              <w:jc w:val="right"/>
              <w:rPr>
                <w:i/>
                <w:sz w:val="20"/>
              </w:rPr>
            </w:pPr>
            <w:r w:rsidRPr="00A52449">
              <w:rPr>
                <w:i/>
                <w:sz w:val="20"/>
              </w:rPr>
              <w:t xml:space="preserve">1 055       </w:t>
            </w:r>
          </w:p>
          <w:p w:rsidR="00A52449" w:rsidRPr="00A52449" w:rsidRDefault="00A52449" w:rsidP="002242A2">
            <w:pPr>
              <w:jc w:val="right"/>
              <w:rPr>
                <w:i/>
                <w:sz w:val="20"/>
              </w:rPr>
            </w:pPr>
            <w:r w:rsidRPr="00A52449">
              <w:rPr>
                <w:i/>
                <w:sz w:val="20"/>
              </w:rPr>
              <w:t>248</w:t>
            </w:r>
          </w:p>
          <w:p w:rsidR="00A52449" w:rsidRPr="00A52449" w:rsidRDefault="00A52449" w:rsidP="002242A2">
            <w:pPr>
              <w:jc w:val="right"/>
              <w:rPr>
                <w:i/>
                <w:sz w:val="20"/>
              </w:rPr>
            </w:pPr>
            <w:r w:rsidRPr="00A52449">
              <w:rPr>
                <w:i/>
                <w:sz w:val="20"/>
              </w:rPr>
              <w:t>807</w:t>
            </w:r>
          </w:p>
        </w:tc>
        <w:tc>
          <w:tcPr>
            <w:tcW w:w="667" w:type="pct"/>
            <w:shd w:val="clear" w:color="auto" w:fill="auto"/>
          </w:tcPr>
          <w:p w:rsidR="00A52449" w:rsidRPr="00A52449" w:rsidRDefault="00A52449" w:rsidP="002242A2">
            <w:pPr>
              <w:jc w:val="right"/>
              <w:rPr>
                <w:sz w:val="20"/>
              </w:rPr>
            </w:pPr>
            <w:r w:rsidRPr="00A52449">
              <w:rPr>
                <w:sz w:val="20"/>
              </w:rPr>
              <w:t xml:space="preserve">  106 194</w:t>
            </w:r>
          </w:p>
          <w:p w:rsidR="00A52449" w:rsidRPr="00A52449" w:rsidRDefault="00A52449" w:rsidP="002242A2">
            <w:pPr>
              <w:jc w:val="right"/>
              <w:rPr>
                <w:i/>
                <w:sz w:val="20"/>
              </w:rPr>
            </w:pPr>
          </w:p>
          <w:p w:rsidR="00A52449" w:rsidRPr="00A52449" w:rsidRDefault="00A52449" w:rsidP="002242A2">
            <w:pPr>
              <w:jc w:val="right"/>
              <w:rPr>
                <w:i/>
                <w:sz w:val="20"/>
              </w:rPr>
            </w:pPr>
            <w:r w:rsidRPr="00A52449">
              <w:rPr>
                <w:i/>
                <w:sz w:val="20"/>
              </w:rPr>
              <w:t xml:space="preserve">21 166 </w:t>
            </w:r>
          </w:p>
          <w:p w:rsidR="00A52449" w:rsidRPr="00A52449" w:rsidRDefault="00A52449" w:rsidP="002242A2">
            <w:pPr>
              <w:jc w:val="right"/>
              <w:rPr>
                <w:i/>
                <w:sz w:val="20"/>
              </w:rPr>
            </w:pPr>
            <w:r w:rsidRPr="00A52449">
              <w:rPr>
                <w:i/>
                <w:sz w:val="20"/>
              </w:rPr>
              <w:t>0</w:t>
            </w:r>
          </w:p>
          <w:p w:rsidR="00A52449" w:rsidRPr="00A52449" w:rsidRDefault="00A52449" w:rsidP="002242A2">
            <w:pPr>
              <w:jc w:val="right"/>
              <w:rPr>
                <w:i/>
                <w:sz w:val="20"/>
              </w:rPr>
            </w:pPr>
            <w:r w:rsidRPr="00A52449">
              <w:rPr>
                <w:i/>
                <w:sz w:val="20"/>
              </w:rPr>
              <w:t>0</w:t>
            </w:r>
          </w:p>
          <w:p w:rsidR="00A52449" w:rsidRPr="00A52449" w:rsidRDefault="00A52449" w:rsidP="002242A2">
            <w:pPr>
              <w:jc w:val="right"/>
              <w:rPr>
                <w:i/>
                <w:sz w:val="20"/>
              </w:rPr>
            </w:pPr>
            <w:r w:rsidRPr="00A52449">
              <w:rPr>
                <w:i/>
                <w:sz w:val="20"/>
              </w:rPr>
              <w:t>0</w:t>
            </w:r>
          </w:p>
          <w:p w:rsidR="00A52449" w:rsidRPr="00A52449" w:rsidRDefault="00A52449" w:rsidP="002242A2">
            <w:pPr>
              <w:jc w:val="right"/>
              <w:rPr>
                <w:i/>
                <w:sz w:val="20"/>
              </w:rPr>
            </w:pPr>
            <w:r w:rsidRPr="00A52449">
              <w:rPr>
                <w:i/>
                <w:sz w:val="20"/>
              </w:rPr>
              <w:t xml:space="preserve"> 18 755</w:t>
            </w:r>
          </w:p>
          <w:p w:rsidR="00A52449" w:rsidRPr="00A52449" w:rsidRDefault="00A52449" w:rsidP="002242A2">
            <w:pPr>
              <w:jc w:val="right"/>
              <w:rPr>
                <w:i/>
                <w:sz w:val="20"/>
              </w:rPr>
            </w:pPr>
            <w:r w:rsidRPr="00A52449">
              <w:rPr>
                <w:i/>
                <w:sz w:val="20"/>
              </w:rPr>
              <w:t>2 813</w:t>
            </w:r>
          </w:p>
          <w:p w:rsidR="00A52449" w:rsidRPr="00A52449" w:rsidRDefault="00A52449" w:rsidP="002242A2">
            <w:pPr>
              <w:jc w:val="right"/>
              <w:rPr>
                <w:i/>
                <w:sz w:val="20"/>
              </w:rPr>
            </w:pPr>
            <w:r w:rsidRPr="00A52449">
              <w:rPr>
                <w:i/>
                <w:sz w:val="20"/>
              </w:rPr>
              <w:t>15 942</w:t>
            </w:r>
          </w:p>
          <w:p w:rsidR="00A52449" w:rsidRPr="00A52449" w:rsidRDefault="00A52449" w:rsidP="002242A2">
            <w:pPr>
              <w:jc w:val="right"/>
              <w:rPr>
                <w:i/>
                <w:sz w:val="20"/>
              </w:rPr>
            </w:pPr>
          </w:p>
          <w:p w:rsidR="00A52449" w:rsidRPr="00A52449" w:rsidRDefault="00A52449" w:rsidP="002242A2">
            <w:pPr>
              <w:jc w:val="right"/>
              <w:rPr>
                <w:i/>
                <w:sz w:val="20"/>
              </w:rPr>
            </w:pPr>
            <w:r w:rsidRPr="00A52449">
              <w:rPr>
                <w:i/>
                <w:sz w:val="20"/>
              </w:rPr>
              <w:t xml:space="preserve"> 2 411                        293</w:t>
            </w:r>
          </w:p>
          <w:p w:rsidR="00A52449" w:rsidRPr="00A52449" w:rsidRDefault="00A52449" w:rsidP="002242A2">
            <w:pPr>
              <w:jc w:val="right"/>
              <w:rPr>
                <w:i/>
                <w:sz w:val="20"/>
              </w:rPr>
            </w:pPr>
            <w:r w:rsidRPr="00A52449">
              <w:rPr>
                <w:i/>
                <w:sz w:val="20"/>
              </w:rPr>
              <w:t>2 118</w:t>
            </w:r>
          </w:p>
        </w:tc>
        <w:tc>
          <w:tcPr>
            <w:tcW w:w="502" w:type="pct"/>
            <w:shd w:val="clear" w:color="auto" w:fill="auto"/>
          </w:tcPr>
          <w:p w:rsidR="00A52449" w:rsidRPr="00A52449" w:rsidRDefault="00A52449" w:rsidP="002242A2">
            <w:pPr>
              <w:jc w:val="right"/>
              <w:rPr>
                <w:sz w:val="20"/>
              </w:rPr>
            </w:pPr>
            <w:r w:rsidRPr="00A52449">
              <w:rPr>
                <w:sz w:val="20"/>
              </w:rPr>
              <w:t>103,52</w:t>
            </w:r>
          </w:p>
          <w:p w:rsidR="00A52449" w:rsidRPr="00A52449" w:rsidRDefault="00A52449" w:rsidP="002242A2">
            <w:pPr>
              <w:jc w:val="right"/>
              <w:rPr>
                <w:i/>
                <w:sz w:val="20"/>
              </w:rPr>
            </w:pPr>
          </w:p>
          <w:p w:rsidR="00A52449" w:rsidRPr="00A52449" w:rsidRDefault="00A52449" w:rsidP="002242A2">
            <w:pPr>
              <w:jc w:val="right"/>
              <w:rPr>
                <w:i/>
                <w:sz w:val="20"/>
              </w:rPr>
            </w:pPr>
            <w:r w:rsidRPr="00A52449">
              <w:rPr>
                <w:i/>
                <w:sz w:val="20"/>
              </w:rPr>
              <w:t>112,82</w:t>
            </w:r>
          </w:p>
          <w:p w:rsidR="00A52449" w:rsidRPr="00A52449" w:rsidRDefault="00A52449" w:rsidP="002242A2">
            <w:pPr>
              <w:jc w:val="right"/>
              <w:rPr>
                <w:i/>
                <w:sz w:val="20"/>
              </w:rPr>
            </w:pPr>
            <w:r w:rsidRPr="00A52449">
              <w:rPr>
                <w:i/>
                <w:sz w:val="20"/>
              </w:rPr>
              <w:t>0,00</w:t>
            </w:r>
          </w:p>
          <w:p w:rsidR="00A52449" w:rsidRPr="00A52449" w:rsidRDefault="00A52449" w:rsidP="002242A2">
            <w:pPr>
              <w:jc w:val="right"/>
              <w:rPr>
                <w:i/>
                <w:sz w:val="20"/>
              </w:rPr>
            </w:pPr>
            <w:r w:rsidRPr="00A52449">
              <w:rPr>
                <w:i/>
                <w:sz w:val="20"/>
              </w:rPr>
              <w:t>0,00</w:t>
            </w:r>
          </w:p>
          <w:p w:rsidR="00A52449" w:rsidRPr="00A52449" w:rsidRDefault="00A52449" w:rsidP="002242A2">
            <w:pPr>
              <w:jc w:val="right"/>
              <w:rPr>
                <w:i/>
                <w:sz w:val="20"/>
              </w:rPr>
            </w:pPr>
            <w:r w:rsidRPr="00A52449">
              <w:rPr>
                <w:i/>
                <w:sz w:val="20"/>
              </w:rPr>
              <w:t>0,00</w:t>
            </w:r>
          </w:p>
          <w:p w:rsidR="00A52449" w:rsidRPr="00A52449" w:rsidRDefault="00A52449" w:rsidP="002242A2">
            <w:pPr>
              <w:jc w:val="right"/>
              <w:rPr>
                <w:i/>
                <w:sz w:val="20"/>
              </w:rPr>
            </w:pPr>
            <w:r w:rsidRPr="00A52449">
              <w:rPr>
                <w:i/>
                <w:sz w:val="20"/>
              </w:rPr>
              <w:t>107,47</w:t>
            </w:r>
          </w:p>
          <w:p w:rsidR="00A52449" w:rsidRPr="00A52449" w:rsidRDefault="00A52449" w:rsidP="002242A2">
            <w:pPr>
              <w:jc w:val="right"/>
              <w:rPr>
                <w:i/>
                <w:sz w:val="20"/>
              </w:rPr>
            </w:pPr>
            <w:r w:rsidRPr="00A52449">
              <w:rPr>
                <w:i/>
                <w:sz w:val="20"/>
              </w:rPr>
              <w:t>105,08</w:t>
            </w:r>
          </w:p>
          <w:p w:rsidR="00A52449" w:rsidRPr="00A52449" w:rsidRDefault="00A52449" w:rsidP="002242A2">
            <w:pPr>
              <w:jc w:val="right"/>
              <w:rPr>
                <w:i/>
                <w:sz w:val="20"/>
              </w:rPr>
            </w:pPr>
            <w:r w:rsidRPr="00A52449">
              <w:rPr>
                <w:i/>
                <w:sz w:val="20"/>
              </w:rPr>
              <w:t>107,90</w:t>
            </w:r>
          </w:p>
          <w:p w:rsidR="00A52449" w:rsidRPr="00A52449" w:rsidRDefault="00A52449" w:rsidP="002242A2">
            <w:pPr>
              <w:jc w:val="right"/>
              <w:rPr>
                <w:i/>
                <w:sz w:val="20"/>
              </w:rPr>
            </w:pPr>
          </w:p>
          <w:p w:rsidR="00A52449" w:rsidRPr="00A52449" w:rsidRDefault="00A52449" w:rsidP="002242A2">
            <w:pPr>
              <w:jc w:val="right"/>
              <w:rPr>
                <w:i/>
                <w:sz w:val="20"/>
              </w:rPr>
            </w:pPr>
            <w:r w:rsidRPr="00A52449">
              <w:rPr>
                <w:i/>
                <w:sz w:val="20"/>
              </w:rPr>
              <w:t>228,53</w:t>
            </w:r>
          </w:p>
          <w:p w:rsidR="00A52449" w:rsidRPr="00A52449" w:rsidRDefault="00A52449" w:rsidP="002242A2">
            <w:pPr>
              <w:jc w:val="right"/>
              <w:rPr>
                <w:i/>
                <w:sz w:val="20"/>
              </w:rPr>
            </w:pPr>
            <w:r w:rsidRPr="00A52449">
              <w:rPr>
                <w:i/>
                <w:sz w:val="20"/>
              </w:rPr>
              <w:t>118,15   262,45</w:t>
            </w:r>
          </w:p>
        </w:tc>
      </w:tr>
      <w:tr w:rsidR="00A52449" w:rsidRPr="007137B6" w:rsidTr="00980C65">
        <w:trPr>
          <w:trHeight w:val="2719"/>
          <w:jc w:val="right"/>
        </w:trPr>
        <w:tc>
          <w:tcPr>
            <w:tcW w:w="2344" w:type="pct"/>
            <w:tcBorders>
              <w:bottom w:val="single" w:sz="4" w:space="0" w:color="7F7F7F" w:themeColor="text1" w:themeTint="80"/>
            </w:tcBorders>
            <w:shd w:val="clear" w:color="auto" w:fill="auto"/>
          </w:tcPr>
          <w:p w:rsidR="00A52449" w:rsidRPr="00A52449" w:rsidRDefault="00A52449" w:rsidP="002242A2">
            <w:pPr>
              <w:rPr>
                <w:sz w:val="20"/>
              </w:rPr>
            </w:pPr>
            <w:r w:rsidRPr="00A52449">
              <w:rPr>
                <w:sz w:val="20"/>
              </w:rPr>
              <w:t>příděl FKSP</w:t>
            </w:r>
          </w:p>
          <w:p w:rsidR="00A52449" w:rsidRPr="00A52449" w:rsidRDefault="00A52449" w:rsidP="002242A2">
            <w:pPr>
              <w:rPr>
                <w:i/>
                <w:sz w:val="20"/>
              </w:rPr>
            </w:pPr>
            <w:r w:rsidRPr="00A52449">
              <w:rPr>
                <w:i/>
                <w:sz w:val="20"/>
              </w:rPr>
              <w:t xml:space="preserve">z toho: výdaje na programy spolufinancované         </w:t>
            </w:r>
          </w:p>
          <w:p w:rsidR="00A52449" w:rsidRPr="00A52449" w:rsidRDefault="00A52449" w:rsidP="002242A2">
            <w:pPr>
              <w:rPr>
                <w:i/>
                <w:sz w:val="20"/>
              </w:rPr>
            </w:pPr>
            <w:r w:rsidRPr="00A52449">
              <w:rPr>
                <w:i/>
                <w:sz w:val="20"/>
              </w:rPr>
              <w:t xml:space="preserve">            z rozpočtu EU v tom:                        </w:t>
            </w:r>
          </w:p>
          <w:p w:rsidR="00A52449" w:rsidRPr="00A52449" w:rsidRDefault="00A52449" w:rsidP="002242A2">
            <w:pPr>
              <w:rPr>
                <w:i/>
                <w:sz w:val="20"/>
              </w:rPr>
            </w:pPr>
            <w:r w:rsidRPr="00A52449">
              <w:rPr>
                <w:i/>
                <w:sz w:val="20"/>
              </w:rPr>
              <w:t xml:space="preserve">                         OP Zaměstnanost</w:t>
            </w:r>
          </w:p>
          <w:p w:rsidR="00A52449" w:rsidRPr="00A52449" w:rsidRDefault="00A52449" w:rsidP="002242A2">
            <w:pPr>
              <w:rPr>
                <w:i/>
                <w:sz w:val="20"/>
              </w:rPr>
            </w:pPr>
            <w:r w:rsidRPr="00A52449">
              <w:rPr>
                <w:i/>
                <w:sz w:val="20"/>
              </w:rPr>
              <w:t xml:space="preserve">                                            v tom: ze SR</w:t>
            </w:r>
          </w:p>
          <w:p w:rsidR="00A52449" w:rsidRPr="00A52449" w:rsidRDefault="00A52449" w:rsidP="002242A2">
            <w:pPr>
              <w:rPr>
                <w:i/>
                <w:sz w:val="20"/>
              </w:rPr>
            </w:pPr>
            <w:r w:rsidRPr="00A52449">
              <w:rPr>
                <w:i/>
                <w:sz w:val="20"/>
              </w:rPr>
              <w:t xml:space="preserve">                                                       z rozpočtu EU               </w:t>
            </w:r>
          </w:p>
          <w:p w:rsidR="00A52449" w:rsidRPr="00A52449" w:rsidRDefault="00A52449" w:rsidP="002242A2">
            <w:pPr>
              <w:rPr>
                <w:i/>
                <w:sz w:val="20"/>
              </w:rPr>
            </w:pPr>
            <w:r w:rsidRPr="00A52449">
              <w:rPr>
                <w:i/>
                <w:sz w:val="20"/>
              </w:rPr>
              <w:t xml:space="preserve">                       OP Doprava 2014-2020</w:t>
            </w:r>
          </w:p>
          <w:p w:rsidR="00A52449" w:rsidRPr="00A52449" w:rsidRDefault="00A52449" w:rsidP="002242A2">
            <w:pPr>
              <w:rPr>
                <w:i/>
                <w:sz w:val="20"/>
              </w:rPr>
            </w:pPr>
            <w:r w:rsidRPr="00A52449">
              <w:rPr>
                <w:i/>
                <w:sz w:val="20"/>
              </w:rPr>
              <w:t xml:space="preserve">                                            v tom: ze SR</w:t>
            </w:r>
          </w:p>
          <w:p w:rsidR="00A52449" w:rsidRPr="00A52449" w:rsidRDefault="00A52449" w:rsidP="002242A2">
            <w:pPr>
              <w:rPr>
                <w:i/>
                <w:sz w:val="20"/>
              </w:rPr>
            </w:pPr>
            <w:r w:rsidRPr="00A52449">
              <w:rPr>
                <w:i/>
                <w:sz w:val="20"/>
              </w:rPr>
              <w:t xml:space="preserve">                                                       z rozpočtu EU</w:t>
            </w:r>
          </w:p>
          <w:p w:rsidR="00A52449" w:rsidRPr="00A52449" w:rsidRDefault="00A52449" w:rsidP="002242A2">
            <w:pPr>
              <w:tabs>
                <w:tab w:val="left" w:pos="1295"/>
              </w:tabs>
              <w:rPr>
                <w:i/>
                <w:sz w:val="20"/>
              </w:rPr>
            </w:pPr>
            <w:r w:rsidRPr="00A52449">
              <w:rPr>
                <w:i/>
                <w:sz w:val="20"/>
              </w:rPr>
              <w:t xml:space="preserve">                      Komunitární programy 2014-2020</w:t>
            </w:r>
          </w:p>
          <w:p w:rsidR="00A52449" w:rsidRPr="00A52449" w:rsidRDefault="00A52449" w:rsidP="002242A2">
            <w:pPr>
              <w:rPr>
                <w:i/>
                <w:sz w:val="20"/>
              </w:rPr>
            </w:pPr>
            <w:r w:rsidRPr="00A52449">
              <w:rPr>
                <w:i/>
                <w:sz w:val="20"/>
              </w:rPr>
              <w:t xml:space="preserve">                     (CEF)</w:t>
            </w:r>
          </w:p>
          <w:p w:rsidR="00A52449" w:rsidRPr="00A52449" w:rsidRDefault="00A52449" w:rsidP="002242A2">
            <w:pPr>
              <w:rPr>
                <w:i/>
                <w:sz w:val="20"/>
              </w:rPr>
            </w:pPr>
            <w:r w:rsidRPr="00A52449">
              <w:rPr>
                <w:i/>
                <w:sz w:val="20"/>
              </w:rPr>
              <w:t xml:space="preserve">                                             v tom: ze SR</w:t>
            </w:r>
          </w:p>
          <w:p w:rsidR="00A52449" w:rsidRPr="00A52449" w:rsidRDefault="00A52449" w:rsidP="002242A2">
            <w:pPr>
              <w:rPr>
                <w:i/>
                <w:sz w:val="20"/>
              </w:rPr>
            </w:pPr>
            <w:r w:rsidRPr="00A52449">
              <w:rPr>
                <w:i/>
                <w:sz w:val="20"/>
              </w:rPr>
              <w:t xml:space="preserve">                                                        z rozpočtu EU</w:t>
            </w:r>
          </w:p>
        </w:tc>
        <w:tc>
          <w:tcPr>
            <w:tcW w:w="783" w:type="pct"/>
            <w:tcBorders>
              <w:bottom w:val="single" w:sz="4" w:space="0" w:color="7F7F7F" w:themeColor="text1" w:themeTint="80"/>
            </w:tcBorders>
            <w:shd w:val="clear" w:color="auto" w:fill="auto"/>
          </w:tcPr>
          <w:p w:rsidR="00A52449" w:rsidRPr="00A52449" w:rsidRDefault="00A52449" w:rsidP="002242A2">
            <w:pPr>
              <w:jc w:val="right"/>
              <w:rPr>
                <w:sz w:val="20"/>
              </w:rPr>
            </w:pPr>
            <w:r w:rsidRPr="00A52449">
              <w:rPr>
                <w:sz w:val="20"/>
              </w:rPr>
              <w:t>6 086</w:t>
            </w:r>
          </w:p>
          <w:p w:rsidR="00A52449" w:rsidRPr="00A52449" w:rsidRDefault="00A52449" w:rsidP="002242A2">
            <w:pPr>
              <w:rPr>
                <w:i/>
                <w:sz w:val="20"/>
              </w:rPr>
            </w:pPr>
          </w:p>
          <w:p w:rsidR="00A52449" w:rsidRPr="00A52449" w:rsidRDefault="00A52449" w:rsidP="002242A2">
            <w:pPr>
              <w:jc w:val="right"/>
              <w:rPr>
                <w:i/>
                <w:sz w:val="20"/>
              </w:rPr>
            </w:pPr>
            <w:r w:rsidRPr="00A52449">
              <w:rPr>
                <w:i/>
                <w:sz w:val="20"/>
              </w:rPr>
              <w:t>1 281</w:t>
            </w:r>
          </w:p>
          <w:p w:rsidR="00A52449" w:rsidRPr="00A52449" w:rsidRDefault="00A52449" w:rsidP="002242A2">
            <w:pPr>
              <w:jc w:val="right"/>
              <w:rPr>
                <w:i/>
                <w:sz w:val="20"/>
                <w:szCs w:val="20"/>
              </w:rPr>
            </w:pPr>
            <w:r w:rsidRPr="00A52449">
              <w:rPr>
                <w:i/>
                <w:sz w:val="20"/>
                <w:szCs w:val="20"/>
              </w:rPr>
              <w:t>12</w:t>
            </w:r>
          </w:p>
          <w:p w:rsidR="00A52449" w:rsidRPr="00A52449" w:rsidRDefault="00A52449" w:rsidP="002242A2">
            <w:pPr>
              <w:jc w:val="right"/>
              <w:rPr>
                <w:i/>
                <w:sz w:val="20"/>
                <w:szCs w:val="20"/>
              </w:rPr>
            </w:pPr>
            <w:r w:rsidRPr="00A52449">
              <w:rPr>
                <w:i/>
                <w:sz w:val="20"/>
                <w:szCs w:val="20"/>
              </w:rPr>
              <w:t>6</w:t>
            </w:r>
          </w:p>
          <w:p w:rsidR="00A52449" w:rsidRPr="00A52449" w:rsidRDefault="00A52449" w:rsidP="002242A2">
            <w:pPr>
              <w:jc w:val="right"/>
              <w:rPr>
                <w:i/>
                <w:sz w:val="20"/>
                <w:szCs w:val="20"/>
              </w:rPr>
            </w:pPr>
            <w:r w:rsidRPr="00A52449">
              <w:rPr>
                <w:i/>
                <w:sz w:val="20"/>
                <w:szCs w:val="20"/>
              </w:rPr>
              <w:t>6</w:t>
            </w:r>
          </w:p>
          <w:p w:rsidR="00A52449" w:rsidRPr="00A52449" w:rsidRDefault="00A52449" w:rsidP="002242A2">
            <w:pPr>
              <w:jc w:val="right"/>
              <w:rPr>
                <w:i/>
                <w:sz w:val="20"/>
                <w:szCs w:val="20"/>
              </w:rPr>
            </w:pPr>
            <w:r w:rsidRPr="00A52449">
              <w:rPr>
                <w:i/>
                <w:sz w:val="20"/>
                <w:szCs w:val="20"/>
              </w:rPr>
              <w:t>1 216</w:t>
            </w:r>
          </w:p>
          <w:p w:rsidR="00A52449" w:rsidRPr="00A52449" w:rsidRDefault="00A52449" w:rsidP="002242A2">
            <w:pPr>
              <w:jc w:val="right"/>
              <w:rPr>
                <w:i/>
                <w:sz w:val="20"/>
                <w:szCs w:val="20"/>
              </w:rPr>
            </w:pPr>
            <w:r w:rsidRPr="00A52449">
              <w:rPr>
                <w:i/>
                <w:sz w:val="20"/>
                <w:szCs w:val="20"/>
              </w:rPr>
              <w:t>182</w:t>
            </w:r>
          </w:p>
          <w:p w:rsidR="00A52449" w:rsidRPr="00A52449" w:rsidRDefault="00A52449" w:rsidP="002242A2">
            <w:pPr>
              <w:jc w:val="right"/>
              <w:rPr>
                <w:i/>
                <w:sz w:val="20"/>
                <w:szCs w:val="20"/>
              </w:rPr>
            </w:pPr>
            <w:r w:rsidRPr="00A52449">
              <w:rPr>
                <w:i/>
                <w:sz w:val="20"/>
                <w:szCs w:val="20"/>
              </w:rPr>
              <w:t xml:space="preserve">1 033                 </w:t>
            </w:r>
          </w:p>
          <w:p w:rsidR="00A52449" w:rsidRPr="00A52449" w:rsidRDefault="00A52449" w:rsidP="002242A2">
            <w:pPr>
              <w:jc w:val="right"/>
              <w:rPr>
                <w:i/>
                <w:sz w:val="20"/>
                <w:szCs w:val="20"/>
              </w:rPr>
            </w:pPr>
          </w:p>
          <w:p w:rsidR="00A52449" w:rsidRPr="00A52449" w:rsidRDefault="00A52449" w:rsidP="002242A2">
            <w:pPr>
              <w:jc w:val="right"/>
              <w:rPr>
                <w:i/>
                <w:sz w:val="20"/>
                <w:szCs w:val="20"/>
              </w:rPr>
            </w:pPr>
            <w:r w:rsidRPr="00A52449">
              <w:rPr>
                <w:i/>
                <w:sz w:val="20"/>
                <w:szCs w:val="20"/>
              </w:rPr>
              <w:t>53</w:t>
            </w:r>
          </w:p>
          <w:p w:rsidR="00A52449" w:rsidRPr="00A52449" w:rsidRDefault="00A52449" w:rsidP="002242A2">
            <w:pPr>
              <w:jc w:val="right"/>
              <w:rPr>
                <w:i/>
                <w:sz w:val="20"/>
                <w:szCs w:val="20"/>
              </w:rPr>
            </w:pPr>
            <w:r w:rsidRPr="00A52449">
              <w:rPr>
                <w:i/>
                <w:sz w:val="20"/>
                <w:szCs w:val="20"/>
              </w:rPr>
              <w:t>10</w:t>
            </w:r>
          </w:p>
          <w:p w:rsidR="00A52449" w:rsidRPr="00A52449" w:rsidRDefault="00A52449" w:rsidP="002242A2">
            <w:pPr>
              <w:jc w:val="right"/>
              <w:rPr>
                <w:i/>
                <w:sz w:val="20"/>
              </w:rPr>
            </w:pPr>
            <w:r w:rsidRPr="00A52449">
              <w:rPr>
                <w:i/>
                <w:sz w:val="20"/>
                <w:szCs w:val="20"/>
              </w:rPr>
              <w:t xml:space="preserve">43  </w:t>
            </w:r>
            <w:r w:rsidRPr="00A52449">
              <w:rPr>
                <w:i/>
                <w:sz w:val="20"/>
              </w:rPr>
              <w:t xml:space="preserve"> </w:t>
            </w:r>
          </w:p>
        </w:tc>
        <w:tc>
          <w:tcPr>
            <w:tcW w:w="705" w:type="pct"/>
            <w:tcBorders>
              <w:bottom w:val="single" w:sz="4" w:space="0" w:color="7F7F7F" w:themeColor="text1" w:themeTint="80"/>
            </w:tcBorders>
            <w:shd w:val="clear" w:color="auto" w:fill="auto"/>
          </w:tcPr>
          <w:p w:rsidR="00A52449" w:rsidRPr="00A52449" w:rsidRDefault="00A52449" w:rsidP="002242A2">
            <w:pPr>
              <w:jc w:val="right"/>
              <w:rPr>
                <w:sz w:val="20"/>
              </w:rPr>
            </w:pPr>
            <w:r w:rsidRPr="00A52449">
              <w:rPr>
                <w:sz w:val="20"/>
              </w:rPr>
              <w:t>5 942</w:t>
            </w:r>
          </w:p>
          <w:p w:rsidR="00A52449" w:rsidRPr="00A52449" w:rsidRDefault="00A52449" w:rsidP="002242A2">
            <w:pPr>
              <w:rPr>
                <w:i/>
                <w:sz w:val="20"/>
              </w:rPr>
            </w:pPr>
          </w:p>
          <w:p w:rsidR="00A52449" w:rsidRPr="00A52449" w:rsidRDefault="00A52449" w:rsidP="002242A2">
            <w:pPr>
              <w:jc w:val="right"/>
              <w:rPr>
                <w:i/>
                <w:sz w:val="20"/>
              </w:rPr>
            </w:pPr>
            <w:r w:rsidRPr="00A52449">
              <w:rPr>
                <w:i/>
                <w:sz w:val="20"/>
              </w:rPr>
              <w:t xml:space="preserve">      1 108</w:t>
            </w:r>
          </w:p>
          <w:p w:rsidR="00A52449" w:rsidRPr="00A52449" w:rsidRDefault="00A52449" w:rsidP="002242A2">
            <w:pPr>
              <w:jc w:val="right"/>
              <w:rPr>
                <w:i/>
                <w:sz w:val="20"/>
              </w:rPr>
            </w:pPr>
            <w:r w:rsidRPr="00A52449">
              <w:rPr>
                <w:i/>
                <w:sz w:val="20"/>
              </w:rPr>
              <w:t>15</w:t>
            </w:r>
          </w:p>
          <w:p w:rsidR="00A52449" w:rsidRPr="00A52449" w:rsidRDefault="00A52449" w:rsidP="002242A2">
            <w:pPr>
              <w:jc w:val="right"/>
              <w:rPr>
                <w:i/>
                <w:sz w:val="20"/>
              </w:rPr>
            </w:pPr>
            <w:r w:rsidRPr="00A52449">
              <w:rPr>
                <w:i/>
                <w:sz w:val="20"/>
              </w:rPr>
              <w:t>8</w:t>
            </w:r>
          </w:p>
          <w:p w:rsidR="00A52449" w:rsidRPr="00A52449" w:rsidRDefault="00A52449" w:rsidP="002242A2">
            <w:pPr>
              <w:jc w:val="right"/>
              <w:rPr>
                <w:i/>
                <w:sz w:val="20"/>
              </w:rPr>
            </w:pPr>
            <w:r w:rsidRPr="00A52449">
              <w:rPr>
                <w:i/>
                <w:sz w:val="20"/>
              </w:rPr>
              <w:t>8</w:t>
            </w:r>
          </w:p>
          <w:p w:rsidR="00A52449" w:rsidRPr="00A52449" w:rsidRDefault="00A52449" w:rsidP="002242A2">
            <w:pPr>
              <w:jc w:val="right"/>
              <w:rPr>
                <w:i/>
                <w:sz w:val="20"/>
              </w:rPr>
            </w:pPr>
            <w:r w:rsidRPr="00A52449">
              <w:rPr>
                <w:i/>
                <w:sz w:val="20"/>
              </w:rPr>
              <w:t>1 032</w:t>
            </w:r>
          </w:p>
          <w:p w:rsidR="00A52449" w:rsidRPr="00A52449" w:rsidRDefault="00A52449" w:rsidP="002242A2">
            <w:pPr>
              <w:jc w:val="right"/>
              <w:rPr>
                <w:i/>
                <w:sz w:val="20"/>
              </w:rPr>
            </w:pPr>
            <w:r w:rsidRPr="00A52449">
              <w:rPr>
                <w:i/>
                <w:sz w:val="20"/>
              </w:rPr>
              <w:t>158</w:t>
            </w:r>
          </w:p>
          <w:p w:rsidR="00A52449" w:rsidRPr="00A52449" w:rsidRDefault="00A52449" w:rsidP="002242A2">
            <w:pPr>
              <w:jc w:val="right"/>
              <w:rPr>
                <w:i/>
                <w:sz w:val="20"/>
              </w:rPr>
            </w:pPr>
            <w:r w:rsidRPr="00A52449">
              <w:rPr>
                <w:i/>
                <w:sz w:val="20"/>
              </w:rPr>
              <w:t>874</w:t>
            </w:r>
          </w:p>
          <w:p w:rsidR="00A52449" w:rsidRPr="00A52449" w:rsidRDefault="00A52449" w:rsidP="002242A2">
            <w:pPr>
              <w:jc w:val="right"/>
              <w:rPr>
                <w:i/>
                <w:sz w:val="20"/>
              </w:rPr>
            </w:pPr>
          </w:p>
          <w:p w:rsidR="00A52449" w:rsidRPr="00A52449" w:rsidRDefault="00A52449" w:rsidP="002242A2">
            <w:pPr>
              <w:jc w:val="right"/>
              <w:rPr>
                <w:i/>
                <w:sz w:val="20"/>
              </w:rPr>
            </w:pPr>
            <w:r w:rsidRPr="00A52449">
              <w:rPr>
                <w:i/>
                <w:sz w:val="20"/>
              </w:rPr>
              <w:t>61</w:t>
            </w:r>
          </w:p>
          <w:p w:rsidR="00A52449" w:rsidRPr="00A52449" w:rsidRDefault="00A52449" w:rsidP="002242A2">
            <w:pPr>
              <w:jc w:val="right"/>
              <w:rPr>
                <w:i/>
                <w:sz w:val="20"/>
              </w:rPr>
            </w:pPr>
            <w:r w:rsidRPr="00A52449">
              <w:rPr>
                <w:i/>
                <w:sz w:val="20"/>
              </w:rPr>
              <w:t>13</w:t>
            </w:r>
          </w:p>
          <w:p w:rsidR="00A52449" w:rsidRPr="00A52449" w:rsidRDefault="00A52449" w:rsidP="002242A2">
            <w:pPr>
              <w:jc w:val="right"/>
              <w:rPr>
                <w:i/>
                <w:sz w:val="20"/>
              </w:rPr>
            </w:pPr>
            <w:r w:rsidRPr="00A52449">
              <w:rPr>
                <w:i/>
                <w:sz w:val="20"/>
              </w:rPr>
              <w:t>48</w:t>
            </w:r>
          </w:p>
        </w:tc>
        <w:tc>
          <w:tcPr>
            <w:tcW w:w="667" w:type="pct"/>
            <w:tcBorders>
              <w:bottom w:val="single" w:sz="4" w:space="0" w:color="7F7F7F" w:themeColor="text1" w:themeTint="80"/>
            </w:tcBorders>
            <w:shd w:val="clear" w:color="auto" w:fill="auto"/>
          </w:tcPr>
          <w:p w:rsidR="00A52449" w:rsidRPr="00A52449" w:rsidRDefault="00A52449" w:rsidP="002242A2">
            <w:pPr>
              <w:jc w:val="right"/>
              <w:rPr>
                <w:sz w:val="20"/>
              </w:rPr>
            </w:pPr>
            <w:r w:rsidRPr="00A52449">
              <w:rPr>
                <w:sz w:val="20"/>
              </w:rPr>
              <w:t>6 076</w:t>
            </w:r>
          </w:p>
          <w:p w:rsidR="00A52449" w:rsidRPr="00A52449" w:rsidRDefault="00A52449" w:rsidP="002242A2">
            <w:pPr>
              <w:rPr>
                <w:i/>
                <w:sz w:val="20"/>
              </w:rPr>
            </w:pPr>
          </w:p>
          <w:p w:rsidR="00A52449" w:rsidRPr="00A52449" w:rsidRDefault="00A52449" w:rsidP="002242A2">
            <w:pPr>
              <w:jc w:val="right"/>
              <w:rPr>
                <w:i/>
                <w:sz w:val="20"/>
              </w:rPr>
            </w:pPr>
            <w:r w:rsidRPr="00A52449">
              <w:rPr>
                <w:i/>
                <w:sz w:val="20"/>
              </w:rPr>
              <w:t xml:space="preserve">      1 170</w:t>
            </w:r>
          </w:p>
          <w:p w:rsidR="00A52449" w:rsidRPr="00A52449" w:rsidRDefault="00A52449" w:rsidP="002242A2">
            <w:pPr>
              <w:jc w:val="right"/>
              <w:rPr>
                <w:i/>
                <w:sz w:val="20"/>
              </w:rPr>
            </w:pPr>
            <w:r w:rsidRPr="00A52449">
              <w:rPr>
                <w:i/>
                <w:sz w:val="20"/>
              </w:rPr>
              <w:t>0</w:t>
            </w:r>
          </w:p>
          <w:p w:rsidR="00A52449" w:rsidRPr="00A52449" w:rsidRDefault="00A52449" w:rsidP="002242A2">
            <w:pPr>
              <w:jc w:val="right"/>
              <w:rPr>
                <w:i/>
                <w:sz w:val="20"/>
              </w:rPr>
            </w:pPr>
            <w:r w:rsidRPr="00A52449">
              <w:rPr>
                <w:i/>
                <w:sz w:val="20"/>
              </w:rPr>
              <w:t>0</w:t>
            </w:r>
          </w:p>
          <w:p w:rsidR="00A52449" w:rsidRPr="00A52449" w:rsidRDefault="00A52449" w:rsidP="002242A2">
            <w:pPr>
              <w:jc w:val="right"/>
              <w:rPr>
                <w:i/>
                <w:sz w:val="20"/>
              </w:rPr>
            </w:pPr>
            <w:r w:rsidRPr="00A52449">
              <w:rPr>
                <w:i/>
                <w:sz w:val="20"/>
              </w:rPr>
              <w:t>0</w:t>
            </w:r>
          </w:p>
          <w:p w:rsidR="00A52449" w:rsidRPr="00A52449" w:rsidRDefault="00A52449" w:rsidP="002242A2">
            <w:pPr>
              <w:jc w:val="right"/>
              <w:rPr>
                <w:i/>
                <w:sz w:val="20"/>
              </w:rPr>
            </w:pPr>
            <w:r w:rsidRPr="00A52449">
              <w:rPr>
                <w:i/>
                <w:sz w:val="20"/>
              </w:rPr>
              <w:t>1 109</w:t>
            </w:r>
          </w:p>
          <w:p w:rsidR="00A52449" w:rsidRPr="00A52449" w:rsidRDefault="00A52449" w:rsidP="002242A2">
            <w:pPr>
              <w:jc w:val="right"/>
              <w:rPr>
                <w:i/>
                <w:sz w:val="20"/>
              </w:rPr>
            </w:pPr>
            <w:r w:rsidRPr="00A52449">
              <w:rPr>
                <w:i/>
                <w:sz w:val="20"/>
              </w:rPr>
              <w:t>166</w:t>
            </w:r>
          </w:p>
          <w:p w:rsidR="00A52449" w:rsidRPr="00A52449" w:rsidRDefault="00A52449" w:rsidP="002242A2">
            <w:pPr>
              <w:jc w:val="right"/>
              <w:rPr>
                <w:i/>
                <w:sz w:val="20"/>
              </w:rPr>
            </w:pPr>
            <w:r w:rsidRPr="00A52449">
              <w:rPr>
                <w:i/>
                <w:sz w:val="20"/>
              </w:rPr>
              <w:t>943</w:t>
            </w:r>
          </w:p>
          <w:p w:rsidR="00A52449" w:rsidRPr="00A52449" w:rsidRDefault="00A52449" w:rsidP="002242A2">
            <w:pPr>
              <w:jc w:val="right"/>
              <w:rPr>
                <w:i/>
                <w:sz w:val="20"/>
              </w:rPr>
            </w:pPr>
          </w:p>
          <w:p w:rsidR="00A52449" w:rsidRPr="00A52449" w:rsidRDefault="00A52449" w:rsidP="002242A2">
            <w:pPr>
              <w:jc w:val="right"/>
              <w:rPr>
                <w:i/>
                <w:sz w:val="20"/>
              </w:rPr>
            </w:pPr>
            <w:r w:rsidRPr="00A52449">
              <w:rPr>
                <w:i/>
                <w:sz w:val="20"/>
              </w:rPr>
              <w:t>61</w:t>
            </w:r>
          </w:p>
          <w:p w:rsidR="00A52449" w:rsidRPr="00A52449" w:rsidRDefault="00A52449" w:rsidP="002242A2">
            <w:pPr>
              <w:jc w:val="right"/>
              <w:rPr>
                <w:i/>
                <w:sz w:val="20"/>
              </w:rPr>
            </w:pPr>
            <w:r w:rsidRPr="00A52449">
              <w:rPr>
                <w:i/>
                <w:sz w:val="20"/>
              </w:rPr>
              <w:t>4</w:t>
            </w:r>
          </w:p>
          <w:p w:rsidR="00A52449" w:rsidRPr="00A52449" w:rsidRDefault="00A52449" w:rsidP="002242A2">
            <w:pPr>
              <w:jc w:val="right"/>
              <w:rPr>
                <w:i/>
                <w:sz w:val="20"/>
              </w:rPr>
            </w:pPr>
            <w:r w:rsidRPr="00A52449">
              <w:rPr>
                <w:i/>
                <w:sz w:val="20"/>
              </w:rPr>
              <w:t>57</w:t>
            </w:r>
          </w:p>
        </w:tc>
        <w:tc>
          <w:tcPr>
            <w:tcW w:w="502" w:type="pct"/>
            <w:tcBorders>
              <w:bottom w:val="single" w:sz="4" w:space="0" w:color="7F7F7F" w:themeColor="text1" w:themeTint="80"/>
            </w:tcBorders>
            <w:shd w:val="clear" w:color="auto" w:fill="auto"/>
          </w:tcPr>
          <w:p w:rsidR="00A52449" w:rsidRPr="00A52449" w:rsidRDefault="00A52449" w:rsidP="002242A2">
            <w:pPr>
              <w:jc w:val="right"/>
              <w:rPr>
                <w:sz w:val="20"/>
              </w:rPr>
            </w:pPr>
            <w:r w:rsidRPr="00A52449">
              <w:rPr>
                <w:sz w:val="20"/>
              </w:rPr>
              <w:t>102,26</w:t>
            </w:r>
          </w:p>
          <w:p w:rsidR="00A52449" w:rsidRPr="00A52449" w:rsidRDefault="00A52449" w:rsidP="002242A2">
            <w:pPr>
              <w:rPr>
                <w:sz w:val="20"/>
              </w:rPr>
            </w:pPr>
          </w:p>
          <w:p w:rsidR="00A52449" w:rsidRPr="00A52449" w:rsidRDefault="00A52449" w:rsidP="002242A2">
            <w:pPr>
              <w:jc w:val="right"/>
              <w:rPr>
                <w:i/>
                <w:sz w:val="20"/>
              </w:rPr>
            </w:pPr>
            <w:r w:rsidRPr="00A52449">
              <w:rPr>
                <w:i/>
                <w:sz w:val="20"/>
              </w:rPr>
              <w:t>105,60</w:t>
            </w:r>
          </w:p>
          <w:p w:rsidR="00A52449" w:rsidRPr="00A52449" w:rsidRDefault="00A52449" w:rsidP="002242A2">
            <w:pPr>
              <w:jc w:val="right"/>
              <w:rPr>
                <w:i/>
                <w:sz w:val="20"/>
              </w:rPr>
            </w:pPr>
            <w:r w:rsidRPr="00A52449">
              <w:rPr>
                <w:i/>
                <w:sz w:val="20"/>
              </w:rPr>
              <w:t>0,00</w:t>
            </w:r>
          </w:p>
          <w:p w:rsidR="00A52449" w:rsidRPr="00A52449" w:rsidRDefault="00A52449" w:rsidP="002242A2">
            <w:pPr>
              <w:jc w:val="right"/>
              <w:rPr>
                <w:i/>
                <w:sz w:val="20"/>
              </w:rPr>
            </w:pPr>
            <w:r w:rsidRPr="00A52449">
              <w:rPr>
                <w:i/>
                <w:sz w:val="20"/>
              </w:rPr>
              <w:t>0,00</w:t>
            </w:r>
          </w:p>
          <w:p w:rsidR="00A52449" w:rsidRPr="00A52449" w:rsidRDefault="00A52449" w:rsidP="002242A2">
            <w:pPr>
              <w:jc w:val="right"/>
              <w:rPr>
                <w:i/>
                <w:sz w:val="20"/>
              </w:rPr>
            </w:pPr>
            <w:r w:rsidRPr="00A52449">
              <w:rPr>
                <w:i/>
                <w:sz w:val="20"/>
              </w:rPr>
              <w:t>0,00</w:t>
            </w:r>
          </w:p>
          <w:p w:rsidR="00A52449" w:rsidRPr="00A52449" w:rsidRDefault="00A52449" w:rsidP="002242A2">
            <w:pPr>
              <w:jc w:val="right"/>
              <w:rPr>
                <w:i/>
                <w:sz w:val="20"/>
              </w:rPr>
            </w:pPr>
            <w:r w:rsidRPr="00A52449">
              <w:rPr>
                <w:i/>
                <w:sz w:val="20"/>
              </w:rPr>
              <w:t>107,46</w:t>
            </w:r>
          </w:p>
          <w:p w:rsidR="00A52449" w:rsidRPr="00A52449" w:rsidRDefault="00A52449" w:rsidP="002242A2">
            <w:pPr>
              <w:jc w:val="right"/>
              <w:rPr>
                <w:i/>
                <w:sz w:val="20"/>
              </w:rPr>
            </w:pPr>
            <w:r w:rsidRPr="00A52449">
              <w:rPr>
                <w:i/>
                <w:sz w:val="20"/>
              </w:rPr>
              <w:t>105,06</w:t>
            </w:r>
          </w:p>
          <w:p w:rsidR="00A52449" w:rsidRPr="00A52449" w:rsidRDefault="00A52449" w:rsidP="002242A2">
            <w:pPr>
              <w:jc w:val="right"/>
              <w:rPr>
                <w:i/>
                <w:sz w:val="20"/>
              </w:rPr>
            </w:pPr>
            <w:r w:rsidRPr="00A52449">
              <w:rPr>
                <w:i/>
                <w:sz w:val="20"/>
              </w:rPr>
              <w:t>107,89</w:t>
            </w:r>
          </w:p>
          <w:p w:rsidR="00A52449" w:rsidRPr="00A52449" w:rsidRDefault="00A52449" w:rsidP="002242A2">
            <w:pPr>
              <w:jc w:val="right"/>
              <w:rPr>
                <w:i/>
                <w:sz w:val="20"/>
              </w:rPr>
            </w:pPr>
            <w:r w:rsidRPr="00A52449">
              <w:rPr>
                <w:i/>
                <w:sz w:val="20"/>
              </w:rPr>
              <w:t xml:space="preserve">  </w:t>
            </w:r>
          </w:p>
          <w:p w:rsidR="00A52449" w:rsidRPr="00A52449" w:rsidRDefault="00A52449" w:rsidP="002242A2">
            <w:pPr>
              <w:jc w:val="right"/>
              <w:rPr>
                <w:i/>
                <w:sz w:val="20"/>
              </w:rPr>
            </w:pPr>
            <w:r w:rsidRPr="00A52449">
              <w:rPr>
                <w:i/>
                <w:sz w:val="20"/>
              </w:rPr>
              <w:t xml:space="preserve"> 100,00</w:t>
            </w:r>
          </w:p>
          <w:p w:rsidR="00A52449" w:rsidRPr="00A52449" w:rsidRDefault="00A52449" w:rsidP="002242A2">
            <w:pPr>
              <w:jc w:val="right"/>
              <w:rPr>
                <w:b/>
                <w:sz w:val="20"/>
              </w:rPr>
            </w:pPr>
            <w:r w:rsidRPr="00A52449">
              <w:rPr>
                <w:i/>
                <w:sz w:val="20"/>
              </w:rPr>
              <w:t>30,77      118,75</w:t>
            </w:r>
          </w:p>
        </w:tc>
      </w:tr>
      <w:tr w:rsidR="00A52449" w:rsidRPr="003C1676" w:rsidTr="00980C65">
        <w:trPr>
          <w:trHeight w:val="70"/>
          <w:jc w:val="right"/>
        </w:trPr>
        <w:tc>
          <w:tcPr>
            <w:tcW w:w="2344" w:type="pct"/>
            <w:tcBorders>
              <w:top w:val="single" w:sz="4" w:space="0" w:color="7F7F7F" w:themeColor="text1" w:themeTint="80"/>
              <w:bottom w:val="nil"/>
            </w:tcBorders>
            <w:shd w:val="clear" w:color="auto" w:fill="auto"/>
          </w:tcPr>
          <w:p w:rsidR="00A52449" w:rsidRPr="00A52449" w:rsidRDefault="00A52449" w:rsidP="002242A2">
            <w:pPr>
              <w:rPr>
                <w:sz w:val="20"/>
              </w:rPr>
            </w:pPr>
            <w:r w:rsidRPr="00A52449">
              <w:rPr>
                <w:sz w:val="20"/>
              </w:rPr>
              <w:t>ostatní neinvestiční výdaje (bez položky 5193)</w:t>
            </w:r>
          </w:p>
        </w:tc>
        <w:tc>
          <w:tcPr>
            <w:tcW w:w="783" w:type="pct"/>
            <w:tcBorders>
              <w:top w:val="single" w:sz="4" w:space="0" w:color="7F7F7F" w:themeColor="text1" w:themeTint="80"/>
              <w:bottom w:val="nil"/>
            </w:tcBorders>
            <w:shd w:val="clear" w:color="auto" w:fill="auto"/>
          </w:tcPr>
          <w:p w:rsidR="00A52449" w:rsidRPr="00A52449" w:rsidRDefault="00A52449" w:rsidP="002242A2">
            <w:pPr>
              <w:jc w:val="right"/>
              <w:rPr>
                <w:sz w:val="20"/>
              </w:rPr>
            </w:pPr>
            <w:r w:rsidRPr="00A52449">
              <w:rPr>
                <w:sz w:val="20"/>
              </w:rPr>
              <w:t>6 351 751</w:t>
            </w:r>
          </w:p>
        </w:tc>
        <w:tc>
          <w:tcPr>
            <w:tcW w:w="705" w:type="pct"/>
            <w:tcBorders>
              <w:top w:val="single" w:sz="4" w:space="0" w:color="7F7F7F" w:themeColor="text1" w:themeTint="80"/>
              <w:bottom w:val="nil"/>
            </w:tcBorders>
            <w:shd w:val="clear" w:color="auto" w:fill="auto"/>
          </w:tcPr>
          <w:p w:rsidR="00A52449" w:rsidRPr="00A52449" w:rsidRDefault="00A52449" w:rsidP="002242A2">
            <w:pPr>
              <w:jc w:val="right"/>
              <w:rPr>
                <w:sz w:val="20"/>
              </w:rPr>
            </w:pPr>
            <w:r w:rsidRPr="00A52449">
              <w:rPr>
                <w:sz w:val="20"/>
              </w:rPr>
              <w:t xml:space="preserve">4 794 847 </w:t>
            </w:r>
          </w:p>
        </w:tc>
        <w:tc>
          <w:tcPr>
            <w:tcW w:w="667" w:type="pct"/>
            <w:tcBorders>
              <w:top w:val="single" w:sz="4" w:space="0" w:color="7F7F7F" w:themeColor="text1" w:themeTint="80"/>
              <w:bottom w:val="nil"/>
            </w:tcBorders>
            <w:shd w:val="clear" w:color="auto" w:fill="auto"/>
          </w:tcPr>
          <w:p w:rsidR="00A52449" w:rsidRPr="00A52449" w:rsidRDefault="00A52449" w:rsidP="002242A2">
            <w:pPr>
              <w:jc w:val="right"/>
              <w:rPr>
                <w:sz w:val="20"/>
              </w:rPr>
            </w:pPr>
            <w:r w:rsidRPr="00A52449">
              <w:rPr>
                <w:sz w:val="20"/>
              </w:rPr>
              <w:t xml:space="preserve">6 770 873 </w:t>
            </w:r>
          </w:p>
        </w:tc>
        <w:tc>
          <w:tcPr>
            <w:tcW w:w="502" w:type="pct"/>
            <w:tcBorders>
              <w:top w:val="single" w:sz="4" w:space="0" w:color="7F7F7F" w:themeColor="text1" w:themeTint="80"/>
              <w:bottom w:val="nil"/>
            </w:tcBorders>
            <w:shd w:val="clear" w:color="auto" w:fill="auto"/>
          </w:tcPr>
          <w:p w:rsidR="00A52449" w:rsidRPr="00A52449" w:rsidRDefault="00A52449" w:rsidP="002242A2">
            <w:pPr>
              <w:jc w:val="right"/>
              <w:rPr>
                <w:sz w:val="20"/>
              </w:rPr>
            </w:pPr>
            <w:r w:rsidRPr="00A52449">
              <w:rPr>
                <w:sz w:val="20"/>
              </w:rPr>
              <w:t xml:space="preserve"> 141,21</w:t>
            </w:r>
          </w:p>
        </w:tc>
      </w:tr>
      <w:tr w:rsidR="00A52449" w:rsidRPr="003C1676" w:rsidTr="002242A2">
        <w:trPr>
          <w:trHeight w:val="228"/>
          <w:jc w:val="right"/>
        </w:trPr>
        <w:tc>
          <w:tcPr>
            <w:tcW w:w="2344" w:type="pct"/>
            <w:tcBorders>
              <w:top w:val="nil"/>
              <w:bottom w:val="nil"/>
            </w:tcBorders>
            <w:shd w:val="clear" w:color="auto" w:fill="auto"/>
          </w:tcPr>
          <w:p w:rsidR="00A52449" w:rsidRPr="00A52449" w:rsidRDefault="00A52449" w:rsidP="002242A2">
            <w:pPr>
              <w:jc w:val="left"/>
              <w:rPr>
                <w:i/>
                <w:sz w:val="20"/>
              </w:rPr>
            </w:pPr>
            <w:r w:rsidRPr="00A52449">
              <w:rPr>
                <w:i/>
                <w:sz w:val="20"/>
              </w:rPr>
              <w:t>z toho: dopravně správní agendy (nákup materiálu)</w:t>
            </w:r>
          </w:p>
          <w:p w:rsidR="00A52449" w:rsidRPr="00A52449" w:rsidRDefault="00A52449" w:rsidP="002242A2">
            <w:pPr>
              <w:rPr>
                <w:i/>
                <w:sz w:val="20"/>
              </w:rPr>
            </w:pPr>
            <w:r w:rsidRPr="00A52449">
              <w:rPr>
                <w:i/>
                <w:sz w:val="20"/>
              </w:rPr>
              <w:t xml:space="preserve">            kompenzace slev jízdného </w:t>
            </w:r>
          </w:p>
        </w:tc>
        <w:tc>
          <w:tcPr>
            <w:tcW w:w="783" w:type="pct"/>
            <w:tcBorders>
              <w:top w:val="nil"/>
              <w:bottom w:val="nil"/>
            </w:tcBorders>
            <w:shd w:val="clear" w:color="auto" w:fill="auto"/>
          </w:tcPr>
          <w:p w:rsidR="00A52449" w:rsidRPr="00A52449" w:rsidRDefault="00A52449" w:rsidP="002242A2">
            <w:pPr>
              <w:jc w:val="right"/>
              <w:rPr>
                <w:i/>
                <w:sz w:val="20"/>
                <w:szCs w:val="20"/>
              </w:rPr>
            </w:pPr>
            <w:r w:rsidRPr="00A52449">
              <w:rPr>
                <w:i/>
                <w:sz w:val="20"/>
                <w:szCs w:val="20"/>
              </w:rPr>
              <w:t xml:space="preserve">         </w:t>
            </w:r>
          </w:p>
          <w:p w:rsidR="00A52449" w:rsidRPr="00A52449" w:rsidRDefault="00A52449" w:rsidP="002242A2">
            <w:pPr>
              <w:jc w:val="right"/>
              <w:rPr>
                <w:i/>
                <w:sz w:val="20"/>
                <w:szCs w:val="20"/>
              </w:rPr>
            </w:pPr>
            <w:r w:rsidRPr="00A52449">
              <w:rPr>
                <w:i/>
                <w:sz w:val="20"/>
                <w:szCs w:val="20"/>
              </w:rPr>
              <w:t>217 359</w:t>
            </w:r>
          </w:p>
          <w:p w:rsidR="00A52449" w:rsidRPr="00A52449" w:rsidRDefault="00A52449" w:rsidP="002242A2">
            <w:pPr>
              <w:jc w:val="right"/>
              <w:rPr>
                <w:i/>
                <w:sz w:val="20"/>
                <w:szCs w:val="20"/>
              </w:rPr>
            </w:pPr>
            <w:r w:rsidRPr="00A52449">
              <w:rPr>
                <w:i/>
                <w:sz w:val="20"/>
                <w:szCs w:val="20"/>
              </w:rPr>
              <w:t>5 761 452</w:t>
            </w:r>
          </w:p>
        </w:tc>
        <w:tc>
          <w:tcPr>
            <w:tcW w:w="705" w:type="pct"/>
            <w:tcBorders>
              <w:top w:val="nil"/>
              <w:bottom w:val="nil"/>
            </w:tcBorders>
            <w:shd w:val="clear" w:color="auto" w:fill="auto"/>
          </w:tcPr>
          <w:p w:rsidR="00A52449" w:rsidRPr="00A52449" w:rsidRDefault="00A52449" w:rsidP="002242A2">
            <w:pPr>
              <w:jc w:val="right"/>
              <w:rPr>
                <w:i/>
                <w:sz w:val="20"/>
              </w:rPr>
            </w:pPr>
          </w:p>
          <w:p w:rsidR="00A52449" w:rsidRPr="00A52449" w:rsidRDefault="00A52449" w:rsidP="002242A2">
            <w:pPr>
              <w:jc w:val="right"/>
              <w:rPr>
                <w:i/>
                <w:sz w:val="20"/>
              </w:rPr>
            </w:pPr>
            <w:r w:rsidRPr="00A52449">
              <w:rPr>
                <w:i/>
                <w:sz w:val="20"/>
              </w:rPr>
              <w:t>280 000</w:t>
            </w:r>
          </w:p>
          <w:p w:rsidR="00A52449" w:rsidRPr="00A52449" w:rsidRDefault="00A52449" w:rsidP="002242A2">
            <w:pPr>
              <w:jc w:val="right"/>
              <w:rPr>
                <w:i/>
                <w:sz w:val="20"/>
              </w:rPr>
            </w:pPr>
            <w:r w:rsidRPr="00A52449">
              <w:rPr>
                <w:i/>
                <w:sz w:val="20"/>
              </w:rPr>
              <w:t>4 000 000</w:t>
            </w:r>
          </w:p>
        </w:tc>
        <w:tc>
          <w:tcPr>
            <w:tcW w:w="667" w:type="pct"/>
            <w:tcBorders>
              <w:top w:val="nil"/>
              <w:bottom w:val="nil"/>
            </w:tcBorders>
            <w:shd w:val="clear" w:color="auto" w:fill="auto"/>
          </w:tcPr>
          <w:p w:rsidR="00A52449" w:rsidRPr="00A52449" w:rsidRDefault="00A52449" w:rsidP="002242A2">
            <w:pPr>
              <w:jc w:val="right"/>
              <w:rPr>
                <w:i/>
                <w:sz w:val="20"/>
              </w:rPr>
            </w:pPr>
          </w:p>
          <w:p w:rsidR="00A52449" w:rsidRPr="00A52449" w:rsidRDefault="00A52449" w:rsidP="002242A2">
            <w:pPr>
              <w:jc w:val="right"/>
              <w:rPr>
                <w:i/>
                <w:sz w:val="20"/>
              </w:rPr>
            </w:pPr>
            <w:r w:rsidRPr="00A52449">
              <w:rPr>
                <w:i/>
                <w:sz w:val="20"/>
              </w:rPr>
              <w:t>280 000</w:t>
            </w:r>
          </w:p>
          <w:p w:rsidR="00A52449" w:rsidRPr="00A52449" w:rsidRDefault="00A52449" w:rsidP="002242A2">
            <w:pPr>
              <w:jc w:val="right"/>
              <w:rPr>
                <w:i/>
                <w:sz w:val="20"/>
              </w:rPr>
            </w:pPr>
            <w:r w:rsidRPr="00A52449">
              <w:rPr>
                <w:i/>
                <w:sz w:val="20"/>
              </w:rPr>
              <w:t>6 000 000</w:t>
            </w:r>
          </w:p>
        </w:tc>
        <w:tc>
          <w:tcPr>
            <w:tcW w:w="502" w:type="pct"/>
            <w:tcBorders>
              <w:top w:val="nil"/>
              <w:bottom w:val="nil"/>
            </w:tcBorders>
            <w:shd w:val="clear" w:color="auto" w:fill="auto"/>
          </w:tcPr>
          <w:p w:rsidR="00A52449" w:rsidRPr="00A52449" w:rsidRDefault="00A52449" w:rsidP="002242A2">
            <w:pPr>
              <w:jc w:val="right"/>
              <w:rPr>
                <w:i/>
                <w:sz w:val="20"/>
              </w:rPr>
            </w:pPr>
          </w:p>
          <w:p w:rsidR="00A52449" w:rsidRPr="00A52449" w:rsidRDefault="00A52449" w:rsidP="002242A2">
            <w:pPr>
              <w:jc w:val="right"/>
              <w:rPr>
                <w:i/>
                <w:sz w:val="20"/>
              </w:rPr>
            </w:pPr>
            <w:r w:rsidRPr="00A52449">
              <w:rPr>
                <w:i/>
                <w:sz w:val="20"/>
              </w:rPr>
              <w:t>100,00 150,00</w:t>
            </w:r>
          </w:p>
        </w:tc>
      </w:tr>
      <w:tr w:rsidR="00A52449" w:rsidRPr="003C1676" w:rsidTr="007D2A71">
        <w:trPr>
          <w:trHeight w:val="228"/>
          <w:jc w:val="right"/>
        </w:trPr>
        <w:tc>
          <w:tcPr>
            <w:tcW w:w="2344" w:type="pct"/>
            <w:tcBorders>
              <w:top w:val="nil"/>
              <w:bottom w:val="single" w:sz="4" w:space="0" w:color="auto"/>
            </w:tcBorders>
            <w:shd w:val="clear" w:color="auto" w:fill="auto"/>
          </w:tcPr>
          <w:p w:rsidR="00A52449" w:rsidRPr="00A52449" w:rsidRDefault="00A52449" w:rsidP="002242A2">
            <w:pPr>
              <w:rPr>
                <w:i/>
                <w:sz w:val="20"/>
              </w:rPr>
            </w:pPr>
            <w:r w:rsidRPr="00A52449">
              <w:rPr>
                <w:i/>
                <w:sz w:val="20"/>
              </w:rPr>
              <w:t xml:space="preserve">            programové financování (EDS/SMVS)</w:t>
            </w:r>
          </w:p>
        </w:tc>
        <w:tc>
          <w:tcPr>
            <w:tcW w:w="783" w:type="pct"/>
            <w:tcBorders>
              <w:top w:val="nil"/>
              <w:bottom w:val="single" w:sz="4" w:space="0" w:color="auto"/>
            </w:tcBorders>
            <w:shd w:val="clear" w:color="auto" w:fill="auto"/>
          </w:tcPr>
          <w:p w:rsidR="00A52449" w:rsidRPr="00A52449" w:rsidRDefault="00A52449" w:rsidP="002242A2">
            <w:pPr>
              <w:jc w:val="right"/>
              <w:rPr>
                <w:i/>
                <w:sz w:val="20"/>
                <w:szCs w:val="20"/>
              </w:rPr>
            </w:pPr>
            <w:r w:rsidRPr="00A52449">
              <w:rPr>
                <w:i/>
                <w:sz w:val="20"/>
                <w:szCs w:val="20"/>
              </w:rPr>
              <w:t>71 015</w:t>
            </w:r>
          </w:p>
        </w:tc>
        <w:tc>
          <w:tcPr>
            <w:tcW w:w="705" w:type="pct"/>
            <w:tcBorders>
              <w:top w:val="nil"/>
              <w:bottom w:val="single" w:sz="4" w:space="0" w:color="auto"/>
            </w:tcBorders>
            <w:shd w:val="clear" w:color="auto" w:fill="auto"/>
          </w:tcPr>
          <w:p w:rsidR="00A52449" w:rsidRPr="00A52449" w:rsidRDefault="00A52449" w:rsidP="002242A2">
            <w:pPr>
              <w:jc w:val="right"/>
              <w:rPr>
                <w:i/>
                <w:sz w:val="20"/>
              </w:rPr>
            </w:pPr>
            <w:r w:rsidRPr="00A52449">
              <w:rPr>
                <w:i/>
                <w:sz w:val="20"/>
              </w:rPr>
              <w:t>79 355</w:t>
            </w:r>
          </w:p>
        </w:tc>
        <w:tc>
          <w:tcPr>
            <w:tcW w:w="667" w:type="pct"/>
            <w:tcBorders>
              <w:top w:val="nil"/>
              <w:bottom w:val="single" w:sz="4" w:space="0" w:color="auto"/>
            </w:tcBorders>
            <w:shd w:val="clear" w:color="auto" w:fill="auto"/>
          </w:tcPr>
          <w:p w:rsidR="00A52449" w:rsidRPr="00A52449" w:rsidRDefault="00A52449" w:rsidP="002242A2">
            <w:pPr>
              <w:jc w:val="right"/>
              <w:rPr>
                <w:i/>
                <w:sz w:val="20"/>
              </w:rPr>
            </w:pPr>
            <w:r w:rsidRPr="00A52449">
              <w:rPr>
                <w:i/>
                <w:sz w:val="20"/>
              </w:rPr>
              <w:t>84 414</w:t>
            </w:r>
          </w:p>
        </w:tc>
        <w:tc>
          <w:tcPr>
            <w:tcW w:w="502" w:type="pct"/>
            <w:tcBorders>
              <w:top w:val="nil"/>
              <w:bottom w:val="single" w:sz="4" w:space="0" w:color="auto"/>
            </w:tcBorders>
            <w:shd w:val="clear" w:color="auto" w:fill="auto"/>
          </w:tcPr>
          <w:p w:rsidR="00A52449" w:rsidRPr="00A52449" w:rsidRDefault="00A52449" w:rsidP="002242A2">
            <w:pPr>
              <w:jc w:val="right"/>
              <w:rPr>
                <w:i/>
                <w:sz w:val="20"/>
              </w:rPr>
            </w:pPr>
            <w:r w:rsidRPr="00A52449">
              <w:rPr>
                <w:i/>
                <w:sz w:val="20"/>
              </w:rPr>
              <w:t>106,38</w:t>
            </w:r>
          </w:p>
        </w:tc>
      </w:tr>
      <w:tr w:rsidR="00A52449" w:rsidRPr="003C1676" w:rsidTr="007D2A71">
        <w:trPr>
          <w:trHeight w:val="243"/>
          <w:jc w:val="right"/>
        </w:trPr>
        <w:tc>
          <w:tcPr>
            <w:tcW w:w="2344" w:type="pct"/>
            <w:tcBorders>
              <w:top w:val="single" w:sz="4" w:space="0" w:color="auto"/>
              <w:bottom w:val="nil"/>
            </w:tcBorders>
            <w:shd w:val="clear" w:color="auto" w:fill="auto"/>
          </w:tcPr>
          <w:p w:rsidR="00A52449" w:rsidRPr="00A52449" w:rsidRDefault="00A52449" w:rsidP="002242A2">
            <w:pPr>
              <w:rPr>
                <w:i/>
                <w:sz w:val="20"/>
              </w:rPr>
            </w:pPr>
            <w:r w:rsidRPr="00A52449">
              <w:rPr>
                <w:i/>
                <w:sz w:val="20"/>
              </w:rPr>
              <w:lastRenderedPageBreak/>
              <w:t xml:space="preserve">            výdaje na programy spolufinancované  </w:t>
            </w:r>
          </w:p>
        </w:tc>
        <w:tc>
          <w:tcPr>
            <w:tcW w:w="783" w:type="pct"/>
            <w:tcBorders>
              <w:top w:val="single" w:sz="4" w:space="0" w:color="auto"/>
              <w:bottom w:val="nil"/>
            </w:tcBorders>
            <w:shd w:val="clear" w:color="auto" w:fill="auto"/>
          </w:tcPr>
          <w:p w:rsidR="00A52449" w:rsidRPr="00A52449" w:rsidRDefault="00A52449" w:rsidP="002242A2">
            <w:pPr>
              <w:jc w:val="right"/>
              <w:rPr>
                <w:i/>
                <w:sz w:val="20"/>
              </w:rPr>
            </w:pPr>
          </w:p>
        </w:tc>
        <w:tc>
          <w:tcPr>
            <w:tcW w:w="705" w:type="pct"/>
            <w:tcBorders>
              <w:top w:val="single" w:sz="4" w:space="0" w:color="auto"/>
              <w:bottom w:val="nil"/>
            </w:tcBorders>
            <w:shd w:val="clear" w:color="auto" w:fill="auto"/>
          </w:tcPr>
          <w:p w:rsidR="00A52449" w:rsidRPr="00A52449" w:rsidRDefault="00A52449" w:rsidP="002242A2">
            <w:pPr>
              <w:jc w:val="right"/>
              <w:rPr>
                <w:i/>
                <w:sz w:val="20"/>
              </w:rPr>
            </w:pPr>
          </w:p>
        </w:tc>
        <w:tc>
          <w:tcPr>
            <w:tcW w:w="667" w:type="pct"/>
            <w:tcBorders>
              <w:top w:val="single" w:sz="4" w:space="0" w:color="auto"/>
              <w:bottom w:val="nil"/>
            </w:tcBorders>
            <w:shd w:val="clear" w:color="auto" w:fill="auto"/>
          </w:tcPr>
          <w:p w:rsidR="00A52449" w:rsidRPr="00A52449" w:rsidRDefault="00A52449" w:rsidP="002242A2">
            <w:pPr>
              <w:jc w:val="right"/>
              <w:rPr>
                <w:i/>
                <w:sz w:val="20"/>
              </w:rPr>
            </w:pPr>
          </w:p>
        </w:tc>
        <w:tc>
          <w:tcPr>
            <w:tcW w:w="502" w:type="pct"/>
            <w:tcBorders>
              <w:top w:val="single" w:sz="4" w:space="0" w:color="auto"/>
              <w:bottom w:val="nil"/>
            </w:tcBorders>
            <w:shd w:val="clear" w:color="auto" w:fill="auto"/>
          </w:tcPr>
          <w:p w:rsidR="00A52449" w:rsidRPr="00A52449" w:rsidRDefault="00A52449" w:rsidP="002242A2">
            <w:pPr>
              <w:jc w:val="right"/>
              <w:rPr>
                <w:i/>
                <w:sz w:val="20"/>
              </w:rPr>
            </w:pPr>
          </w:p>
        </w:tc>
      </w:tr>
      <w:tr w:rsidR="00A52449" w:rsidRPr="003C1676" w:rsidTr="002242A2">
        <w:trPr>
          <w:trHeight w:val="243"/>
          <w:jc w:val="right"/>
        </w:trPr>
        <w:tc>
          <w:tcPr>
            <w:tcW w:w="2344" w:type="pct"/>
            <w:tcBorders>
              <w:top w:val="nil"/>
              <w:bottom w:val="nil"/>
            </w:tcBorders>
            <w:shd w:val="clear" w:color="auto" w:fill="auto"/>
          </w:tcPr>
          <w:p w:rsidR="00A52449" w:rsidRPr="00A52449" w:rsidRDefault="00A52449" w:rsidP="002242A2">
            <w:pPr>
              <w:rPr>
                <w:i/>
                <w:sz w:val="20"/>
              </w:rPr>
            </w:pPr>
            <w:r w:rsidRPr="00A52449">
              <w:rPr>
                <w:i/>
                <w:sz w:val="20"/>
              </w:rPr>
              <w:t xml:space="preserve">            z rozpočtu EU v tom:</w:t>
            </w:r>
          </w:p>
        </w:tc>
        <w:tc>
          <w:tcPr>
            <w:tcW w:w="783" w:type="pct"/>
            <w:tcBorders>
              <w:top w:val="nil"/>
              <w:bottom w:val="nil"/>
            </w:tcBorders>
            <w:shd w:val="clear" w:color="auto" w:fill="auto"/>
          </w:tcPr>
          <w:p w:rsidR="00A52449" w:rsidRPr="00A52449" w:rsidRDefault="00A52449" w:rsidP="002242A2">
            <w:pPr>
              <w:jc w:val="right"/>
              <w:rPr>
                <w:i/>
                <w:sz w:val="20"/>
                <w:szCs w:val="20"/>
              </w:rPr>
            </w:pPr>
            <w:r w:rsidRPr="00A52449">
              <w:rPr>
                <w:i/>
                <w:sz w:val="20"/>
                <w:szCs w:val="20"/>
              </w:rPr>
              <w:t>12 847</w:t>
            </w:r>
          </w:p>
        </w:tc>
        <w:tc>
          <w:tcPr>
            <w:tcW w:w="705" w:type="pct"/>
            <w:tcBorders>
              <w:top w:val="nil"/>
              <w:bottom w:val="nil"/>
            </w:tcBorders>
            <w:shd w:val="clear" w:color="auto" w:fill="auto"/>
          </w:tcPr>
          <w:p w:rsidR="00A52449" w:rsidRPr="00A52449" w:rsidRDefault="00A52449" w:rsidP="002242A2">
            <w:pPr>
              <w:jc w:val="right"/>
              <w:rPr>
                <w:i/>
                <w:sz w:val="20"/>
              </w:rPr>
            </w:pPr>
            <w:r w:rsidRPr="00A52449">
              <w:rPr>
                <w:i/>
                <w:sz w:val="20"/>
              </w:rPr>
              <w:t xml:space="preserve"> 18 112</w:t>
            </w:r>
          </w:p>
        </w:tc>
        <w:tc>
          <w:tcPr>
            <w:tcW w:w="667" w:type="pct"/>
            <w:tcBorders>
              <w:top w:val="nil"/>
              <w:bottom w:val="nil"/>
            </w:tcBorders>
            <w:shd w:val="clear" w:color="auto" w:fill="auto"/>
          </w:tcPr>
          <w:p w:rsidR="00A52449" w:rsidRPr="00A52449" w:rsidRDefault="00A52449" w:rsidP="002242A2">
            <w:pPr>
              <w:jc w:val="right"/>
              <w:rPr>
                <w:i/>
                <w:sz w:val="20"/>
              </w:rPr>
            </w:pPr>
            <w:r w:rsidRPr="00A52449">
              <w:rPr>
                <w:i/>
                <w:sz w:val="20"/>
              </w:rPr>
              <w:t xml:space="preserve"> 6 859</w:t>
            </w:r>
          </w:p>
        </w:tc>
        <w:tc>
          <w:tcPr>
            <w:tcW w:w="502" w:type="pct"/>
            <w:tcBorders>
              <w:top w:val="nil"/>
              <w:bottom w:val="nil"/>
            </w:tcBorders>
            <w:shd w:val="clear" w:color="auto" w:fill="auto"/>
          </w:tcPr>
          <w:p w:rsidR="00A52449" w:rsidRPr="00A52449" w:rsidRDefault="00A52449" w:rsidP="002242A2">
            <w:pPr>
              <w:jc w:val="right"/>
              <w:rPr>
                <w:i/>
                <w:sz w:val="20"/>
              </w:rPr>
            </w:pPr>
            <w:r w:rsidRPr="00A52449">
              <w:rPr>
                <w:i/>
                <w:sz w:val="20"/>
              </w:rPr>
              <w:t xml:space="preserve">37,87 </w:t>
            </w:r>
          </w:p>
        </w:tc>
      </w:tr>
      <w:tr w:rsidR="00A52449" w:rsidRPr="003C1676" w:rsidTr="002242A2">
        <w:trPr>
          <w:trHeight w:val="243"/>
          <w:jc w:val="right"/>
        </w:trPr>
        <w:tc>
          <w:tcPr>
            <w:tcW w:w="2344" w:type="pct"/>
            <w:tcBorders>
              <w:top w:val="nil"/>
              <w:bottom w:val="nil"/>
            </w:tcBorders>
            <w:shd w:val="clear" w:color="auto" w:fill="auto"/>
          </w:tcPr>
          <w:p w:rsidR="00A52449" w:rsidRPr="00A52449" w:rsidRDefault="00A52449" w:rsidP="002242A2">
            <w:pPr>
              <w:rPr>
                <w:i/>
                <w:sz w:val="20"/>
              </w:rPr>
            </w:pPr>
            <w:r w:rsidRPr="00A52449">
              <w:rPr>
                <w:i/>
                <w:sz w:val="20"/>
              </w:rPr>
              <w:t xml:space="preserve">                        OP Zaměstnanost</w:t>
            </w:r>
          </w:p>
        </w:tc>
        <w:tc>
          <w:tcPr>
            <w:tcW w:w="783" w:type="pct"/>
            <w:tcBorders>
              <w:top w:val="nil"/>
              <w:bottom w:val="nil"/>
            </w:tcBorders>
            <w:shd w:val="clear" w:color="auto" w:fill="auto"/>
          </w:tcPr>
          <w:p w:rsidR="00A52449" w:rsidRPr="00A52449" w:rsidRDefault="00A52449" w:rsidP="002242A2">
            <w:pPr>
              <w:jc w:val="right"/>
              <w:rPr>
                <w:i/>
                <w:sz w:val="20"/>
                <w:szCs w:val="20"/>
              </w:rPr>
            </w:pPr>
            <w:r w:rsidRPr="00A52449">
              <w:rPr>
                <w:i/>
                <w:sz w:val="20"/>
                <w:szCs w:val="20"/>
              </w:rPr>
              <w:t>86</w:t>
            </w:r>
          </w:p>
        </w:tc>
        <w:tc>
          <w:tcPr>
            <w:tcW w:w="705" w:type="pct"/>
            <w:tcBorders>
              <w:top w:val="nil"/>
              <w:bottom w:val="nil"/>
            </w:tcBorders>
            <w:shd w:val="clear" w:color="auto" w:fill="auto"/>
          </w:tcPr>
          <w:p w:rsidR="00A52449" w:rsidRPr="00A52449" w:rsidRDefault="00A52449" w:rsidP="002242A2">
            <w:pPr>
              <w:jc w:val="right"/>
              <w:rPr>
                <w:i/>
                <w:sz w:val="20"/>
              </w:rPr>
            </w:pPr>
            <w:r w:rsidRPr="00A52449">
              <w:rPr>
                <w:i/>
                <w:sz w:val="20"/>
              </w:rPr>
              <w:t>0</w:t>
            </w:r>
          </w:p>
        </w:tc>
        <w:tc>
          <w:tcPr>
            <w:tcW w:w="667" w:type="pct"/>
            <w:tcBorders>
              <w:top w:val="nil"/>
              <w:bottom w:val="nil"/>
            </w:tcBorders>
            <w:shd w:val="clear" w:color="auto" w:fill="auto"/>
          </w:tcPr>
          <w:p w:rsidR="00A52449" w:rsidRPr="00A52449" w:rsidRDefault="00A52449" w:rsidP="002242A2">
            <w:pPr>
              <w:jc w:val="right"/>
              <w:rPr>
                <w:i/>
                <w:sz w:val="20"/>
              </w:rPr>
            </w:pPr>
            <w:r w:rsidRPr="00A52449">
              <w:rPr>
                <w:i/>
                <w:sz w:val="20"/>
              </w:rPr>
              <w:t>0</w:t>
            </w:r>
          </w:p>
        </w:tc>
        <w:tc>
          <w:tcPr>
            <w:tcW w:w="502" w:type="pct"/>
            <w:tcBorders>
              <w:top w:val="nil"/>
              <w:bottom w:val="nil"/>
            </w:tcBorders>
            <w:shd w:val="clear" w:color="auto" w:fill="auto"/>
          </w:tcPr>
          <w:p w:rsidR="00A52449" w:rsidRPr="00A52449" w:rsidRDefault="00A52449" w:rsidP="002242A2">
            <w:pPr>
              <w:jc w:val="right"/>
              <w:rPr>
                <w:i/>
                <w:sz w:val="20"/>
              </w:rPr>
            </w:pPr>
            <w:r w:rsidRPr="00A52449">
              <w:rPr>
                <w:i/>
                <w:sz w:val="20"/>
              </w:rPr>
              <w:t>0,00</w:t>
            </w:r>
          </w:p>
        </w:tc>
      </w:tr>
      <w:tr w:rsidR="00A52449" w:rsidRPr="003C1676" w:rsidTr="002242A2">
        <w:trPr>
          <w:trHeight w:val="243"/>
          <w:jc w:val="right"/>
        </w:trPr>
        <w:tc>
          <w:tcPr>
            <w:tcW w:w="2344" w:type="pct"/>
            <w:tcBorders>
              <w:top w:val="nil"/>
              <w:bottom w:val="nil"/>
            </w:tcBorders>
            <w:shd w:val="clear" w:color="auto" w:fill="auto"/>
          </w:tcPr>
          <w:p w:rsidR="00A52449" w:rsidRPr="00A52449" w:rsidRDefault="00A52449" w:rsidP="002242A2">
            <w:pPr>
              <w:rPr>
                <w:i/>
                <w:sz w:val="20"/>
              </w:rPr>
            </w:pPr>
            <w:r w:rsidRPr="00A52449">
              <w:rPr>
                <w:i/>
                <w:sz w:val="20"/>
              </w:rPr>
              <w:t xml:space="preserve">                                            v tom: ze SR</w:t>
            </w:r>
          </w:p>
        </w:tc>
        <w:tc>
          <w:tcPr>
            <w:tcW w:w="783" w:type="pct"/>
            <w:tcBorders>
              <w:top w:val="nil"/>
              <w:bottom w:val="nil"/>
            </w:tcBorders>
            <w:shd w:val="clear" w:color="auto" w:fill="auto"/>
          </w:tcPr>
          <w:p w:rsidR="00A52449" w:rsidRPr="00A52449" w:rsidRDefault="00A52449" w:rsidP="002242A2">
            <w:pPr>
              <w:jc w:val="right"/>
              <w:rPr>
                <w:i/>
                <w:sz w:val="20"/>
                <w:szCs w:val="20"/>
              </w:rPr>
            </w:pPr>
            <w:r w:rsidRPr="00A52449">
              <w:rPr>
                <w:i/>
                <w:sz w:val="20"/>
                <w:szCs w:val="20"/>
              </w:rPr>
              <w:t>43</w:t>
            </w:r>
          </w:p>
        </w:tc>
        <w:tc>
          <w:tcPr>
            <w:tcW w:w="705" w:type="pct"/>
            <w:tcBorders>
              <w:top w:val="nil"/>
              <w:bottom w:val="nil"/>
            </w:tcBorders>
            <w:shd w:val="clear" w:color="auto" w:fill="auto"/>
          </w:tcPr>
          <w:p w:rsidR="00A52449" w:rsidRPr="00A52449" w:rsidRDefault="00A52449" w:rsidP="002242A2">
            <w:pPr>
              <w:jc w:val="right"/>
              <w:rPr>
                <w:i/>
                <w:sz w:val="20"/>
              </w:rPr>
            </w:pPr>
            <w:r w:rsidRPr="00A52449">
              <w:rPr>
                <w:i/>
                <w:sz w:val="20"/>
              </w:rPr>
              <w:t>0</w:t>
            </w:r>
          </w:p>
        </w:tc>
        <w:tc>
          <w:tcPr>
            <w:tcW w:w="667" w:type="pct"/>
            <w:tcBorders>
              <w:top w:val="nil"/>
              <w:bottom w:val="nil"/>
            </w:tcBorders>
            <w:shd w:val="clear" w:color="auto" w:fill="auto"/>
          </w:tcPr>
          <w:p w:rsidR="00A52449" w:rsidRPr="00A52449" w:rsidRDefault="00A52449" w:rsidP="002242A2">
            <w:pPr>
              <w:jc w:val="right"/>
              <w:rPr>
                <w:i/>
                <w:sz w:val="20"/>
              </w:rPr>
            </w:pPr>
            <w:r w:rsidRPr="00A52449">
              <w:rPr>
                <w:i/>
                <w:sz w:val="20"/>
              </w:rPr>
              <w:t>0</w:t>
            </w:r>
          </w:p>
        </w:tc>
        <w:tc>
          <w:tcPr>
            <w:tcW w:w="502" w:type="pct"/>
            <w:tcBorders>
              <w:top w:val="nil"/>
              <w:bottom w:val="nil"/>
            </w:tcBorders>
            <w:shd w:val="clear" w:color="auto" w:fill="auto"/>
          </w:tcPr>
          <w:p w:rsidR="00A52449" w:rsidRPr="00A52449" w:rsidRDefault="00A52449" w:rsidP="002242A2">
            <w:pPr>
              <w:jc w:val="right"/>
              <w:rPr>
                <w:i/>
                <w:sz w:val="20"/>
              </w:rPr>
            </w:pPr>
            <w:r w:rsidRPr="00A52449">
              <w:rPr>
                <w:i/>
                <w:sz w:val="20"/>
              </w:rPr>
              <w:t>0,00</w:t>
            </w:r>
          </w:p>
        </w:tc>
      </w:tr>
      <w:tr w:rsidR="00A52449" w:rsidRPr="003C1676" w:rsidTr="002242A2">
        <w:trPr>
          <w:trHeight w:val="243"/>
          <w:jc w:val="right"/>
        </w:trPr>
        <w:tc>
          <w:tcPr>
            <w:tcW w:w="2344" w:type="pct"/>
            <w:tcBorders>
              <w:top w:val="nil"/>
              <w:bottom w:val="nil"/>
            </w:tcBorders>
            <w:shd w:val="clear" w:color="auto" w:fill="auto"/>
          </w:tcPr>
          <w:p w:rsidR="00A52449" w:rsidRPr="00A52449" w:rsidRDefault="00A52449" w:rsidP="002242A2">
            <w:pPr>
              <w:tabs>
                <w:tab w:val="left" w:pos="1295"/>
              </w:tabs>
              <w:rPr>
                <w:i/>
                <w:sz w:val="20"/>
              </w:rPr>
            </w:pPr>
            <w:r w:rsidRPr="00A52449">
              <w:rPr>
                <w:i/>
                <w:sz w:val="20"/>
              </w:rPr>
              <w:t xml:space="preserve">                                                       z rozpočtu EU</w:t>
            </w:r>
          </w:p>
        </w:tc>
        <w:tc>
          <w:tcPr>
            <w:tcW w:w="783" w:type="pct"/>
            <w:tcBorders>
              <w:top w:val="nil"/>
              <w:bottom w:val="nil"/>
            </w:tcBorders>
            <w:shd w:val="clear" w:color="auto" w:fill="auto"/>
          </w:tcPr>
          <w:p w:rsidR="00A52449" w:rsidRPr="00A52449" w:rsidRDefault="00A52449" w:rsidP="002242A2">
            <w:pPr>
              <w:jc w:val="right"/>
              <w:rPr>
                <w:i/>
                <w:sz w:val="20"/>
                <w:szCs w:val="20"/>
              </w:rPr>
            </w:pPr>
            <w:r w:rsidRPr="00A52449">
              <w:rPr>
                <w:i/>
                <w:sz w:val="20"/>
                <w:szCs w:val="20"/>
              </w:rPr>
              <w:t>43</w:t>
            </w:r>
          </w:p>
        </w:tc>
        <w:tc>
          <w:tcPr>
            <w:tcW w:w="705" w:type="pct"/>
            <w:tcBorders>
              <w:top w:val="nil"/>
              <w:bottom w:val="nil"/>
            </w:tcBorders>
            <w:shd w:val="clear" w:color="auto" w:fill="auto"/>
          </w:tcPr>
          <w:p w:rsidR="00A52449" w:rsidRPr="00A52449" w:rsidRDefault="00A52449" w:rsidP="002242A2">
            <w:pPr>
              <w:jc w:val="right"/>
              <w:rPr>
                <w:i/>
                <w:sz w:val="20"/>
              </w:rPr>
            </w:pPr>
            <w:r w:rsidRPr="00A52449">
              <w:rPr>
                <w:i/>
                <w:sz w:val="20"/>
              </w:rPr>
              <w:t>0</w:t>
            </w:r>
          </w:p>
        </w:tc>
        <w:tc>
          <w:tcPr>
            <w:tcW w:w="667" w:type="pct"/>
            <w:tcBorders>
              <w:top w:val="nil"/>
              <w:bottom w:val="nil"/>
            </w:tcBorders>
            <w:shd w:val="clear" w:color="auto" w:fill="auto"/>
          </w:tcPr>
          <w:p w:rsidR="00A52449" w:rsidRPr="00A52449" w:rsidRDefault="00A52449" w:rsidP="002242A2">
            <w:pPr>
              <w:jc w:val="right"/>
              <w:rPr>
                <w:i/>
                <w:sz w:val="20"/>
              </w:rPr>
            </w:pPr>
            <w:r w:rsidRPr="00A52449">
              <w:rPr>
                <w:i/>
                <w:sz w:val="20"/>
              </w:rPr>
              <w:t>0</w:t>
            </w:r>
          </w:p>
        </w:tc>
        <w:tc>
          <w:tcPr>
            <w:tcW w:w="502" w:type="pct"/>
            <w:tcBorders>
              <w:top w:val="nil"/>
              <w:bottom w:val="nil"/>
            </w:tcBorders>
            <w:shd w:val="clear" w:color="auto" w:fill="auto"/>
          </w:tcPr>
          <w:p w:rsidR="00A52449" w:rsidRPr="00A52449" w:rsidRDefault="00A52449" w:rsidP="002242A2">
            <w:pPr>
              <w:jc w:val="right"/>
              <w:rPr>
                <w:i/>
                <w:sz w:val="20"/>
              </w:rPr>
            </w:pPr>
            <w:r w:rsidRPr="00A52449">
              <w:rPr>
                <w:i/>
                <w:sz w:val="20"/>
              </w:rPr>
              <w:t>0,00</w:t>
            </w:r>
          </w:p>
        </w:tc>
      </w:tr>
      <w:tr w:rsidR="00A52449" w:rsidRPr="003C1676" w:rsidTr="002242A2">
        <w:trPr>
          <w:trHeight w:val="243"/>
          <w:jc w:val="right"/>
        </w:trPr>
        <w:tc>
          <w:tcPr>
            <w:tcW w:w="2344" w:type="pct"/>
            <w:tcBorders>
              <w:top w:val="nil"/>
              <w:bottom w:val="nil"/>
            </w:tcBorders>
            <w:shd w:val="clear" w:color="auto" w:fill="auto"/>
          </w:tcPr>
          <w:p w:rsidR="00A52449" w:rsidRPr="00A52449" w:rsidRDefault="00A52449" w:rsidP="002242A2">
            <w:pPr>
              <w:rPr>
                <w:i/>
                <w:sz w:val="20"/>
              </w:rPr>
            </w:pPr>
            <w:r w:rsidRPr="00A52449">
              <w:rPr>
                <w:i/>
                <w:sz w:val="20"/>
              </w:rPr>
              <w:t xml:space="preserve">                        OP Doprava 2014-2020</w:t>
            </w:r>
          </w:p>
        </w:tc>
        <w:tc>
          <w:tcPr>
            <w:tcW w:w="783" w:type="pct"/>
            <w:tcBorders>
              <w:top w:val="nil"/>
              <w:bottom w:val="nil"/>
            </w:tcBorders>
            <w:shd w:val="clear" w:color="auto" w:fill="auto"/>
          </w:tcPr>
          <w:p w:rsidR="00A52449" w:rsidRPr="00A52449" w:rsidRDefault="00A52449" w:rsidP="002242A2">
            <w:pPr>
              <w:jc w:val="right"/>
              <w:rPr>
                <w:i/>
                <w:sz w:val="20"/>
                <w:szCs w:val="20"/>
              </w:rPr>
            </w:pPr>
            <w:r w:rsidRPr="00A52449">
              <w:rPr>
                <w:i/>
                <w:sz w:val="20"/>
                <w:szCs w:val="20"/>
              </w:rPr>
              <w:t>11 376</w:t>
            </w:r>
          </w:p>
        </w:tc>
        <w:tc>
          <w:tcPr>
            <w:tcW w:w="705" w:type="pct"/>
            <w:tcBorders>
              <w:top w:val="nil"/>
              <w:bottom w:val="nil"/>
            </w:tcBorders>
            <w:shd w:val="clear" w:color="auto" w:fill="auto"/>
          </w:tcPr>
          <w:p w:rsidR="00A52449" w:rsidRPr="00A52449" w:rsidRDefault="00A52449" w:rsidP="002242A2">
            <w:pPr>
              <w:jc w:val="right"/>
              <w:rPr>
                <w:i/>
                <w:sz w:val="20"/>
              </w:rPr>
            </w:pPr>
            <w:r w:rsidRPr="00A52449">
              <w:rPr>
                <w:i/>
                <w:sz w:val="20"/>
              </w:rPr>
              <w:t xml:space="preserve">     8 320</w:t>
            </w:r>
          </w:p>
        </w:tc>
        <w:tc>
          <w:tcPr>
            <w:tcW w:w="667" w:type="pct"/>
            <w:tcBorders>
              <w:top w:val="nil"/>
              <w:bottom w:val="nil"/>
            </w:tcBorders>
            <w:shd w:val="clear" w:color="auto" w:fill="auto"/>
          </w:tcPr>
          <w:p w:rsidR="00A52449" w:rsidRPr="00A52449" w:rsidRDefault="00A52449" w:rsidP="002242A2">
            <w:pPr>
              <w:jc w:val="right"/>
              <w:rPr>
                <w:i/>
                <w:sz w:val="20"/>
              </w:rPr>
            </w:pPr>
            <w:r w:rsidRPr="00A52449">
              <w:rPr>
                <w:i/>
                <w:sz w:val="20"/>
              </w:rPr>
              <w:t xml:space="preserve">     3 512</w:t>
            </w:r>
          </w:p>
        </w:tc>
        <w:tc>
          <w:tcPr>
            <w:tcW w:w="502" w:type="pct"/>
            <w:tcBorders>
              <w:top w:val="nil"/>
              <w:bottom w:val="nil"/>
            </w:tcBorders>
            <w:shd w:val="clear" w:color="auto" w:fill="auto"/>
          </w:tcPr>
          <w:p w:rsidR="00A52449" w:rsidRPr="00A52449" w:rsidRDefault="00A52449" w:rsidP="002242A2">
            <w:pPr>
              <w:jc w:val="right"/>
              <w:rPr>
                <w:i/>
                <w:sz w:val="20"/>
              </w:rPr>
            </w:pPr>
            <w:r w:rsidRPr="00A52449">
              <w:rPr>
                <w:i/>
                <w:sz w:val="20"/>
              </w:rPr>
              <w:t>42,21</w:t>
            </w:r>
          </w:p>
        </w:tc>
      </w:tr>
      <w:tr w:rsidR="00A52449" w:rsidRPr="00B44764" w:rsidTr="002242A2">
        <w:trPr>
          <w:trHeight w:val="243"/>
          <w:jc w:val="right"/>
        </w:trPr>
        <w:tc>
          <w:tcPr>
            <w:tcW w:w="2344" w:type="pct"/>
            <w:tcBorders>
              <w:top w:val="nil"/>
              <w:bottom w:val="nil"/>
            </w:tcBorders>
            <w:shd w:val="clear" w:color="auto" w:fill="auto"/>
          </w:tcPr>
          <w:p w:rsidR="00A52449" w:rsidRPr="00A52449" w:rsidRDefault="00A52449" w:rsidP="002242A2">
            <w:pPr>
              <w:rPr>
                <w:i/>
                <w:sz w:val="20"/>
              </w:rPr>
            </w:pPr>
            <w:r w:rsidRPr="00A52449">
              <w:rPr>
                <w:i/>
                <w:sz w:val="20"/>
              </w:rPr>
              <w:t xml:space="preserve">                                            v tom: ze SR</w:t>
            </w:r>
          </w:p>
        </w:tc>
        <w:tc>
          <w:tcPr>
            <w:tcW w:w="783" w:type="pct"/>
            <w:tcBorders>
              <w:top w:val="nil"/>
              <w:bottom w:val="nil"/>
            </w:tcBorders>
            <w:shd w:val="clear" w:color="auto" w:fill="auto"/>
          </w:tcPr>
          <w:p w:rsidR="00A52449" w:rsidRPr="00A52449" w:rsidRDefault="00A52449" w:rsidP="002242A2">
            <w:pPr>
              <w:jc w:val="right"/>
              <w:rPr>
                <w:i/>
                <w:sz w:val="20"/>
                <w:szCs w:val="20"/>
              </w:rPr>
            </w:pPr>
            <w:r w:rsidRPr="00A52449">
              <w:rPr>
                <w:i/>
                <w:sz w:val="20"/>
                <w:szCs w:val="20"/>
              </w:rPr>
              <w:t>1 706</w:t>
            </w:r>
          </w:p>
        </w:tc>
        <w:tc>
          <w:tcPr>
            <w:tcW w:w="705" w:type="pct"/>
            <w:tcBorders>
              <w:top w:val="nil"/>
              <w:bottom w:val="nil"/>
            </w:tcBorders>
            <w:shd w:val="clear" w:color="auto" w:fill="auto"/>
          </w:tcPr>
          <w:p w:rsidR="00A52449" w:rsidRPr="00A52449" w:rsidRDefault="00A52449" w:rsidP="002242A2">
            <w:pPr>
              <w:jc w:val="right"/>
              <w:rPr>
                <w:i/>
                <w:sz w:val="20"/>
              </w:rPr>
            </w:pPr>
            <w:r w:rsidRPr="00A52449">
              <w:rPr>
                <w:i/>
                <w:sz w:val="20"/>
              </w:rPr>
              <w:t>257</w:t>
            </w:r>
          </w:p>
        </w:tc>
        <w:tc>
          <w:tcPr>
            <w:tcW w:w="667" w:type="pct"/>
            <w:tcBorders>
              <w:top w:val="nil"/>
              <w:bottom w:val="nil"/>
            </w:tcBorders>
            <w:shd w:val="clear" w:color="auto" w:fill="auto"/>
          </w:tcPr>
          <w:p w:rsidR="00A52449" w:rsidRPr="00A52449" w:rsidRDefault="00A52449" w:rsidP="002242A2">
            <w:pPr>
              <w:jc w:val="right"/>
              <w:rPr>
                <w:i/>
                <w:sz w:val="20"/>
              </w:rPr>
            </w:pPr>
            <w:r w:rsidRPr="00A52449">
              <w:rPr>
                <w:i/>
                <w:sz w:val="20"/>
              </w:rPr>
              <w:t>527</w:t>
            </w:r>
          </w:p>
        </w:tc>
        <w:tc>
          <w:tcPr>
            <w:tcW w:w="502" w:type="pct"/>
            <w:tcBorders>
              <w:top w:val="nil"/>
              <w:bottom w:val="nil"/>
            </w:tcBorders>
            <w:shd w:val="clear" w:color="auto" w:fill="auto"/>
          </w:tcPr>
          <w:p w:rsidR="00A52449" w:rsidRPr="00A52449" w:rsidRDefault="00A52449" w:rsidP="002242A2">
            <w:pPr>
              <w:jc w:val="right"/>
              <w:rPr>
                <w:i/>
                <w:sz w:val="20"/>
              </w:rPr>
            </w:pPr>
            <w:r w:rsidRPr="00A52449">
              <w:rPr>
                <w:i/>
                <w:sz w:val="20"/>
              </w:rPr>
              <w:t xml:space="preserve">  205,06</w:t>
            </w:r>
          </w:p>
        </w:tc>
      </w:tr>
      <w:tr w:rsidR="00A52449" w:rsidRPr="003C1676" w:rsidTr="002242A2">
        <w:trPr>
          <w:trHeight w:val="243"/>
          <w:jc w:val="right"/>
        </w:trPr>
        <w:tc>
          <w:tcPr>
            <w:tcW w:w="2344" w:type="pct"/>
            <w:tcBorders>
              <w:top w:val="nil"/>
              <w:bottom w:val="nil"/>
            </w:tcBorders>
            <w:shd w:val="clear" w:color="auto" w:fill="auto"/>
          </w:tcPr>
          <w:p w:rsidR="00A52449" w:rsidRPr="00A52449" w:rsidRDefault="00A52449" w:rsidP="002242A2">
            <w:pPr>
              <w:tabs>
                <w:tab w:val="left" w:pos="1295"/>
              </w:tabs>
              <w:rPr>
                <w:i/>
                <w:sz w:val="20"/>
              </w:rPr>
            </w:pPr>
            <w:r w:rsidRPr="00A52449">
              <w:rPr>
                <w:i/>
                <w:sz w:val="20"/>
              </w:rPr>
              <w:t xml:space="preserve">                                                       z rozpočtu EU</w:t>
            </w:r>
          </w:p>
        </w:tc>
        <w:tc>
          <w:tcPr>
            <w:tcW w:w="783" w:type="pct"/>
            <w:tcBorders>
              <w:top w:val="nil"/>
              <w:bottom w:val="nil"/>
            </w:tcBorders>
            <w:shd w:val="clear" w:color="auto" w:fill="auto"/>
          </w:tcPr>
          <w:p w:rsidR="00A52449" w:rsidRPr="00A52449" w:rsidRDefault="00A52449" w:rsidP="002242A2">
            <w:pPr>
              <w:jc w:val="right"/>
              <w:rPr>
                <w:i/>
                <w:sz w:val="20"/>
                <w:szCs w:val="20"/>
              </w:rPr>
            </w:pPr>
            <w:r w:rsidRPr="00A52449">
              <w:rPr>
                <w:i/>
                <w:sz w:val="20"/>
                <w:szCs w:val="20"/>
              </w:rPr>
              <w:t>9 669</w:t>
            </w:r>
          </w:p>
        </w:tc>
        <w:tc>
          <w:tcPr>
            <w:tcW w:w="705" w:type="pct"/>
            <w:tcBorders>
              <w:top w:val="nil"/>
              <w:bottom w:val="nil"/>
            </w:tcBorders>
            <w:shd w:val="clear" w:color="auto" w:fill="auto"/>
          </w:tcPr>
          <w:p w:rsidR="00A52449" w:rsidRPr="00A52449" w:rsidRDefault="00A52449" w:rsidP="002242A2">
            <w:pPr>
              <w:jc w:val="right"/>
              <w:rPr>
                <w:i/>
                <w:sz w:val="20"/>
              </w:rPr>
            </w:pPr>
            <w:r w:rsidRPr="00A52449">
              <w:rPr>
                <w:i/>
                <w:sz w:val="20"/>
              </w:rPr>
              <w:t xml:space="preserve">        8 063</w:t>
            </w:r>
          </w:p>
        </w:tc>
        <w:tc>
          <w:tcPr>
            <w:tcW w:w="667" w:type="pct"/>
            <w:tcBorders>
              <w:top w:val="nil"/>
              <w:bottom w:val="nil"/>
            </w:tcBorders>
            <w:shd w:val="clear" w:color="auto" w:fill="auto"/>
          </w:tcPr>
          <w:p w:rsidR="00A52449" w:rsidRPr="00A52449" w:rsidRDefault="00A52449" w:rsidP="002242A2">
            <w:pPr>
              <w:jc w:val="right"/>
              <w:rPr>
                <w:i/>
                <w:sz w:val="20"/>
              </w:rPr>
            </w:pPr>
            <w:r w:rsidRPr="00A52449">
              <w:rPr>
                <w:i/>
                <w:sz w:val="20"/>
              </w:rPr>
              <w:t xml:space="preserve">        2 985</w:t>
            </w:r>
          </w:p>
        </w:tc>
        <w:tc>
          <w:tcPr>
            <w:tcW w:w="502" w:type="pct"/>
            <w:tcBorders>
              <w:top w:val="nil"/>
              <w:bottom w:val="nil"/>
            </w:tcBorders>
            <w:shd w:val="clear" w:color="auto" w:fill="auto"/>
          </w:tcPr>
          <w:p w:rsidR="00A52449" w:rsidRPr="00A52449" w:rsidRDefault="00A52449" w:rsidP="002242A2">
            <w:pPr>
              <w:jc w:val="right"/>
              <w:rPr>
                <w:i/>
                <w:sz w:val="20"/>
              </w:rPr>
            </w:pPr>
            <w:r w:rsidRPr="00A52449">
              <w:rPr>
                <w:i/>
                <w:sz w:val="20"/>
              </w:rPr>
              <w:t>37,02</w:t>
            </w:r>
          </w:p>
        </w:tc>
      </w:tr>
      <w:tr w:rsidR="00A52449" w:rsidRPr="003C1676" w:rsidTr="002242A2">
        <w:trPr>
          <w:trHeight w:val="243"/>
          <w:jc w:val="right"/>
        </w:trPr>
        <w:tc>
          <w:tcPr>
            <w:tcW w:w="2344" w:type="pct"/>
            <w:tcBorders>
              <w:top w:val="nil"/>
              <w:bottom w:val="single" w:sz="8" w:space="0" w:color="7F7F7F" w:themeColor="text1" w:themeTint="80"/>
            </w:tcBorders>
            <w:shd w:val="clear" w:color="auto" w:fill="auto"/>
          </w:tcPr>
          <w:p w:rsidR="00A52449" w:rsidRPr="00A52449" w:rsidRDefault="00A52449" w:rsidP="002242A2">
            <w:pPr>
              <w:tabs>
                <w:tab w:val="left" w:pos="1295"/>
              </w:tabs>
              <w:jc w:val="center"/>
              <w:rPr>
                <w:i/>
                <w:sz w:val="20"/>
              </w:rPr>
            </w:pPr>
            <w:r w:rsidRPr="00A52449">
              <w:rPr>
                <w:i/>
                <w:sz w:val="20"/>
              </w:rPr>
              <w:t xml:space="preserve">                    Komunitární programy 2014-2020                                                                                                                                                                                                                                                                                                                                                                                                                                                                                                                                                                                                                                                                                                                                                                                                                                                                                                                                                                                                                                                                                                                                                                                                                                                                                                                                                                                                                        (CEF)</w:t>
            </w:r>
          </w:p>
          <w:p w:rsidR="00A52449" w:rsidRPr="00A52449" w:rsidRDefault="00A52449" w:rsidP="002242A2">
            <w:pPr>
              <w:jc w:val="center"/>
              <w:rPr>
                <w:i/>
                <w:sz w:val="20"/>
              </w:rPr>
            </w:pPr>
            <w:r w:rsidRPr="00A52449">
              <w:rPr>
                <w:i/>
                <w:sz w:val="20"/>
              </w:rPr>
              <w:t xml:space="preserve">                         v tom: ze SR</w:t>
            </w:r>
          </w:p>
          <w:p w:rsidR="00A52449" w:rsidRPr="00A52449" w:rsidRDefault="00A52449" w:rsidP="002242A2">
            <w:pPr>
              <w:tabs>
                <w:tab w:val="left" w:pos="1295"/>
              </w:tabs>
              <w:jc w:val="center"/>
              <w:rPr>
                <w:i/>
                <w:sz w:val="20"/>
              </w:rPr>
            </w:pPr>
            <w:r w:rsidRPr="00A52449">
              <w:rPr>
                <w:i/>
                <w:sz w:val="20"/>
              </w:rPr>
              <w:t xml:space="preserve">                                                 z rozpočtu EU</w:t>
            </w:r>
          </w:p>
        </w:tc>
        <w:tc>
          <w:tcPr>
            <w:tcW w:w="783" w:type="pct"/>
            <w:tcBorders>
              <w:top w:val="nil"/>
              <w:bottom w:val="single" w:sz="8" w:space="0" w:color="7F7F7F" w:themeColor="text1" w:themeTint="80"/>
            </w:tcBorders>
            <w:shd w:val="clear" w:color="auto" w:fill="auto"/>
          </w:tcPr>
          <w:p w:rsidR="00A52449" w:rsidRPr="00A52449" w:rsidRDefault="00A52449" w:rsidP="002242A2">
            <w:pPr>
              <w:jc w:val="right"/>
              <w:rPr>
                <w:i/>
                <w:sz w:val="20"/>
                <w:szCs w:val="20"/>
              </w:rPr>
            </w:pPr>
          </w:p>
          <w:p w:rsidR="00A52449" w:rsidRPr="00A52449" w:rsidRDefault="00A52449" w:rsidP="002242A2">
            <w:pPr>
              <w:jc w:val="right"/>
              <w:rPr>
                <w:i/>
                <w:sz w:val="20"/>
                <w:szCs w:val="20"/>
              </w:rPr>
            </w:pPr>
            <w:r w:rsidRPr="00A52449">
              <w:rPr>
                <w:i/>
                <w:sz w:val="20"/>
                <w:szCs w:val="20"/>
              </w:rPr>
              <w:t>1 385</w:t>
            </w:r>
          </w:p>
          <w:p w:rsidR="00A52449" w:rsidRPr="00A52449" w:rsidRDefault="00A52449" w:rsidP="002242A2">
            <w:pPr>
              <w:jc w:val="right"/>
              <w:rPr>
                <w:i/>
                <w:sz w:val="20"/>
                <w:szCs w:val="20"/>
              </w:rPr>
            </w:pPr>
            <w:r w:rsidRPr="00A52449">
              <w:rPr>
                <w:i/>
                <w:sz w:val="20"/>
                <w:szCs w:val="20"/>
              </w:rPr>
              <w:t>324</w:t>
            </w:r>
          </w:p>
          <w:p w:rsidR="00A52449" w:rsidRPr="00A52449" w:rsidRDefault="00A52449" w:rsidP="002242A2">
            <w:pPr>
              <w:jc w:val="right"/>
              <w:rPr>
                <w:i/>
                <w:sz w:val="20"/>
                <w:szCs w:val="20"/>
              </w:rPr>
            </w:pPr>
            <w:r w:rsidRPr="00A52449">
              <w:rPr>
                <w:i/>
                <w:sz w:val="20"/>
                <w:szCs w:val="20"/>
              </w:rPr>
              <w:t>1 060</w:t>
            </w:r>
          </w:p>
        </w:tc>
        <w:tc>
          <w:tcPr>
            <w:tcW w:w="705" w:type="pct"/>
            <w:tcBorders>
              <w:top w:val="nil"/>
              <w:bottom w:val="single" w:sz="8" w:space="0" w:color="7F7F7F" w:themeColor="text1" w:themeTint="80"/>
            </w:tcBorders>
            <w:shd w:val="clear" w:color="auto" w:fill="auto"/>
          </w:tcPr>
          <w:p w:rsidR="00A52449" w:rsidRPr="00A52449" w:rsidRDefault="00A52449" w:rsidP="002242A2">
            <w:pPr>
              <w:jc w:val="right"/>
              <w:rPr>
                <w:i/>
                <w:sz w:val="20"/>
              </w:rPr>
            </w:pPr>
          </w:p>
          <w:p w:rsidR="00A52449" w:rsidRPr="00A52449" w:rsidRDefault="00A52449" w:rsidP="002242A2">
            <w:pPr>
              <w:jc w:val="right"/>
              <w:rPr>
                <w:i/>
                <w:sz w:val="20"/>
              </w:rPr>
            </w:pPr>
            <w:r w:rsidRPr="00A52449">
              <w:rPr>
                <w:i/>
                <w:sz w:val="20"/>
              </w:rPr>
              <w:t xml:space="preserve">       9 792</w:t>
            </w:r>
          </w:p>
          <w:p w:rsidR="00A52449" w:rsidRPr="00A52449" w:rsidRDefault="00A52449" w:rsidP="002242A2">
            <w:pPr>
              <w:jc w:val="right"/>
              <w:rPr>
                <w:i/>
                <w:sz w:val="20"/>
              </w:rPr>
            </w:pPr>
            <w:r w:rsidRPr="00A52449">
              <w:rPr>
                <w:i/>
                <w:sz w:val="20"/>
              </w:rPr>
              <w:t>1 268</w:t>
            </w:r>
          </w:p>
          <w:p w:rsidR="00A52449" w:rsidRPr="00A52449" w:rsidRDefault="00A52449" w:rsidP="002242A2">
            <w:pPr>
              <w:jc w:val="right"/>
              <w:rPr>
                <w:i/>
                <w:sz w:val="20"/>
              </w:rPr>
            </w:pPr>
            <w:r w:rsidRPr="00A52449">
              <w:rPr>
                <w:i/>
                <w:sz w:val="20"/>
              </w:rPr>
              <w:t>8 524</w:t>
            </w:r>
          </w:p>
        </w:tc>
        <w:tc>
          <w:tcPr>
            <w:tcW w:w="667" w:type="pct"/>
            <w:tcBorders>
              <w:top w:val="nil"/>
              <w:bottom w:val="single" w:sz="8" w:space="0" w:color="7F7F7F" w:themeColor="text1" w:themeTint="80"/>
            </w:tcBorders>
            <w:shd w:val="clear" w:color="auto" w:fill="auto"/>
          </w:tcPr>
          <w:p w:rsidR="00A52449" w:rsidRPr="00A52449" w:rsidRDefault="00A52449" w:rsidP="002242A2">
            <w:pPr>
              <w:jc w:val="right"/>
              <w:rPr>
                <w:i/>
                <w:sz w:val="20"/>
              </w:rPr>
            </w:pPr>
          </w:p>
          <w:p w:rsidR="00A52449" w:rsidRPr="00A52449" w:rsidRDefault="00A52449" w:rsidP="002242A2">
            <w:pPr>
              <w:jc w:val="right"/>
              <w:rPr>
                <w:i/>
                <w:sz w:val="20"/>
              </w:rPr>
            </w:pPr>
            <w:r w:rsidRPr="00A52449">
              <w:rPr>
                <w:i/>
                <w:sz w:val="20"/>
              </w:rPr>
              <w:t xml:space="preserve">3 347       </w:t>
            </w:r>
          </w:p>
          <w:p w:rsidR="00A52449" w:rsidRPr="00A52449" w:rsidRDefault="00A52449" w:rsidP="002242A2">
            <w:pPr>
              <w:jc w:val="right"/>
              <w:rPr>
                <w:i/>
                <w:sz w:val="20"/>
              </w:rPr>
            </w:pPr>
            <w:r w:rsidRPr="00A52449">
              <w:rPr>
                <w:i/>
                <w:sz w:val="20"/>
              </w:rPr>
              <w:t>465</w:t>
            </w:r>
          </w:p>
          <w:p w:rsidR="00A52449" w:rsidRPr="00A52449" w:rsidRDefault="00A52449" w:rsidP="002242A2">
            <w:pPr>
              <w:jc w:val="right"/>
              <w:rPr>
                <w:i/>
                <w:sz w:val="20"/>
              </w:rPr>
            </w:pPr>
            <w:r w:rsidRPr="00A52449">
              <w:rPr>
                <w:i/>
                <w:sz w:val="20"/>
              </w:rPr>
              <w:t>2 882</w:t>
            </w:r>
          </w:p>
        </w:tc>
        <w:tc>
          <w:tcPr>
            <w:tcW w:w="502" w:type="pct"/>
            <w:tcBorders>
              <w:top w:val="nil"/>
              <w:bottom w:val="single" w:sz="8" w:space="0" w:color="7F7F7F" w:themeColor="text1" w:themeTint="80"/>
            </w:tcBorders>
            <w:shd w:val="clear" w:color="auto" w:fill="auto"/>
          </w:tcPr>
          <w:p w:rsidR="00A52449" w:rsidRPr="00A52449" w:rsidRDefault="00A52449" w:rsidP="002242A2">
            <w:pPr>
              <w:jc w:val="right"/>
              <w:rPr>
                <w:i/>
                <w:sz w:val="20"/>
              </w:rPr>
            </w:pPr>
          </w:p>
          <w:p w:rsidR="00A52449" w:rsidRPr="00A52449" w:rsidRDefault="00A52449" w:rsidP="002242A2">
            <w:pPr>
              <w:jc w:val="right"/>
              <w:rPr>
                <w:i/>
                <w:sz w:val="20"/>
              </w:rPr>
            </w:pPr>
            <w:r w:rsidRPr="00A52449">
              <w:rPr>
                <w:i/>
                <w:sz w:val="20"/>
              </w:rPr>
              <w:t>34,18</w:t>
            </w:r>
          </w:p>
          <w:p w:rsidR="00A52449" w:rsidRPr="00A52449" w:rsidRDefault="00A52449" w:rsidP="002242A2">
            <w:pPr>
              <w:jc w:val="right"/>
              <w:rPr>
                <w:i/>
                <w:sz w:val="20"/>
              </w:rPr>
            </w:pPr>
            <w:r w:rsidRPr="00A52449">
              <w:rPr>
                <w:i/>
                <w:sz w:val="20"/>
              </w:rPr>
              <w:t xml:space="preserve">  36,67</w:t>
            </w:r>
          </w:p>
          <w:p w:rsidR="00A52449" w:rsidRPr="00A52449" w:rsidRDefault="00A52449" w:rsidP="002242A2">
            <w:pPr>
              <w:jc w:val="right"/>
              <w:rPr>
                <w:i/>
                <w:sz w:val="20"/>
              </w:rPr>
            </w:pPr>
            <w:r w:rsidRPr="00A52449">
              <w:rPr>
                <w:i/>
                <w:sz w:val="20"/>
              </w:rPr>
              <w:t>33,81</w:t>
            </w:r>
          </w:p>
        </w:tc>
      </w:tr>
    </w:tbl>
    <w:p w:rsidR="001B037B" w:rsidRPr="002B78C6" w:rsidRDefault="001B037B" w:rsidP="001B037B">
      <w:pPr>
        <w:pStyle w:val="Styl1"/>
      </w:pPr>
      <w:r w:rsidRPr="002B78C6">
        <w:t xml:space="preserve">Navrhovaný objem běžných výdajů na rok 2021 ve výši 7 197 326 tis. Kč tvoří výdaje na platy zaměstnanců a ostatní platby za provedenou práci a s tím související povinné platby (pojistné </w:t>
      </w:r>
      <w:r w:rsidRPr="002B78C6">
        <w:br/>
        <w:t xml:space="preserve">a příděl FKSP) </w:t>
      </w:r>
      <w:r w:rsidRPr="00717DC1">
        <w:t xml:space="preserve">ve výši 426 453 tis. Kč </w:t>
      </w:r>
      <w:r w:rsidRPr="002B78C6">
        <w:t>a ostatní neinvestiční výdaje ve výši 6 770 873 tis. Kč.</w:t>
      </w:r>
    </w:p>
    <w:p w:rsidR="001B037B" w:rsidRPr="00E47AB3" w:rsidRDefault="001B037B" w:rsidP="001B037B">
      <w:pPr>
        <w:pStyle w:val="Styl1"/>
      </w:pPr>
      <w:r w:rsidRPr="00E47AB3">
        <w:t xml:space="preserve">Počet zaměstnanců  pro rok 2021  je navržen ve výši  457 zaměstnanců </w:t>
      </w:r>
      <w:r>
        <w:t>(</w:t>
      </w:r>
      <w:r w:rsidRPr="00E47AB3">
        <w:t>v</w:t>
      </w:r>
      <w:r>
        <w:t> </w:t>
      </w:r>
      <w:r w:rsidRPr="00E47AB3">
        <w:t>tom</w:t>
      </w:r>
      <w:r>
        <w:t>:</w:t>
      </w:r>
      <w:r w:rsidRPr="00E47AB3">
        <w:t xml:space="preserve"> 63 zaměstnanců v pracovním poměru a 394 státních zaměstnanců</w:t>
      </w:r>
      <w:r>
        <w:t>)</w:t>
      </w:r>
      <w:r w:rsidRPr="00E47AB3">
        <w:t>.</w:t>
      </w:r>
    </w:p>
    <w:p w:rsidR="001B037B" w:rsidRDefault="001B037B" w:rsidP="001B037B">
      <w:pPr>
        <w:pStyle w:val="Styl1"/>
      </w:pPr>
      <w:r w:rsidRPr="004071EA">
        <w:t>Na navrhovaném objemu ostatních neinvestičních výdajů na rok 2021 ve výši 6 770 873 tis. Kč se nejvíce podílí výdaje na kompenzaci ztráty vznikající dopravcům ve veřejné osobní dopravě přiznáváním státem nařízených slev ve výši 6 000 000 tis. Kč.</w:t>
      </w:r>
      <w:r>
        <w:t xml:space="preserve"> Velký nárůst oproti roku 2020 je ovlivněn tím, že v souvislosti </w:t>
      </w:r>
      <w:r w:rsidRPr="003D288C">
        <w:t>s epidemiologickou situaci COVID-19</w:t>
      </w:r>
      <w:r>
        <w:t xml:space="preserve">  byl v březnu 2020               </w:t>
      </w:r>
      <w:r w:rsidRPr="00B916A1">
        <w:t>schválen zákon č. 129/2020 Sb., kterým se mění záko</w:t>
      </w:r>
      <w:r>
        <w:t xml:space="preserve">n </w:t>
      </w:r>
      <w:r w:rsidRPr="00B916A1">
        <w:t>č. 355/2019 Sb., o státním rozpočtu České republiky na rok 202</w:t>
      </w:r>
      <w:r>
        <w:t xml:space="preserve">0. Změnou zákona </w:t>
      </w:r>
      <w:r w:rsidRPr="00B916A1">
        <w:t>došlo ke snížení fi</w:t>
      </w:r>
      <w:r>
        <w:t xml:space="preserve">nančních prostředků určených </w:t>
      </w:r>
      <w:r w:rsidRPr="008A58E4">
        <w:t xml:space="preserve">na kompenzaci ztráty vznikající dopravcům ve veřejné osobní dopravě přiznáváním státem nařízených slev </w:t>
      </w:r>
      <w:r w:rsidRPr="00B916A1">
        <w:t xml:space="preserve"> o 1 500 000 tis. Kč. </w:t>
      </w:r>
    </w:p>
    <w:p w:rsidR="001B037B" w:rsidRPr="00F62DA0" w:rsidRDefault="001B037B" w:rsidP="001B037B">
      <w:pPr>
        <w:pStyle w:val="Styl1"/>
        <w:rPr>
          <w:color w:val="FF0000"/>
        </w:rPr>
      </w:pPr>
      <w:r w:rsidRPr="004071EA">
        <w:t xml:space="preserve">Mezi další objemově významné výdaje patří zejména financování činností dopravně správních agend, které jsou na rok 2021 rozpočtovány ve výši 280 000 tis. Kč. </w:t>
      </w:r>
    </w:p>
    <w:p w:rsidR="001B037B" w:rsidRPr="000C2469" w:rsidRDefault="001B037B" w:rsidP="001B037B">
      <w:pPr>
        <w:pStyle w:val="Styl1"/>
        <w:rPr>
          <w:color w:val="000000" w:themeColor="text1"/>
        </w:rPr>
      </w:pPr>
      <w:r w:rsidRPr="00763BA8">
        <w:t xml:space="preserve">Podíl státního rozpočtu na programech spolufinancovaných z rozpočtu EU (včetně prostředků na platy a příslušenství) je rozpočtován ve výši 13 457 tis. Kč </w:t>
      </w:r>
      <w:r w:rsidRPr="000E1557">
        <w:t xml:space="preserve">(v tom: finanční prostředky </w:t>
      </w:r>
      <w:r w:rsidR="00CF4AED">
        <w:br/>
      </w:r>
      <w:r w:rsidRPr="000E1557">
        <w:t xml:space="preserve">na technickou pomoc OP Doprava 2014-2020 ve výši 11 830 tis. Kč </w:t>
      </w:r>
      <w:r w:rsidRPr="004B60D8">
        <w:rPr>
          <w:color w:val="000000" w:themeColor="text1"/>
        </w:rPr>
        <w:t xml:space="preserve">a finanční prostředky </w:t>
      </w:r>
      <w:r w:rsidR="00CF4AED">
        <w:rPr>
          <w:color w:val="000000" w:themeColor="text1"/>
        </w:rPr>
        <w:br/>
      </w:r>
      <w:r w:rsidRPr="004B60D8">
        <w:rPr>
          <w:color w:val="000000" w:themeColor="text1"/>
        </w:rPr>
        <w:t xml:space="preserve">na </w:t>
      </w:r>
      <w:r w:rsidRPr="00763BA8">
        <w:t xml:space="preserve">Komunitární programy ve výši 1 627 tis. Kč). Podíl prostředků z rozpočtu EU je rozpočtován ve výši 78 361 tis. Kč </w:t>
      </w:r>
      <w:r w:rsidRPr="00EC47D7">
        <w:rPr>
          <w:color w:val="000000" w:themeColor="text1"/>
        </w:rPr>
        <w:t xml:space="preserve">(v tom: finanční prostředky na technickou pomoc OP Doprava </w:t>
      </w:r>
      <w:r w:rsidR="00CF4AED">
        <w:rPr>
          <w:color w:val="000000" w:themeColor="text1"/>
        </w:rPr>
        <w:br/>
      </w:r>
      <w:r w:rsidRPr="00EC47D7">
        <w:rPr>
          <w:color w:val="000000" w:themeColor="text1"/>
        </w:rPr>
        <w:t xml:space="preserve">2014-2020 ve výši 67 037 tis. Kč </w:t>
      </w:r>
      <w:r w:rsidRPr="000C2469">
        <w:rPr>
          <w:color w:val="000000" w:themeColor="text1"/>
        </w:rPr>
        <w:t xml:space="preserve">a finanční prostředky na komunitární programy ve výši </w:t>
      </w:r>
      <w:r w:rsidR="00CF4AED">
        <w:rPr>
          <w:color w:val="000000" w:themeColor="text1"/>
        </w:rPr>
        <w:br/>
      </w:r>
      <w:r w:rsidRPr="000C2469">
        <w:rPr>
          <w:color w:val="000000" w:themeColor="text1"/>
        </w:rPr>
        <w:t>11 324 tis. Kč).</w:t>
      </w:r>
    </w:p>
    <w:p w:rsidR="001B037B" w:rsidRPr="002C73E9" w:rsidRDefault="001B037B" w:rsidP="001B037B">
      <w:pPr>
        <w:pStyle w:val="Styl1"/>
      </w:pPr>
      <w:r w:rsidRPr="002C73E9">
        <w:t xml:space="preserve">Prostředky ke krytí úkolů krizového řízení jsou v návrhu rozpočtu na rok 2021 rozpočtovány </w:t>
      </w:r>
      <w:r w:rsidR="00FF6B07">
        <w:br/>
      </w:r>
      <w:r w:rsidRPr="002C73E9">
        <w:t xml:space="preserve">v celkové výši 1 275 tis. Kč, z toho dle zákona č. 240/2000 Sb. ve výši 1 275 tis. Kč. Na prevenci v oblasti bezpečnosti silničního provozu (BESIP) jsou zajištěny prostředky ve výši </w:t>
      </w:r>
      <w:r w:rsidR="00FF6B07">
        <w:br/>
      </w:r>
      <w:r w:rsidRPr="002C73E9">
        <w:t>20 230 tis. Kč.</w:t>
      </w:r>
    </w:p>
    <w:p w:rsidR="001B037B" w:rsidRPr="00E24034" w:rsidRDefault="001B037B" w:rsidP="001B037B">
      <w:pPr>
        <w:pStyle w:val="Styl1"/>
        <w:rPr>
          <w:color w:val="FF0000"/>
        </w:rPr>
      </w:pPr>
      <w:r w:rsidRPr="00F62DA0">
        <w:t xml:space="preserve">Stejně jako v minulých letech, tak i v roce 2021, budou vzdělávací aktivity týkající </w:t>
      </w:r>
      <w:r w:rsidRPr="00F62DA0">
        <w:br/>
        <w:t xml:space="preserve">se prosazování rovnosti mužů a žen zabezpečovány prostřednictvím Institutu státní správy a ostatní genderové výdaje budou zahrnuty v rámci ostatních běžných výdajů ústředního orgánu Ministerstva dopravy. </w:t>
      </w:r>
    </w:p>
    <w:p w:rsidR="00BD28A7" w:rsidRPr="00910074" w:rsidRDefault="00BD28A7" w:rsidP="003949CB">
      <w:pPr>
        <w:pStyle w:val="obyctext"/>
        <w:spacing w:before="360" w:after="120"/>
        <w:ind w:firstLine="0"/>
        <w:rPr>
          <w:b/>
          <w:bCs/>
          <w:u w:val="single"/>
        </w:rPr>
      </w:pPr>
      <w:r w:rsidRPr="00910074">
        <w:rPr>
          <w:b/>
          <w:bCs/>
          <w:u w:val="single"/>
        </w:rPr>
        <w:lastRenderedPageBreak/>
        <w:t xml:space="preserve">Úřad pro civilní letectví </w:t>
      </w:r>
    </w:p>
    <w:p w:rsidR="00910074" w:rsidRPr="00E1605B" w:rsidRDefault="00910074" w:rsidP="00910074">
      <w:pPr>
        <w:pStyle w:val="Styl1"/>
      </w:pPr>
      <w:r w:rsidRPr="00E1605B">
        <w:t xml:space="preserve">Úřad pro civilní letectví byl zřízen zákonem č. 49/1997 Sb., o civilním letectví, ve znění pozdějších předpisů, jako správní úřad pro výkon státní správy ve věcech civilního letectví </w:t>
      </w:r>
      <w:r w:rsidRPr="00E1605B">
        <w:br/>
        <w:t>a je podřízen Ministerstvu dopravy. Mezi hlavní oblasti činnosti patří zejména vedení leteckého rejstříku (evidence letadel), schvalování typů letadel a jejich součástí, schvalování letové způsobilosti letadel, vydávání osvědčení a ověřování letové způsobilosti, schvalování nebo uznávání způsobilosti výrobků letecké techniky, vedení evidence leteckého personálu a vydávání průkazů způsobilosti leteckého personálu, vydávání povolení k provozování letiště, výkon funkce speciálního stavebního úřadu pro letecké stavby a vydávání osvědčení leteckého dopravce.</w:t>
      </w:r>
    </w:p>
    <w:p w:rsidR="00910074" w:rsidRPr="00E1605B" w:rsidRDefault="00910074" w:rsidP="00910074">
      <w:pPr>
        <w:pStyle w:val="Titulek"/>
        <w:keepNext/>
      </w:pPr>
      <w:r w:rsidRPr="00E1605B">
        <w:t xml:space="preserve">Tabulka č. </w:t>
      </w:r>
      <w:r w:rsidRPr="00E1605B">
        <w:rPr>
          <w:noProof/>
        </w:rPr>
        <w:fldChar w:fldCharType="begin"/>
      </w:r>
      <w:r w:rsidRPr="00E1605B">
        <w:rPr>
          <w:noProof/>
        </w:rPr>
        <w:instrText xml:space="preserve"> SEQ Tabulka \* ARABIC </w:instrText>
      </w:r>
      <w:r w:rsidRPr="00E1605B">
        <w:rPr>
          <w:noProof/>
        </w:rPr>
        <w:fldChar w:fldCharType="separate"/>
      </w:r>
      <w:r w:rsidR="006076E7">
        <w:rPr>
          <w:noProof/>
        </w:rPr>
        <w:t>10</w:t>
      </w:r>
      <w:r w:rsidRPr="00E1605B">
        <w:rPr>
          <w:noProof/>
        </w:rPr>
        <w:fldChar w:fldCharType="end"/>
      </w:r>
      <w:r w:rsidRPr="00E1605B">
        <w:t xml:space="preserve"> Úřad pro civilní letectví – běžné výdaje (v tis. Kč)</w:t>
      </w:r>
    </w:p>
    <w:tbl>
      <w:tblPr>
        <w:tblStyle w:val="Svtltabulkasmkou1zvraznn1"/>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02"/>
        <w:gridCol w:w="1416"/>
        <w:gridCol w:w="1273"/>
        <w:gridCol w:w="1131"/>
        <w:gridCol w:w="929"/>
      </w:tblGrid>
      <w:tr w:rsidR="00910074" w:rsidRPr="00E24034" w:rsidTr="00910074">
        <w:trPr>
          <w:trHeight w:val="790"/>
        </w:trPr>
        <w:tc>
          <w:tcPr>
            <w:tcW w:w="237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9B5F05" w:rsidRDefault="00910074" w:rsidP="00910074">
            <w:pPr>
              <w:jc w:val="center"/>
              <w:rPr>
                <w:rFonts w:eastAsia="Times New Roman" w:cs="Times New Roman"/>
                <w:b/>
                <w:lang w:eastAsia="cs-CZ"/>
              </w:rPr>
            </w:pPr>
            <w:r w:rsidRPr="009B5F05">
              <w:rPr>
                <w:rFonts w:eastAsia="Times New Roman" w:cs="Times New Roman"/>
                <w:b/>
                <w:lang w:eastAsia="cs-CZ"/>
              </w:rPr>
              <w:t>Ukazatel</w:t>
            </w:r>
          </w:p>
        </w:tc>
        <w:tc>
          <w:tcPr>
            <w:tcW w:w="78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9B5F05" w:rsidRDefault="00910074" w:rsidP="00910074">
            <w:pPr>
              <w:jc w:val="center"/>
              <w:rPr>
                <w:rFonts w:eastAsia="Times New Roman" w:cs="Times New Roman"/>
                <w:b/>
                <w:lang w:eastAsia="cs-CZ"/>
              </w:rPr>
            </w:pPr>
            <w:r w:rsidRPr="009B5F05">
              <w:rPr>
                <w:rFonts w:eastAsia="Times New Roman" w:cs="Times New Roman"/>
                <w:b/>
                <w:lang w:eastAsia="cs-CZ"/>
              </w:rPr>
              <w:t>Skutečnost</w:t>
            </w:r>
          </w:p>
          <w:p w:rsidR="00910074" w:rsidRPr="009B5F05" w:rsidRDefault="00910074" w:rsidP="00910074">
            <w:pPr>
              <w:jc w:val="center"/>
              <w:rPr>
                <w:rFonts w:eastAsia="Times New Roman" w:cs="Times New Roman"/>
                <w:b/>
                <w:lang w:eastAsia="cs-CZ"/>
              </w:rPr>
            </w:pPr>
            <w:r w:rsidRPr="009B5F05">
              <w:rPr>
                <w:rFonts w:eastAsia="Times New Roman" w:cs="Times New Roman"/>
                <w:b/>
                <w:lang w:eastAsia="cs-CZ"/>
              </w:rPr>
              <w:t>2019</w:t>
            </w:r>
          </w:p>
        </w:tc>
        <w:tc>
          <w:tcPr>
            <w:tcW w:w="70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9B5F05" w:rsidRDefault="00910074" w:rsidP="00910074">
            <w:pPr>
              <w:jc w:val="center"/>
              <w:rPr>
                <w:rFonts w:eastAsia="Times New Roman" w:cs="Times New Roman"/>
                <w:b/>
                <w:lang w:eastAsia="cs-CZ"/>
              </w:rPr>
            </w:pPr>
            <w:r w:rsidRPr="009B5F05">
              <w:rPr>
                <w:rFonts w:eastAsia="Times New Roman" w:cs="Times New Roman"/>
                <w:b/>
                <w:lang w:eastAsia="cs-CZ"/>
              </w:rPr>
              <w:t>Schválený</w:t>
            </w:r>
          </w:p>
          <w:p w:rsidR="00910074" w:rsidRPr="009B5F05" w:rsidRDefault="00910074" w:rsidP="00910074">
            <w:pPr>
              <w:jc w:val="center"/>
              <w:rPr>
                <w:rFonts w:eastAsia="Times New Roman" w:cs="Times New Roman"/>
                <w:b/>
                <w:lang w:eastAsia="cs-CZ"/>
              </w:rPr>
            </w:pPr>
            <w:r w:rsidRPr="009B5F05">
              <w:rPr>
                <w:rFonts w:eastAsia="Times New Roman" w:cs="Times New Roman"/>
                <w:b/>
                <w:lang w:eastAsia="cs-CZ"/>
              </w:rPr>
              <w:t>rozpočet</w:t>
            </w:r>
          </w:p>
          <w:p w:rsidR="00910074" w:rsidRPr="009B5F05" w:rsidRDefault="00910074" w:rsidP="00910074">
            <w:pPr>
              <w:jc w:val="center"/>
              <w:rPr>
                <w:rFonts w:eastAsia="Times New Roman" w:cs="Times New Roman"/>
                <w:b/>
                <w:lang w:eastAsia="cs-CZ"/>
              </w:rPr>
            </w:pPr>
            <w:r w:rsidRPr="009B5F05">
              <w:rPr>
                <w:rFonts w:eastAsia="Times New Roman" w:cs="Times New Roman"/>
                <w:b/>
                <w:lang w:eastAsia="cs-CZ"/>
              </w:rPr>
              <w:t>2020</w:t>
            </w:r>
          </w:p>
        </w:tc>
        <w:tc>
          <w:tcPr>
            <w:tcW w:w="62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9B5F05" w:rsidRDefault="00910074" w:rsidP="00910074">
            <w:pPr>
              <w:jc w:val="center"/>
              <w:rPr>
                <w:rFonts w:eastAsia="Times New Roman" w:cs="Times New Roman"/>
                <w:b/>
                <w:lang w:eastAsia="cs-CZ"/>
              </w:rPr>
            </w:pPr>
            <w:r w:rsidRPr="009B5F05">
              <w:rPr>
                <w:rFonts w:eastAsia="Times New Roman" w:cs="Times New Roman"/>
                <w:b/>
                <w:lang w:eastAsia="cs-CZ"/>
              </w:rPr>
              <w:t>Návrh</w:t>
            </w:r>
          </w:p>
          <w:p w:rsidR="00910074" w:rsidRPr="009B5F05" w:rsidRDefault="00910074" w:rsidP="00910074">
            <w:pPr>
              <w:jc w:val="center"/>
              <w:rPr>
                <w:rFonts w:eastAsia="Times New Roman" w:cs="Times New Roman"/>
                <w:b/>
                <w:lang w:eastAsia="cs-CZ"/>
              </w:rPr>
            </w:pPr>
            <w:r w:rsidRPr="009B5F05">
              <w:rPr>
                <w:rFonts w:eastAsia="Times New Roman" w:cs="Times New Roman"/>
                <w:b/>
                <w:lang w:eastAsia="cs-CZ"/>
              </w:rPr>
              <w:t>rozpočtu</w:t>
            </w:r>
          </w:p>
          <w:p w:rsidR="00910074" w:rsidRPr="009B5F05" w:rsidRDefault="00910074" w:rsidP="00910074">
            <w:pPr>
              <w:jc w:val="center"/>
              <w:rPr>
                <w:rFonts w:eastAsia="Times New Roman" w:cs="Times New Roman"/>
                <w:b/>
                <w:lang w:eastAsia="cs-CZ"/>
              </w:rPr>
            </w:pPr>
            <w:r w:rsidRPr="009B5F05">
              <w:rPr>
                <w:rFonts w:eastAsia="Times New Roman" w:cs="Times New Roman"/>
                <w:b/>
                <w:lang w:eastAsia="cs-CZ"/>
              </w:rPr>
              <w:t>2021</w:t>
            </w:r>
          </w:p>
        </w:tc>
        <w:tc>
          <w:tcPr>
            <w:tcW w:w="51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9B5F05" w:rsidRDefault="00910074" w:rsidP="00910074">
            <w:pPr>
              <w:jc w:val="center"/>
              <w:rPr>
                <w:rFonts w:eastAsia="Times New Roman" w:cs="Times New Roman"/>
                <w:b/>
                <w:lang w:eastAsia="cs-CZ"/>
              </w:rPr>
            </w:pPr>
            <w:r w:rsidRPr="009B5F05">
              <w:rPr>
                <w:rFonts w:eastAsia="Times New Roman" w:cs="Times New Roman"/>
                <w:b/>
                <w:lang w:eastAsia="cs-CZ"/>
              </w:rPr>
              <w:t>Index</w:t>
            </w:r>
          </w:p>
          <w:p w:rsidR="00910074" w:rsidRPr="009B5F05" w:rsidRDefault="00910074" w:rsidP="00910074">
            <w:pPr>
              <w:jc w:val="center"/>
              <w:rPr>
                <w:rFonts w:eastAsia="Times New Roman" w:cs="Times New Roman"/>
                <w:b/>
                <w:lang w:eastAsia="cs-CZ"/>
              </w:rPr>
            </w:pPr>
            <w:r w:rsidRPr="009B5F05">
              <w:rPr>
                <w:rFonts w:eastAsia="Times New Roman" w:cs="Times New Roman"/>
                <w:b/>
                <w:lang w:eastAsia="cs-CZ"/>
              </w:rPr>
              <w:t>202</w:t>
            </w:r>
            <w:r>
              <w:rPr>
                <w:rFonts w:eastAsia="Times New Roman" w:cs="Times New Roman"/>
                <w:b/>
                <w:lang w:eastAsia="cs-CZ"/>
              </w:rPr>
              <w:t>1</w:t>
            </w:r>
            <w:r w:rsidRPr="009B5F05">
              <w:rPr>
                <w:rFonts w:eastAsia="Times New Roman" w:cs="Times New Roman"/>
                <w:b/>
                <w:lang w:eastAsia="cs-CZ"/>
              </w:rPr>
              <w:t>/ 20</w:t>
            </w:r>
            <w:r>
              <w:rPr>
                <w:rFonts w:eastAsia="Times New Roman" w:cs="Times New Roman"/>
                <w:b/>
                <w:lang w:eastAsia="cs-CZ"/>
              </w:rPr>
              <w:t xml:space="preserve">20 </w:t>
            </w:r>
            <w:r w:rsidRPr="009B5F05">
              <w:rPr>
                <w:rFonts w:eastAsia="Times New Roman" w:cs="Times New Roman"/>
                <w:b/>
                <w:lang w:eastAsia="cs-CZ"/>
              </w:rPr>
              <w:t>(v %)</w:t>
            </w:r>
          </w:p>
        </w:tc>
      </w:tr>
      <w:tr w:rsidR="00910074" w:rsidRPr="00E24034" w:rsidTr="00910074">
        <w:trPr>
          <w:trHeight w:val="248"/>
        </w:trPr>
        <w:tc>
          <w:tcPr>
            <w:tcW w:w="2376" w:type="pct"/>
            <w:tcBorders>
              <w:top w:val="single" w:sz="4" w:space="0" w:color="7F7F7F" w:themeColor="text1" w:themeTint="80"/>
              <w:bottom w:val="single" w:sz="8" w:space="0" w:color="7F7F7F" w:themeColor="text1" w:themeTint="80"/>
            </w:tcBorders>
            <w:shd w:val="clear" w:color="auto" w:fill="auto"/>
          </w:tcPr>
          <w:p w:rsidR="00910074" w:rsidRPr="009B5F05" w:rsidRDefault="00910074" w:rsidP="00910074">
            <w:pPr>
              <w:jc w:val="center"/>
              <w:rPr>
                <w:rFonts w:eastAsia="Times New Roman" w:cs="Times New Roman"/>
                <w:szCs w:val="24"/>
                <w:lang w:eastAsia="cs-CZ"/>
              </w:rPr>
            </w:pPr>
            <w:r w:rsidRPr="009B5F05">
              <w:rPr>
                <w:rFonts w:eastAsia="Times New Roman" w:cs="Times New Roman"/>
                <w:szCs w:val="24"/>
                <w:lang w:eastAsia="cs-CZ"/>
              </w:rPr>
              <w:t>a</w:t>
            </w:r>
          </w:p>
        </w:tc>
        <w:tc>
          <w:tcPr>
            <w:tcW w:w="782" w:type="pct"/>
            <w:tcBorders>
              <w:top w:val="single" w:sz="4" w:space="0" w:color="7F7F7F" w:themeColor="text1" w:themeTint="80"/>
              <w:bottom w:val="single" w:sz="8" w:space="0" w:color="7F7F7F" w:themeColor="text1" w:themeTint="80"/>
            </w:tcBorders>
            <w:shd w:val="clear" w:color="auto" w:fill="auto"/>
          </w:tcPr>
          <w:p w:rsidR="00910074" w:rsidRPr="009B5F05" w:rsidRDefault="00910074" w:rsidP="00910074">
            <w:pPr>
              <w:jc w:val="center"/>
              <w:rPr>
                <w:rFonts w:eastAsia="Times New Roman" w:cs="Times New Roman"/>
                <w:szCs w:val="24"/>
                <w:lang w:eastAsia="cs-CZ"/>
              </w:rPr>
            </w:pPr>
            <w:r w:rsidRPr="009B5F05">
              <w:rPr>
                <w:rFonts w:eastAsia="Times New Roman" w:cs="Times New Roman"/>
                <w:szCs w:val="24"/>
                <w:lang w:eastAsia="cs-CZ"/>
              </w:rPr>
              <w:t>1</w:t>
            </w:r>
          </w:p>
        </w:tc>
        <w:tc>
          <w:tcPr>
            <w:tcW w:w="703" w:type="pct"/>
            <w:tcBorders>
              <w:top w:val="single" w:sz="4" w:space="0" w:color="7F7F7F" w:themeColor="text1" w:themeTint="80"/>
              <w:bottom w:val="single" w:sz="8" w:space="0" w:color="7F7F7F" w:themeColor="text1" w:themeTint="80"/>
            </w:tcBorders>
            <w:shd w:val="clear" w:color="auto" w:fill="auto"/>
          </w:tcPr>
          <w:p w:rsidR="00910074" w:rsidRPr="009B5F05" w:rsidRDefault="00910074" w:rsidP="00910074">
            <w:pPr>
              <w:jc w:val="center"/>
              <w:rPr>
                <w:rFonts w:eastAsia="Times New Roman" w:cs="Times New Roman"/>
                <w:szCs w:val="24"/>
                <w:lang w:eastAsia="cs-CZ"/>
              </w:rPr>
            </w:pPr>
            <w:r w:rsidRPr="009B5F05">
              <w:rPr>
                <w:rFonts w:eastAsia="Times New Roman" w:cs="Times New Roman"/>
                <w:szCs w:val="24"/>
                <w:lang w:eastAsia="cs-CZ"/>
              </w:rPr>
              <w:t>2</w:t>
            </w:r>
          </w:p>
        </w:tc>
        <w:tc>
          <w:tcPr>
            <w:tcW w:w="625" w:type="pct"/>
            <w:tcBorders>
              <w:top w:val="single" w:sz="4" w:space="0" w:color="7F7F7F" w:themeColor="text1" w:themeTint="80"/>
              <w:bottom w:val="single" w:sz="8" w:space="0" w:color="7F7F7F" w:themeColor="text1" w:themeTint="80"/>
            </w:tcBorders>
            <w:shd w:val="clear" w:color="auto" w:fill="auto"/>
          </w:tcPr>
          <w:p w:rsidR="00910074" w:rsidRPr="009B5F05" w:rsidRDefault="00910074" w:rsidP="00910074">
            <w:pPr>
              <w:jc w:val="center"/>
              <w:rPr>
                <w:rFonts w:eastAsia="Times New Roman" w:cs="Times New Roman"/>
                <w:szCs w:val="24"/>
                <w:lang w:eastAsia="cs-CZ"/>
              </w:rPr>
            </w:pPr>
            <w:r w:rsidRPr="009B5F05">
              <w:rPr>
                <w:rFonts w:eastAsia="Times New Roman" w:cs="Times New Roman"/>
                <w:szCs w:val="24"/>
                <w:lang w:eastAsia="cs-CZ"/>
              </w:rPr>
              <w:t>3</w:t>
            </w:r>
          </w:p>
        </w:tc>
        <w:tc>
          <w:tcPr>
            <w:tcW w:w="513" w:type="pct"/>
            <w:tcBorders>
              <w:top w:val="single" w:sz="4" w:space="0" w:color="7F7F7F" w:themeColor="text1" w:themeTint="80"/>
              <w:bottom w:val="single" w:sz="8" w:space="0" w:color="7F7F7F" w:themeColor="text1" w:themeTint="80"/>
            </w:tcBorders>
            <w:shd w:val="clear" w:color="auto" w:fill="auto"/>
          </w:tcPr>
          <w:p w:rsidR="00910074" w:rsidRPr="009B5F05" w:rsidRDefault="00910074" w:rsidP="00910074">
            <w:pPr>
              <w:jc w:val="center"/>
              <w:rPr>
                <w:rFonts w:eastAsia="Times New Roman" w:cs="Times New Roman"/>
                <w:szCs w:val="24"/>
                <w:lang w:eastAsia="cs-CZ"/>
              </w:rPr>
            </w:pPr>
            <w:r w:rsidRPr="009B5F05">
              <w:rPr>
                <w:rFonts w:eastAsia="Times New Roman" w:cs="Times New Roman"/>
                <w:szCs w:val="24"/>
                <w:lang w:eastAsia="cs-CZ"/>
              </w:rPr>
              <w:t>4</w:t>
            </w:r>
          </w:p>
        </w:tc>
      </w:tr>
      <w:tr w:rsidR="00910074" w:rsidRPr="00E24034" w:rsidTr="00910074">
        <w:trPr>
          <w:trHeight w:val="486"/>
        </w:trPr>
        <w:tc>
          <w:tcPr>
            <w:tcW w:w="2376" w:type="pct"/>
            <w:tcBorders>
              <w:top w:val="single" w:sz="8" w:space="0" w:color="7F7F7F" w:themeColor="text1" w:themeTint="80"/>
              <w:bottom w:val="single" w:sz="8" w:space="0" w:color="7F7F7F" w:themeColor="text1" w:themeTint="80"/>
            </w:tcBorders>
            <w:shd w:val="clear" w:color="auto" w:fill="auto"/>
          </w:tcPr>
          <w:p w:rsidR="00910074" w:rsidRPr="009B5F05" w:rsidRDefault="00910074" w:rsidP="00910074">
            <w:pPr>
              <w:spacing w:before="80"/>
              <w:rPr>
                <w:rFonts w:eastAsia="Times New Roman" w:cs="Times New Roman"/>
                <w:b/>
                <w:lang w:eastAsia="cs-CZ"/>
              </w:rPr>
            </w:pPr>
            <w:r w:rsidRPr="009B5F05">
              <w:rPr>
                <w:rFonts w:eastAsia="Times New Roman" w:cs="Times New Roman"/>
                <w:b/>
                <w:iCs/>
                <w:lang w:eastAsia="cs-CZ"/>
              </w:rPr>
              <w:t xml:space="preserve">Běžné výdaje </w:t>
            </w:r>
            <w:r w:rsidRPr="009B5F05">
              <w:rPr>
                <w:rFonts w:eastAsia="Times New Roman" w:cs="Times New Roman"/>
                <w:lang w:eastAsia="cs-CZ"/>
              </w:rPr>
              <w:t>v tom:</w:t>
            </w:r>
            <w:r w:rsidRPr="009B5F05">
              <w:rPr>
                <w:rFonts w:eastAsia="Times New Roman" w:cs="Times New Roman"/>
                <w:b/>
                <w:lang w:eastAsia="cs-CZ"/>
              </w:rPr>
              <w:t xml:space="preserve"> </w:t>
            </w:r>
          </w:p>
        </w:tc>
        <w:tc>
          <w:tcPr>
            <w:tcW w:w="782" w:type="pct"/>
            <w:tcBorders>
              <w:top w:val="single" w:sz="8" w:space="0" w:color="7F7F7F" w:themeColor="text1" w:themeTint="80"/>
              <w:bottom w:val="single" w:sz="8" w:space="0" w:color="7F7F7F" w:themeColor="text1" w:themeTint="80"/>
            </w:tcBorders>
            <w:shd w:val="clear" w:color="auto" w:fill="auto"/>
            <w:vAlign w:val="center"/>
          </w:tcPr>
          <w:p w:rsidR="00910074" w:rsidRPr="003C5ED9" w:rsidRDefault="00910074" w:rsidP="00910074">
            <w:pPr>
              <w:spacing w:before="120"/>
              <w:jc w:val="right"/>
              <w:rPr>
                <w:rFonts w:eastAsia="Times New Roman" w:cs="Times New Roman"/>
                <w:b/>
                <w:bCs/>
                <w:lang w:eastAsia="cs-CZ"/>
              </w:rPr>
            </w:pPr>
            <w:r w:rsidRPr="003C5ED9">
              <w:rPr>
                <w:rFonts w:eastAsia="Times New Roman" w:cs="Times New Roman"/>
                <w:b/>
                <w:bCs/>
                <w:lang w:eastAsia="cs-CZ"/>
              </w:rPr>
              <w:t>182 292</w:t>
            </w:r>
          </w:p>
        </w:tc>
        <w:tc>
          <w:tcPr>
            <w:tcW w:w="703" w:type="pct"/>
            <w:tcBorders>
              <w:top w:val="single" w:sz="8" w:space="0" w:color="7F7F7F" w:themeColor="text1" w:themeTint="80"/>
              <w:bottom w:val="single" w:sz="8" w:space="0" w:color="7F7F7F" w:themeColor="text1" w:themeTint="80"/>
            </w:tcBorders>
            <w:shd w:val="clear" w:color="auto" w:fill="auto"/>
          </w:tcPr>
          <w:p w:rsidR="00910074" w:rsidRPr="003C5ED9" w:rsidRDefault="00910074" w:rsidP="00910074">
            <w:pPr>
              <w:spacing w:before="120"/>
              <w:jc w:val="right"/>
              <w:rPr>
                <w:rFonts w:eastAsia="Times New Roman" w:cs="Times New Roman"/>
                <w:b/>
                <w:bCs/>
                <w:lang w:eastAsia="cs-CZ"/>
              </w:rPr>
            </w:pPr>
            <w:r w:rsidRPr="003C5ED9">
              <w:rPr>
                <w:rFonts w:eastAsia="Times New Roman" w:cs="Times New Roman"/>
                <w:b/>
                <w:bCs/>
                <w:lang w:eastAsia="cs-CZ"/>
              </w:rPr>
              <w:t>192 641</w:t>
            </w:r>
          </w:p>
        </w:tc>
        <w:tc>
          <w:tcPr>
            <w:tcW w:w="625" w:type="pct"/>
            <w:tcBorders>
              <w:top w:val="single" w:sz="8" w:space="0" w:color="7F7F7F" w:themeColor="text1" w:themeTint="80"/>
              <w:bottom w:val="single" w:sz="8" w:space="0" w:color="7F7F7F" w:themeColor="text1" w:themeTint="80"/>
            </w:tcBorders>
            <w:shd w:val="clear" w:color="auto" w:fill="auto"/>
          </w:tcPr>
          <w:p w:rsidR="00910074" w:rsidRPr="002D6337" w:rsidRDefault="00910074" w:rsidP="00910074">
            <w:pPr>
              <w:spacing w:before="120"/>
              <w:jc w:val="right"/>
              <w:rPr>
                <w:rFonts w:eastAsia="Times New Roman" w:cs="Times New Roman"/>
                <w:b/>
                <w:bCs/>
                <w:lang w:eastAsia="cs-CZ"/>
              </w:rPr>
            </w:pPr>
            <w:r w:rsidRPr="002D6337">
              <w:rPr>
                <w:rFonts w:eastAsia="Times New Roman" w:cs="Times New Roman"/>
                <w:b/>
                <w:bCs/>
                <w:lang w:eastAsia="cs-CZ"/>
              </w:rPr>
              <w:t>194 441</w:t>
            </w:r>
          </w:p>
        </w:tc>
        <w:tc>
          <w:tcPr>
            <w:tcW w:w="513" w:type="pct"/>
            <w:tcBorders>
              <w:top w:val="single" w:sz="8" w:space="0" w:color="7F7F7F" w:themeColor="text1" w:themeTint="80"/>
              <w:bottom w:val="single" w:sz="8" w:space="0" w:color="7F7F7F" w:themeColor="text1" w:themeTint="80"/>
            </w:tcBorders>
            <w:shd w:val="clear" w:color="auto" w:fill="auto"/>
          </w:tcPr>
          <w:p w:rsidR="00910074" w:rsidRPr="00244E04" w:rsidRDefault="00910074" w:rsidP="00910074">
            <w:pPr>
              <w:spacing w:before="120"/>
              <w:jc w:val="right"/>
              <w:rPr>
                <w:rFonts w:eastAsia="Times New Roman" w:cs="Times New Roman"/>
                <w:b/>
                <w:bCs/>
                <w:lang w:eastAsia="cs-CZ"/>
              </w:rPr>
            </w:pPr>
            <w:r w:rsidRPr="00244E04">
              <w:rPr>
                <w:rFonts w:eastAsia="Times New Roman" w:cs="Times New Roman"/>
                <w:b/>
                <w:bCs/>
                <w:lang w:eastAsia="cs-CZ"/>
              </w:rPr>
              <w:t>100,93</w:t>
            </w:r>
          </w:p>
        </w:tc>
      </w:tr>
      <w:tr w:rsidR="00910074" w:rsidRPr="00E24034" w:rsidTr="00910074">
        <w:trPr>
          <w:trHeight w:val="408"/>
        </w:trPr>
        <w:tc>
          <w:tcPr>
            <w:tcW w:w="2376" w:type="pct"/>
            <w:tcBorders>
              <w:top w:val="single" w:sz="8" w:space="0" w:color="7F7F7F" w:themeColor="text1" w:themeTint="80"/>
              <w:bottom w:val="single" w:sz="8" w:space="0" w:color="7F7F7F" w:themeColor="text1" w:themeTint="80"/>
            </w:tcBorders>
            <w:shd w:val="clear" w:color="auto" w:fill="auto"/>
          </w:tcPr>
          <w:p w:rsidR="00910074" w:rsidRPr="009B5F05" w:rsidRDefault="00910074" w:rsidP="00910074">
            <w:pPr>
              <w:rPr>
                <w:rFonts w:eastAsia="Times New Roman" w:cs="Times New Roman"/>
                <w:b/>
                <w:iCs/>
                <w:lang w:eastAsia="cs-CZ"/>
              </w:rPr>
            </w:pPr>
            <w:r w:rsidRPr="009B5F05">
              <w:rPr>
                <w:rFonts w:eastAsia="Times New Roman" w:cs="Times New Roman"/>
                <w:lang w:eastAsia="cs-CZ"/>
              </w:rPr>
              <w:t>platy zaměstnanců a ostatní platby                 za provedenou práci</w:t>
            </w:r>
          </w:p>
        </w:tc>
        <w:tc>
          <w:tcPr>
            <w:tcW w:w="782" w:type="pct"/>
            <w:tcBorders>
              <w:top w:val="single" w:sz="8" w:space="0" w:color="7F7F7F" w:themeColor="text1" w:themeTint="80"/>
            </w:tcBorders>
            <w:shd w:val="clear" w:color="auto" w:fill="auto"/>
            <w:vAlign w:val="center"/>
          </w:tcPr>
          <w:p w:rsidR="00910074" w:rsidRPr="003C5ED9" w:rsidRDefault="00910074" w:rsidP="00910074">
            <w:pPr>
              <w:jc w:val="right"/>
              <w:rPr>
                <w:rFonts w:eastAsia="Times New Roman" w:cs="Times New Roman"/>
                <w:bCs/>
                <w:lang w:eastAsia="cs-CZ"/>
              </w:rPr>
            </w:pPr>
            <w:r w:rsidRPr="003C5ED9">
              <w:rPr>
                <w:rFonts w:eastAsia="Times New Roman" w:cs="Times New Roman"/>
                <w:bCs/>
                <w:lang w:eastAsia="cs-CZ"/>
              </w:rPr>
              <w:t>103 434</w:t>
            </w:r>
          </w:p>
        </w:tc>
        <w:tc>
          <w:tcPr>
            <w:tcW w:w="703" w:type="pct"/>
            <w:tcBorders>
              <w:top w:val="single" w:sz="8" w:space="0" w:color="7F7F7F" w:themeColor="text1" w:themeTint="80"/>
            </w:tcBorders>
            <w:shd w:val="clear" w:color="auto" w:fill="auto"/>
          </w:tcPr>
          <w:p w:rsidR="00910074" w:rsidRPr="003C5ED9" w:rsidRDefault="00910074" w:rsidP="00910074">
            <w:pPr>
              <w:spacing w:before="120"/>
              <w:jc w:val="right"/>
              <w:rPr>
                <w:rFonts w:eastAsia="Times New Roman" w:cs="Times New Roman"/>
                <w:lang w:eastAsia="cs-CZ"/>
              </w:rPr>
            </w:pPr>
            <w:r w:rsidRPr="003C5ED9">
              <w:rPr>
                <w:rFonts w:eastAsia="Times New Roman" w:cs="Times New Roman"/>
                <w:lang w:eastAsia="cs-CZ"/>
              </w:rPr>
              <w:t>109 007</w:t>
            </w:r>
          </w:p>
        </w:tc>
        <w:tc>
          <w:tcPr>
            <w:tcW w:w="625" w:type="pct"/>
            <w:tcBorders>
              <w:top w:val="single" w:sz="8" w:space="0" w:color="7F7F7F" w:themeColor="text1" w:themeTint="80"/>
            </w:tcBorders>
            <w:shd w:val="clear" w:color="auto" w:fill="auto"/>
          </w:tcPr>
          <w:p w:rsidR="00910074" w:rsidRPr="002D6337" w:rsidRDefault="00910074" w:rsidP="00910074">
            <w:pPr>
              <w:spacing w:before="120"/>
              <w:jc w:val="right"/>
              <w:rPr>
                <w:rFonts w:eastAsia="Times New Roman" w:cs="Times New Roman"/>
                <w:lang w:eastAsia="cs-CZ"/>
              </w:rPr>
            </w:pPr>
            <w:r w:rsidRPr="002D6337">
              <w:rPr>
                <w:rFonts w:eastAsia="Times New Roman" w:cs="Times New Roman"/>
                <w:lang w:eastAsia="cs-CZ"/>
              </w:rPr>
              <w:t>109 007</w:t>
            </w:r>
          </w:p>
        </w:tc>
        <w:tc>
          <w:tcPr>
            <w:tcW w:w="513" w:type="pct"/>
            <w:tcBorders>
              <w:top w:val="single" w:sz="8" w:space="0" w:color="7F7F7F" w:themeColor="text1" w:themeTint="80"/>
            </w:tcBorders>
            <w:shd w:val="clear" w:color="auto" w:fill="auto"/>
          </w:tcPr>
          <w:p w:rsidR="00910074" w:rsidRPr="00244E04" w:rsidRDefault="00910074" w:rsidP="00910074">
            <w:pPr>
              <w:spacing w:before="120"/>
              <w:jc w:val="right"/>
              <w:rPr>
                <w:rFonts w:eastAsia="Times New Roman" w:cs="Times New Roman"/>
                <w:lang w:eastAsia="cs-CZ"/>
              </w:rPr>
            </w:pPr>
            <w:r w:rsidRPr="00244E04">
              <w:rPr>
                <w:rFonts w:eastAsia="Times New Roman" w:cs="Times New Roman"/>
                <w:lang w:eastAsia="cs-CZ"/>
              </w:rPr>
              <w:t>100,00</w:t>
            </w:r>
          </w:p>
        </w:tc>
      </w:tr>
      <w:tr w:rsidR="00910074" w:rsidRPr="00E24034" w:rsidTr="00910074">
        <w:trPr>
          <w:trHeight w:val="232"/>
        </w:trPr>
        <w:tc>
          <w:tcPr>
            <w:tcW w:w="2376" w:type="pct"/>
            <w:shd w:val="clear" w:color="auto" w:fill="auto"/>
          </w:tcPr>
          <w:p w:rsidR="00910074" w:rsidRPr="009B5F05" w:rsidRDefault="00910074" w:rsidP="00910074">
            <w:pPr>
              <w:rPr>
                <w:rFonts w:eastAsia="Times New Roman" w:cs="Times New Roman"/>
                <w:lang w:eastAsia="cs-CZ"/>
              </w:rPr>
            </w:pPr>
            <w:r w:rsidRPr="009B5F05">
              <w:rPr>
                <w:rFonts w:eastAsia="Times New Roman" w:cs="Times New Roman"/>
                <w:lang w:eastAsia="cs-CZ"/>
              </w:rPr>
              <w:t>povinné pojistné placené zaměstnavatelem</w:t>
            </w:r>
          </w:p>
        </w:tc>
        <w:tc>
          <w:tcPr>
            <w:tcW w:w="782" w:type="pct"/>
            <w:shd w:val="clear" w:color="auto" w:fill="auto"/>
            <w:vAlign w:val="center"/>
          </w:tcPr>
          <w:p w:rsidR="00910074" w:rsidRPr="003C5ED9" w:rsidRDefault="00910074" w:rsidP="00910074">
            <w:pPr>
              <w:jc w:val="right"/>
              <w:rPr>
                <w:rFonts w:eastAsia="Times New Roman" w:cs="Times New Roman"/>
                <w:bCs/>
                <w:lang w:eastAsia="cs-CZ"/>
              </w:rPr>
            </w:pPr>
            <w:r w:rsidRPr="003C5ED9">
              <w:rPr>
                <w:rFonts w:eastAsia="Times New Roman" w:cs="Times New Roman"/>
                <w:bCs/>
                <w:lang w:eastAsia="cs-CZ"/>
              </w:rPr>
              <w:t>35 011</w:t>
            </w:r>
          </w:p>
        </w:tc>
        <w:tc>
          <w:tcPr>
            <w:tcW w:w="703" w:type="pct"/>
            <w:shd w:val="clear" w:color="auto" w:fill="auto"/>
          </w:tcPr>
          <w:p w:rsidR="00910074" w:rsidRPr="003C5ED9" w:rsidRDefault="00910074" w:rsidP="00910074">
            <w:pPr>
              <w:jc w:val="right"/>
              <w:rPr>
                <w:rFonts w:eastAsia="Times New Roman" w:cs="Times New Roman"/>
                <w:lang w:eastAsia="cs-CZ"/>
              </w:rPr>
            </w:pPr>
            <w:r w:rsidRPr="003C5ED9">
              <w:rPr>
                <w:rFonts w:eastAsia="Times New Roman" w:cs="Times New Roman"/>
                <w:lang w:eastAsia="cs-CZ"/>
              </w:rPr>
              <w:t>36 845</w:t>
            </w:r>
          </w:p>
        </w:tc>
        <w:tc>
          <w:tcPr>
            <w:tcW w:w="625" w:type="pct"/>
            <w:shd w:val="clear" w:color="auto" w:fill="auto"/>
          </w:tcPr>
          <w:p w:rsidR="00910074" w:rsidRPr="002D6337" w:rsidRDefault="00910074" w:rsidP="00910074">
            <w:pPr>
              <w:jc w:val="right"/>
              <w:rPr>
                <w:rFonts w:eastAsia="Times New Roman" w:cs="Times New Roman"/>
                <w:lang w:eastAsia="cs-CZ"/>
              </w:rPr>
            </w:pPr>
            <w:r w:rsidRPr="002D6337">
              <w:rPr>
                <w:rFonts w:eastAsia="Times New Roman" w:cs="Times New Roman"/>
                <w:lang w:eastAsia="cs-CZ"/>
              </w:rPr>
              <w:t>36 845</w:t>
            </w:r>
          </w:p>
        </w:tc>
        <w:tc>
          <w:tcPr>
            <w:tcW w:w="513" w:type="pct"/>
            <w:shd w:val="clear" w:color="auto" w:fill="auto"/>
          </w:tcPr>
          <w:p w:rsidR="00910074" w:rsidRPr="00244E04" w:rsidRDefault="00910074" w:rsidP="00910074">
            <w:pPr>
              <w:jc w:val="right"/>
              <w:rPr>
                <w:rFonts w:eastAsia="Times New Roman" w:cs="Times New Roman"/>
                <w:lang w:eastAsia="cs-CZ"/>
              </w:rPr>
            </w:pPr>
            <w:r w:rsidRPr="00244E04">
              <w:rPr>
                <w:rFonts w:eastAsia="Times New Roman" w:cs="Times New Roman"/>
                <w:lang w:eastAsia="cs-CZ"/>
              </w:rPr>
              <w:t>100,00</w:t>
            </w:r>
          </w:p>
        </w:tc>
      </w:tr>
      <w:tr w:rsidR="00910074" w:rsidRPr="00E24034" w:rsidTr="00910074">
        <w:trPr>
          <w:trHeight w:val="248"/>
        </w:trPr>
        <w:tc>
          <w:tcPr>
            <w:tcW w:w="2376" w:type="pct"/>
            <w:shd w:val="clear" w:color="auto" w:fill="auto"/>
          </w:tcPr>
          <w:p w:rsidR="00910074" w:rsidRPr="009B5F05" w:rsidRDefault="00910074" w:rsidP="00910074">
            <w:pPr>
              <w:rPr>
                <w:rFonts w:eastAsia="Times New Roman" w:cs="Times New Roman"/>
                <w:lang w:eastAsia="cs-CZ"/>
              </w:rPr>
            </w:pPr>
            <w:r w:rsidRPr="009B5F05">
              <w:rPr>
                <w:rFonts w:eastAsia="Times New Roman" w:cs="Times New Roman"/>
                <w:lang w:eastAsia="cs-CZ"/>
              </w:rPr>
              <w:t>příděl FKSP</w:t>
            </w:r>
          </w:p>
        </w:tc>
        <w:tc>
          <w:tcPr>
            <w:tcW w:w="782" w:type="pct"/>
            <w:shd w:val="clear" w:color="auto" w:fill="auto"/>
            <w:vAlign w:val="center"/>
          </w:tcPr>
          <w:p w:rsidR="00910074" w:rsidRPr="003C5ED9" w:rsidRDefault="00910074" w:rsidP="00910074">
            <w:pPr>
              <w:jc w:val="right"/>
              <w:rPr>
                <w:rFonts w:eastAsia="Times New Roman" w:cs="Times New Roman"/>
                <w:bCs/>
                <w:lang w:eastAsia="cs-CZ"/>
              </w:rPr>
            </w:pPr>
            <w:r w:rsidRPr="003C5ED9">
              <w:rPr>
                <w:rFonts w:eastAsia="Times New Roman" w:cs="Times New Roman"/>
                <w:bCs/>
                <w:lang w:eastAsia="cs-CZ"/>
              </w:rPr>
              <w:t>2 059</w:t>
            </w:r>
          </w:p>
        </w:tc>
        <w:tc>
          <w:tcPr>
            <w:tcW w:w="703" w:type="pct"/>
            <w:shd w:val="clear" w:color="auto" w:fill="auto"/>
          </w:tcPr>
          <w:p w:rsidR="00910074" w:rsidRPr="003C5ED9" w:rsidRDefault="00910074" w:rsidP="00910074">
            <w:pPr>
              <w:jc w:val="right"/>
              <w:rPr>
                <w:rFonts w:eastAsia="Times New Roman" w:cs="Times New Roman"/>
                <w:lang w:eastAsia="cs-CZ"/>
              </w:rPr>
            </w:pPr>
            <w:r w:rsidRPr="003C5ED9">
              <w:rPr>
                <w:rFonts w:eastAsia="Times New Roman" w:cs="Times New Roman"/>
                <w:lang w:eastAsia="cs-CZ"/>
              </w:rPr>
              <w:t>2 168</w:t>
            </w:r>
          </w:p>
        </w:tc>
        <w:tc>
          <w:tcPr>
            <w:tcW w:w="625" w:type="pct"/>
            <w:shd w:val="clear" w:color="auto" w:fill="auto"/>
          </w:tcPr>
          <w:p w:rsidR="00910074" w:rsidRPr="002D6337" w:rsidRDefault="00910074" w:rsidP="00910074">
            <w:pPr>
              <w:jc w:val="right"/>
              <w:rPr>
                <w:rFonts w:eastAsia="Times New Roman" w:cs="Times New Roman"/>
                <w:lang w:eastAsia="cs-CZ"/>
              </w:rPr>
            </w:pPr>
            <w:r w:rsidRPr="002D6337">
              <w:rPr>
                <w:rFonts w:eastAsia="Times New Roman" w:cs="Times New Roman"/>
                <w:lang w:eastAsia="cs-CZ"/>
              </w:rPr>
              <w:t>2 168</w:t>
            </w:r>
          </w:p>
        </w:tc>
        <w:tc>
          <w:tcPr>
            <w:tcW w:w="513" w:type="pct"/>
            <w:shd w:val="clear" w:color="auto" w:fill="auto"/>
          </w:tcPr>
          <w:p w:rsidR="00910074" w:rsidRPr="00244E04" w:rsidRDefault="00910074" w:rsidP="00910074">
            <w:pPr>
              <w:jc w:val="right"/>
              <w:rPr>
                <w:rFonts w:eastAsia="Times New Roman" w:cs="Times New Roman"/>
                <w:lang w:eastAsia="cs-CZ"/>
              </w:rPr>
            </w:pPr>
            <w:r w:rsidRPr="00244E04">
              <w:rPr>
                <w:rFonts w:eastAsia="Times New Roman" w:cs="Times New Roman"/>
                <w:lang w:eastAsia="cs-CZ"/>
              </w:rPr>
              <w:t>100,00</w:t>
            </w:r>
          </w:p>
        </w:tc>
      </w:tr>
      <w:tr w:rsidR="00910074" w:rsidRPr="00E24034" w:rsidTr="00910074">
        <w:trPr>
          <w:trHeight w:val="248"/>
        </w:trPr>
        <w:tc>
          <w:tcPr>
            <w:tcW w:w="2376" w:type="pct"/>
            <w:tcBorders>
              <w:bottom w:val="nil"/>
            </w:tcBorders>
            <w:shd w:val="clear" w:color="auto" w:fill="auto"/>
          </w:tcPr>
          <w:p w:rsidR="00910074" w:rsidRPr="009B5F05" w:rsidRDefault="00910074" w:rsidP="00910074">
            <w:pPr>
              <w:rPr>
                <w:rFonts w:eastAsia="Times New Roman" w:cs="Times New Roman"/>
                <w:lang w:eastAsia="cs-CZ"/>
              </w:rPr>
            </w:pPr>
            <w:r w:rsidRPr="009B5F05">
              <w:rPr>
                <w:rFonts w:eastAsia="Times New Roman" w:cs="Times New Roman"/>
                <w:lang w:eastAsia="cs-CZ"/>
              </w:rPr>
              <w:t>ostatní neinvestiční nákupy a související výdaje</w:t>
            </w:r>
          </w:p>
        </w:tc>
        <w:tc>
          <w:tcPr>
            <w:tcW w:w="782" w:type="pct"/>
            <w:tcBorders>
              <w:bottom w:val="nil"/>
            </w:tcBorders>
            <w:shd w:val="clear" w:color="auto" w:fill="auto"/>
            <w:vAlign w:val="center"/>
          </w:tcPr>
          <w:p w:rsidR="00910074" w:rsidRPr="003C5ED9" w:rsidRDefault="00910074" w:rsidP="00910074">
            <w:pPr>
              <w:jc w:val="right"/>
              <w:rPr>
                <w:rFonts w:eastAsia="Times New Roman" w:cs="Times New Roman"/>
                <w:bCs/>
                <w:lang w:eastAsia="cs-CZ"/>
              </w:rPr>
            </w:pPr>
            <w:r w:rsidRPr="003C5ED9">
              <w:rPr>
                <w:rFonts w:eastAsia="Times New Roman" w:cs="Times New Roman"/>
                <w:bCs/>
                <w:lang w:eastAsia="cs-CZ"/>
              </w:rPr>
              <w:t>41 788</w:t>
            </w:r>
          </w:p>
        </w:tc>
        <w:tc>
          <w:tcPr>
            <w:tcW w:w="703" w:type="pct"/>
            <w:tcBorders>
              <w:bottom w:val="nil"/>
            </w:tcBorders>
            <w:shd w:val="clear" w:color="auto" w:fill="auto"/>
            <w:vAlign w:val="center"/>
          </w:tcPr>
          <w:p w:rsidR="00910074" w:rsidRPr="003C5ED9" w:rsidRDefault="00910074" w:rsidP="00910074">
            <w:pPr>
              <w:jc w:val="right"/>
              <w:rPr>
                <w:rFonts w:eastAsia="Times New Roman" w:cs="Times New Roman"/>
                <w:lang w:eastAsia="cs-CZ"/>
              </w:rPr>
            </w:pPr>
            <w:r w:rsidRPr="003C5ED9">
              <w:rPr>
                <w:rFonts w:eastAsia="Times New Roman" w:cs="Times New Roman"/>
                <w:lang w:eastAsia="cs-CZ"/>
              </w:rPr>
              <w:t>44 621</w:t>
            </w:r>
          </w:p>
        </w:tc>
        <w:tc>
          <w:tcPr>
            <w:tcW w:w="625" w:type="pct"/>
            <w:tcBorders>
              <w:bottom w:val="nil"/>
            </w:tcBorders>
            <w:shd w:val="clear" w:color="auto" w:fill="auto"/>
            <w:vAlign w:val="center"/>
          </w:tcPr>
          <w:p w:rsidR="00910074" w:rsidRPr="002D6337" w:rsidRDefault="00910074" w:rsidP="00910074">
            <w:pPr>
              <w:jc w:val="right"/>
              <w:rPr>
                <w:rFonts w:eastAsia="Times New Roman" w:cs="Times New Roman"/>
                <w:lang w:eastAsia="cs-CZ"/>
              </w:rPr>
            </w:pPr>
            <w:r w:rsidRPr="002D6337">
              <w:rPr>
                <w:rFonts w:eastAsia="Times New Roman" w:cs="Times New Roman"/>
                <w:lang w:eastAsia="cs-CZ"/>
              </w:rPr>
              <w:t>46 421</w:t>
            </w:r>
          </w:p>
        </w:tc>
        <w:tc>
          <w:tcPr>
            <w:tcW w:w="513" w:type="pct"/>
            <w:tcBorders>
              <w:bottom w:val="nil"/>
            </w:tcBorders>
            <w:shd w:val="clear" w:color="auto" w:fill="auto"/>
            <w:vAlign w:val="center"/>
          </w:tcPr>
          <w:p w:rsidR="00910074" w:rsidRPr="00244E04" w:rsidRDefault="00910074" w:rsidP="00910074">
            <w:pPr>
              <w:jc w:val="right"/>
              <w:rPr>
                <w:rFonts w:eastAsia="Times New Roman" w:cs="Times New Roman"/>
                <w:lang w:eastAsia="cs-CZ"/>
              </w:rPr>
            </w:pPr>
            <w:r w:rsidRPr="00244E04">
              <w:rPr>
                <w:rFonts w:eastAsia="Times New Roman" w:cs="Times New Roman"/>
                <w:lang w:eastAsia="cs-CZ"/>
              </w:rPr>
              <w:t>104,03</w:t>
            </w:r>
          </w:p>
        </w:tc>
      </w:tr>
      <w:tr w:rsidR="00910074" w:rsidRPr="00E24034" w:rsidTr="00910074">
        <w:trPr>
          <w:trHeight w:val="232"/>
        </w:trPr>
        <w:tc>
          <w:tcPr>
            <w:tcW w:w="2376" w:type="pct"/>
            <w:tcBorders>
              <w:top w:val="nil"/>
              <w:bottom w:val="single" w:sz="8" w:space="0" w:color="7F7F7F" w:themeColor="text1" w:themeTint="80"/>
            </w:tcBorders>
            <w:shd w:val="clear" w:color="auto" w:fill="auto"/>
          </w:tcPr>
          <w:p w:rsidR="00910074" w:rsidRPr="009B5F05" w:rsidRDefault="00910074" w:rsidP="000D6B88">
            <w:pPr>
              <w:jc w:val="left"/>
              <w:rPr>
                <w:rFonts w:eastAsia="Times New Roman" w:cs="Times New Roman"/>
                <w:i/>
                <w:lang w:eastAsia="cs-CZ"/>
              </w:rPr>
            </w:pPr>
            <w:r w:rsidRPr="009B5F05">
              <w:rPr>
                <w:rFonts w:eastAsia="Times New Roman" w:cs="Times New Roman"/>
                <w:i/>
                <w:lang w:eastAsia="cs-CZ"/>
              </w:rPr>
              <w:t xml:space="preserve">z toho: programové financování (EDS/SMVS) </w:t>
            </w:r>
          </w:p>
        </w:tc>
        <w:tc>
          <w:tcPr>
            <w:tcW w:w="782" w:type="pct"/>
            <w:tcBorders>
              <w:top w:val="nil"/>
              <w:bottom w:val="single" w:sz="8" w:space="0" w:color="7F7F7F" w:themeColor="text1" w:themeTint="80"/>
            </w:tcBorders>
            <w:shd w:val="clear" w:color="auto" w:fill="auto"/>
            <w:vAlign w:val="center"/>
          </w:tcPr>
          <w:p w:rsidR="00910074" w:rsidRPr="003C5ED9" w:rsidRDefault="00910074" w:rsidP="00910074">
            <w:pPr>
              <w:jc w:val="right"/>
              <w:rPr>
                <w:rFonts w:eastAsia="Times New Roman" w:cs="Times New Roman"/>
                <w:bCs/>
                <w:i/>
                <w:lang w:eastAsia="cs-CZ"/>
              </w:rPr>
            </w:pPr>
            <w:r w:rsidRPr="003C5ED9">
              <w:rPr>
                <w:rFonts w:eastAsia="Times New Roman" w:cs="Times New Roman"/>
                <w:bCs/>
                <w:i/>
                <w:lang w:eastAsia="cs-CZ"/>
              </w:rPr>
              <w:t>0</w:t>
            </w:r>
          </w:p>
        </w:tc>
        <w:tc>
          <w:tcPr>
            <w:tcW w:w="703" w:type="pct"/>
            <w:tcBorders>
              <w:top w:val="nil"/>
              <w:bottom w:val="single" w:sz="8" w:space="0" w:color="7F7F7F" w:themeColor="text1" w:themeTint="80"/>
            </w:tcBorders>
            <w:shd w:val="clear" w:color="auto" w:fill="auto"/>
            <w:vAlign w:val="center"/>
          </w:tcPr>
          <w:p w:rsidR="00910074" w:rsidRPr="003C5ED9" w:rsidRDefault="00910074" w:rsidP="00910074">
            <w:pPr>
              <w:jc w:val="right"/>
              <w:rPr>
                <w:rFonts w:eastAsia="Times New Roman" w:cs="Times New Roman"/>
                <w:i/>
                <w:lang w:eastAsia="cs-CZ"/>
              </w:rPr>
            </w:pPr>
            <w:r w:rsidRPr="003C5ED9">
              <w:rPr>
                <w:rFonts w:eastAsia="Times New Roman" w:cs="Times New Roman"/>
                <w:i/>
                <w:lang w:eastAsia="cs-CZ"/>
              </w:rPr>
              <w:t>0</w:t>
            </w:r>
          </w:p>
        </w:tc>
        <w:tc>
          <w:tcPr>
            <w:tcW w:w="625" w:type="pct"/>
            <w:tcBorders>
              <w:top w:val="nil"/>
              <w:bottom w:val="single" w:sz="8" w:space="0" w:color="7F7F7F" w:themeColor="text1" w:themeTint="80"/>
            </w:tcBorders>
            <w:shd w:val="clear" w:color="auto" w:fill="auto"/>
            <w:vAlign w:val="center"/>
          </w:tcPr>
          <w:p w:rsidR="00910074" w:rsidRPr="002D6337" w:rsidRDefault="00910074" w:rsidP="00910074">
            <w:pPr>
              <w:jc w:val="right"/>
              <w:rPr>
                <w:rFonts w:eastAsia="Times New Roman" w:cs="Times New Roman"/>
                <w:i/>
                <w:lang w:eastAsia="cs-CZ"/>
              </w:rPr>
            </w:pPr>
            <w:r w:rsidRPr="002D6337">
              <w:rPr>
                <w:rFonts w:eastAsia="Times New Roman" w:cs="Times New Roman"/>
                <w:i/>
                <w:lang w:eastAsia="cs-CZ"/>
              </w:rPr>
              <w:t>0</w:t>
            </w:r>
          </w:p>
        </w:tc>
        <w:tc>
          <w:tcPr>
            <w:tcW w:w="513" w:type="pct"/>
            <w:tcBorders>
              <w:top w:val="nil"/>
              <w:bottom w:val="single" w:sz="8" w:space="0" w:color="7F7F7F" w:themeColor="text1" w:themeTint="80"/>
            </w:tcBorders>
            <w:shd w:val="clear" w:color="auto" w:fill="auto"/>
            <w:vAlign w:val="center"/>
          </w:tcPr>
          <w:p w:rsidR="00910074" w:rsidRPr="00244E04" w:rsidRDefault="00910074" w:rsidP="00910074">
            <w:pPr>
              <w:jc w:val="right"/>
              <w:rPr>
                <w:rFonts w:eastAsia="Times New Roman" w:cs="Times New Roman"/>
                <w:i/>
                <w:lang w:eastAsia="cs-CZ"/>
              </w:rPr>
            </w:pPr>
            <w:r w:rsidRPr="00244E04">
              <w:rPr>
                <w:rFonts w:eastAsia="Times New Roman" w:cs="Times New Roman"/>
                <w:i/>
                <w:lang w:eastAsia="cs-CZ"/>
              </w:rPr>
              <w:t>x</w:t>
            </w:r>
          </w:p>
        </w:tc>
      </w:tr>
    </w:tbl>
    <w:p w:rsidR="00910074" w:rsidRPr="000A2084" w:rsidRDefault="00910074" w:rsidP="00910074">
      <w:pPr>
        <w:keepLines/>
        <w:spacing w:before="240" w:after="240" w:line="276" w:lineRule="auto"/>
        <w:rPr>
          <w:rFonts w:eastAsia="Times New Roman" w:cs="Times New Roman"/>
          <w:iCs/>
          <w:szCs w:val="24"/>
          <w:lang w:eastAsia="cs-CZ"/>
        </w:rPr>
      </w:pPr>
      <w:r w:rsidRPr="000A2084">
        <w:rPr>
          <w:rFonts w:eastAsia="Times New Roman" w:cs="Times New Roman"/>
          <w:iCs/>
          <w:szCs w:val="24"/>
          <w:lang w:eastAsia="cs-CZ"/>
        </w:rPr>
        <w:t>Navrhovaný objem běžných výdajů na rok 2021 je oproti roku 2020 vyšší o 1 800 tis. Kč.</w:t>
      </w:r>
    </w:p>
    <w:p w:rsidR="00910074" w:rsidRPr="000A2084" w:rsidRDefault="00910074" w:rsidP="00910074">
      <w:pPr>
        <w:keepLines/>
        <w:spacing w:before="200" w:after="200" w:line="276" w:lineRule="auto"/>
        <w:rPr>
          <w:rFonts w:eastAsia="Times New Roman" w:cs="Times New Roman"/>
          <w:iCs/>
          <w:szCs w:val="24"/>
          <w:lang w:eastAsia="cs-CZ"/>
        </w:rPr>
      </w:pPr>
      <w:r w:rsidRPr="000A2084">
        <w:rPr>
          <w:rFonts w:eastAsia="Times New Roman" w:cs="Times New Roman"/>
          <w:iCs/>
          <w:szCs w:val="24"/>
          <w:lang w:eastAsia="cs-CZ"/>
        </w:rPr>
        <w:t xml:space="preserve">Výdaje na platy včetně příslušenství </w:t>
      </w:r>
      <w:r>
        <w:rPr>
          <w:rFonts w:eastAsia="Times New Roman" w:cs="Times New Roman"/>
          <w:iCs/>
          <w:szCs w:val="24"/>
          <w:lang w:eastAsia="cs-CZ"/>
        </w:rPr>
        <w:t>zůstali</w:t>
      </w:r>
      <w:r w:rsidRPr="000A2084">
        <w:rPr>
          <w:rFonts w:eastAsia="Times New Roman" w:cs="Times New Roman"/>
          <w:iCs/>
          <w:szCs w:val="24"/>
          <w:lang w:eastAsia="cs-CZ"/>
        </w:rPr>
        <w:t xml:space="preserve"> na stejné úrovni jako v roce 2020. Počet zaměstnanců organizace pro rok 2021 je navržen ve výši 166 zaměstnanců, </w:t>
      </w:r>
      <w:r>
        <w:rPr>
          <w:rFonts w:eastAsia="Times New Roman" w:cs="Times New Roman"/>
          <w:iCs/>
          <w:szCs w:val="24"/>
          <w:lang w:eastAsia="cs-CZ"/>
        </w:rPr>
        <w:t xml:space="preserve">                                           </w:t>
      </w:r>
      <w:r w:rsidRPr="000A2084">
        <w:rPr>
          <w:rFonts w:eastAsia="Times New Roman" w:cs="Times New Roman"/>
          <w:iCs/>
          <w:szCs w:val="24"/>
          <w:lang w:eastAsia="cs-CZ"/>
        </w:rPr>
        <w:t>v tom 15 zaměstnanců v pracovním poměru a 151 státních zaměstnanců. Ve srovnání s rokem 2020 nedochází ke změně.</w:t>
      </w:r>
    </w:p>
    <w:p w:rsidR="00910074" w:rsidRPr="000A2084" w:rsidRDefault="00910074" w:rsidP="00910074">
      <w:pPr>
        <w:keepLines/>
        <w:spacing w:before="200" w:after="240" w:line="276" w:lineRule="auto"/>
        <w:rPr>
          <w:rFonts w:eastAsia="Times New Roman" w:cs="Times New Roman"/>
          <w:iCs/>
          <w:color w:val="FF0000"/>
          <w:szCs w:val="24"/>
          <w:lang w:eastAsia="cs-CZ"/>
        </w:rPr>
      </w:pPr>
      <w:r w:rsidRPr="000A2084">
        <w:rPr>
          <w:rFonts w:eastAsia="Times New Roman" w:cs="Times New Roman"/>
          <w:iCs/>
          <w:szCs w:val="24"/>
          <w:lang w:eastAsia="cs-CZ"/>
        </w:rPr>
        <w:t>Ostatní běžné výdaje jsou pro rok 2021 navrhovány o 1 800 tis. Kč vyšší než v roce 2020. Navýšení ostatních běžných výdajů je kompenzováno snížením kapitálových výdajů                        o 1 800 tis. Kč.  K tomuto navýšení dochází zejména v souvislosti se zajištěním provozuschopnosti informačních technologií, zajištěním školení a vzdělávání pracovníků                     a zajištění nákupu ostatních služeb.</w:t>
      </w:r>
    </w:p>
    <w:p w:rsidR="00EC0900" w:rsidRPr="00E24034" w:rsidRDefault="00910074" w:rsidP="00910074">
      <w:pPr>
        <w:pStyle w:val="Styl1"/>
        <w:rPr>
          <w:color w:val="FF0000"/>
        </w:rPr>
      </w:pPr>
      <w:r w:rsidRPr="000A2084">
        <w:t xml:space="preserve">Největší položku běžných výdajů tvoří výdaje na platy zaměstnanců, ostatní platby </w:t>
      </w:r>
      <w:r w:rsidRPr="000A2084">
        <w:br/>
        <w:t>za provedenou práci a s  tím související povinné platby (pojistné a příděl FKSP). V rámci ostatních běžných výdajů činí největší podíl výdaje na nákup služeb (např. pronájem nebytových prostor, školení zaměstnanců, servis k technickému zázemí budovy včetně ICT, zpracování dat), výdaje na opravy a údržbu majetku a cestovné.</w:t>
      </w:r>
      <w:r w:rsidR="00EC0900" w:rsidRPr="00E24034">
        <w:rPr>
          <w:color w:val="FF0000"/>
        </w:rPr>
        <w:t xml:space="preserve">  </w:t>
      </w:r>
    </w:p>
    <w:p w:rsidR="00BD28A7" w:rsidRPr="002E1BFA" w:rsidRDefault="00BD28A7" w:rsidP="003949CB">
      <w:pPr>
        <w:pStyle w:val="obyctext"/>
        <w:spacing w:before="360" w:after="120"/>
        <w:ind w:firstLine="0"/>
        <w:rPr>
          <w:b/>
          <w:bCs/>
          <w:u w:val="single"/>
        </w:rPr>
      </w:pPr>
      <w:r w:rsidRPr="002E1BFA">
        <w:rPr>
          <w:b/>
          <w:bCs/>
          <w:u w:val="single"/>
        </w:rPr>
        <w:lastRenderedPageBreak/>
        <w:t xml:space="preserve">Státní plavební správa    </w:t>
      </w:r>
    </w:p>
    <w:p w:rsidR="002E1BFA" w:rsidRPr="00F765CF" w:rsidRDefault="002E1BFA" w:rsidP="002E1BFA">
      <w:pPr>
        <w:keepLines/>
        <w:spacing w:before="200" w:after="200" w:line="276" w:lineRule="auto"/>
        <w:rPr>
          <w:rFonts w:eastAsia="Times New Roman" w:cs="Times New Roman"/>
          <w:iCs/>
          <w:szCs w:val="24"/>
          <w:lang w:eastAsia="cs-CZ"/>
        </w:rPr>
      </w:pPr>
      <w:r w:rsidRPr="00F765CF">
        <w:rPr>
          <w:rFonts w:eastAsia="Times New Roman" w:cs="Times New Roman"/>
          <w:iCs/>
          <w:szCs w:val="24"/>
          <w:lang w:eastAsia="cs-CZ"/>
        </w:rPr>
        <w:t xml:space="preserve">Státní plavební správa je správním úřadem, který vykonává státní správu a státní dozor při provozování plavby na vnitrozemských vodních cestách ve věcech stanovených zákonem </w:t>
      </w:r>
      <w:r w:rsidRPr="00F765CF">
        <w:rPr>
          <w:rFonts w:eastAsia="Times New Roman" w:cs="Times New Roman"/>
          <w:iCs/>
          <w:szCs w:val="24"/>
          <w:lang w:eastAsia="cs-CZ"/>
        </w:rPr>
        <w:br/>
        <w:t xml:space="preserve">č. 114/1995 Sb., o vnitrozemské plavbě, ve znění pozdějších předpisů, jakož i zákonem č. 254/2001 Sb., o vodách a o změně některých zákonů (vodní zákon), ve znění pozdějších předpisů. </w:t>
      </w:r>
    </w:p>
    <w:p w:rsidR="002E1BFA" w:rsidRPr="00F765CF" w:rsidRDefault="002E1BFA" w:rsidP="002E1BFA">
      <w:pPr>
        <w:keepNext/>
        <w:spacing w:before="120" w:after="120" w:line="240" w:lineRule="auto"/>
        <w:rPr>
          <w:rFonts w:eastAsia="Times New Roman" w:cs="Times New Roman"/>
          <w:b/>
          <w:bCs/>
          <w:sz w:val="20"/>
          <w:szCs w:val="20"/>
          <w:lang w:eastAsia="cs-CZ"/>
        </w:rPr>
      </w:pPr>
      <w:r w:rsidRPr="00F765CF">
        <w:rPr>
          <w:rFonts w:eastAsia="Times New Roman" w:cs="Times New Roman"/>
          <w:b/>
          <w:bCs/>
          <w:sz w:val="20"/>
          <w:szCs w:val="20"/>
          <w:lang w:eastAsia="cs-CZ"/>
        </w:rPr>
        <w:t xml:space="preserve">Tabulka č. </w:t>
      </w:r>
      <w:r w:rsidRPr="00F765CF">
        <w:rPr>
          <w:rFonts w:eastAsia="Times New Roman" w:cs="Times New Roman"/>
          <w:b/>
          <w:bCs/>
          <w:sz w:val="20"/>
          <w:szCs w:val="20"/>
          <w:lang w:eastAsia="cs-CZ"/>
        </w:rPr>
        <w:fldChar w:fldCharType="begin"/>
      </w:r>
      <w:r w:rsidRPr="00F765CF">
        <w:rPr>
          <w:rFonts w:eastAsia="Times New Roman" w:cs="Times New Roman"/>
          <w:b/>
          <w:bCs/>
          <w:sz w:val="20"/>
          <w:szCs w:val="20"/>
          <w:lang w:eastAsia="cs-CZ"/>
        </w:rPr>
        <w:instrText xml:space="preserve"> SEQ Tabulka \* ARABIC </w:instrText>
      </w:r>
      <w:r w:rsidRPr="00F765CF">
        <w:rPr>
          <w:rFonts w:eastAsia="Times New Roman" w:cs="Times New Roman"/>
          <w:b/>
          <w:bCs/>
          <w:sz w:val="20"/>
          <w:szCs w:val="20"/>
          <w:lang w:eastAsia="cs-CZ"/>
        </w:rPr>
        <w:fldChar w:fldCharType="separate"/>
      </w:r>
      <w:r w:rsidR="006076E7">
        <w:rPr>
          <w:rFonts w:eastAsia="Times New Roman" w:cs="Times New Roman"/>
          <w:b/>
          <w:bCs/>
          <w:noProof/>
          <w:sz w:val="20"/>
          <w:szCs w:val="20"/>
          <w:lang w:eastAsia="cs-CZ"/>
        </w:rPr>
        <w:t>11</w:t>
      </w:r>
      <w:r w:rsidRPr="00F765CF">
        <w:rPr>
          <w:rFonts w:eastAsia="Times New Roman" w:cs="Times New Roman"/>
          <w:b/>
          <w:bCs/>
          <w:noProof/>
          <w:sz w:val="20"/>
          <w:szCs w:val="20"/>
          <w:lang w:eastAsia="cs-CZ"/>
        </w:rPr>
        <w:fldChar w:fldCharType="end"/>
      </w:r>
      <w:r w:rsidRPr="00F765CF">
        <w:rPr>
          <w:rFonts w:eastAsia="Times New Roman" w:cs="Times New Roman"/>
          <w:b/>
          <w:bCs/>
          <w:sz w:val="20"/>
          <w:szCs w:val="20"/>
          <w:lang w:eastAsia="cs-CZ"/>
        </w:rPr>
        <w:t xml:space="preserve"> Státní plavební správa – běžné výdaje (v tis. Kč)</w:t>
      </w:r>
    </w:p>
    <w:tbl>
      <w:tblPr>
        <w:tblStyle w:val="Svtltabulkasmkou1zvraznn1"/>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80"/>
        <w:gridCol w:w="1380"/>
        <w:gridCol w:w="1276"/>
        <w:gridCol w:w="1134"/>
        <w:gridCol w:w="992"/>
      </w:tblGrid>
      <w:tr w:rsidR="002E1BFA" w:rsidRPr="00F765CF" w:rsidTr="00910074">
        <w:tc>
          <w:tcPr>
            <w:tcW w:w="42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2E1BFA" w:rsidRPr="00F765CF" w:rsidRDefault="002E1BFA" w:rsidP="00910074">
            <w:pPr>
              <w:jc w:val="center"/>
              <w:rPr>
                <w:rFonts w:eastAsia="Times New Roman" w:cs="Times New Roman"/>
                <w:b/>
                <w:szCs w:val="24"/>
                <w:lang w:eastAsia="cs-CZ"/>
              </w:rPr>
            </w:pPr>
            <w:r w:rsidRPr="00F765CF">
              <w:rPr>
                <w:rFonts w:eastAsia="Times New Roman" w:cs="Times New Roman"/>
                <w:b/>
                <w:szCs w:val="24"/>
                <w:lang w:eastAsia="cs-CZ"/>
              </w:rPr>
              <w:t>Ukazatel</w:t>
            </w:r>
          </w:p>
        </w:tc>
        <w:tc>
          <w:tcPr>
            <w:tcW w:w="13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2E1BFA" w:rsidRPr="00F765CF" w:rsidRDefault="002E1BFA" w:rsidP="00910074">
            <w:pPr>
              <w:jc w:val="center"/>
              <w:rPr>
                <w:rFonts w:eastAsia="Times New Roman" w:cs="Times New Roman"/>
                <w:b/>
                <w:szCs w:val="24"/>
                <w:lang w:eastAsia="cs-CZ"/>
              </w:rPr>
            </w:pPr>
            <w:r w:rsidRPr="00F765CF">
              <w:rPr>
                <w:rFonts w:eastAsia="Times New Roman" w:cs="Times New Roman"/>
                <w:b/>
                <w:szCs w:val="24"/>
                <w:lang w:eastAsia="cs-CZ"/>
              </w:rPr>
              <w:t>Skutečnost</w:t>
            </w:r>
          </w:p>
          <w:p w:rsidR="002E1BFA" w:rsidRPr="00F765CF" w:rsidRDefault="002E1BFA" w:rsidP="00910074">
            <w:pPr>
              <w:jc w:val="center"/>
              <w:rPr>
                <w:rFonts w:eastAsia="Times New Roman" w:cs="Times New Roman"/>
                <w:b/>
                <w:szCs w:val="24"/>
                <w:lang w:eastAsia="cs-CZ"/>
              </w:rPr>
            </w:pPr>
            <w:r w:rsidRPr="00F765CF">
              <w:rPr>
                <w:rFonts w:eastAsia="Times New Roman" w:cs="Times New Roman"/>
                <w:b/>
                <w:szCs w:val="24"/>
                <w:lang w:eastAsia="cs-CZ"/>
              </w:rPr>
              <w:t>2019</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2E1BFA" w:rsidRPr="00F765CF" w:rsidRDefault="002E1BFA" w:rsidP="00910074">
            <w:pPr>
              <w:jc w:val="center"/>
              <w:rPr>
                <w:rFonts w:eastAsia="Times New Roman" w:cs="Times New Roman"/>
                <w:b/>
                <w:szCs w:val="24"/>
                <w:lang w:eastAsia="cs-CZ"/>
              </w:rPr>
            </w:pPr>
            <w:r w:rsidRPr="00F765CF">
              <w:rPr>
                <w:rFonts w:eastAsia="Times New Roman" w:cs="Times New Roman"/>
                <w:b/>
                <w:szCs w:val="24"/>
                <w:lang w:eastAsia="cs-CZ"/>
              </w:rPr>
              <w:t>Schválený</w:t>
            </w:r>
          </w:p>
          <w:p w:rsidR="002E1BFA" w:rsidRPr="00F765CF" w:rsidRDefault="002E1BFA" w:rsidP="00910074">
            <w:pPr>
              <w:jc w:val="center"/>
              <w:rPr>
                <w:rFonts w:eastAsia="Times New Roman" w:cs="Times New Roman"/>
                <w:b/>
                <w:szCs w:val="24"/>
                <w:lang w:eastAsia="cs-CZ"/>
              </w:rPr>
            </w:pPr>
            <w:r w:rsidRPr="00F765CF">
              <w:rPr>
                <w:rFonts w:eastAsia="Times New Roman" w:cs="Times New Roman"/>
                <w:b/>
                <w:szCs w:val="24"/>
                <w:lang w:eastAsia="cs-CZ"/>
              </w:rPr>
              <w:t>rozpočet</w:t>
            </w:r>
          </w:p>
          <w:p w:rsidR="002E1BFA" w:rsidRPr="00F765CF" w:rsidRDefault="002E1BFA" w:rsidP="00910074">
            <w:pPr>
              <w:jc w:val="center"/>
              <w:rPr>
                <w:rFonts w:eastAsia="Times New Roman" w:cs="Times New Roman"/>
                <w:b/>
                <w:szCs w:val="24"/>
                <w:lang w:eastAsia="cs-CZ"/>
              </w:rPr>
            </w:pPr>
            <w:r w:rsidRPr="00F765CF">
              <w:rPr>
                <w:rFonts w:eastAsia="Times New Roman" w:cs="Times New Roman"/>
                <w:b/>
                <w:szCs w:val="24"/>
                <w:lang w:eastAsia="cs-CZ"/>
              </w:rPr>
              <w:t>2020</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2E1BFA" w:rsidRPr="00F765CF" w:rsidRDefault="002E1BFA" w:rsidP="00910074">
            <w:pPr>
              <w:jc w:val="center"/>
              <w:rPr>
                <w:rFonts w:eastAsia="Times New Roman" w:cs="Times New Roman"/>
                <w:b/>
                <w:szCs w:val="24"/>
                <w:lang w:eastAsia="cs-CZ"/>
              </w:rPr>
            </w:pPr>
            <w:r w:rsidRPr="00F765CF">
              <w:rPr>
                <w:rFonts w:eastAsia="Times New Roman" w:cs="Times New Roman"/>
                <w:b/>
                <w:szCs w:val="24"/>
                <w:lang w:eastAsia="cs-CZ"/>
              </w:rPr>
              <w:t>Návrh</w:t>
            </w:r>
          </w:p>
          <w:p w:rsidR="002E1BFA" w:rsidRPr="00F765CF" w:rsidRDefault="002E1BFA" w:rsidP="00910074">
            <w:pPr>
              <w:jc w:val="center"/>
              <w:rPr>
                <w:rFonts w:eastAsia="Times New Roman" w:cs="Times New Roman"/>
                <w:b/>
                <w:szCs w:val="24"/>
                <w:lang w:eastAsia="cs-CZ"/>
              </w:rPr>
            </w:pPr>
            <w:r w:rsidRPr="00F765CF">
              <w:rPr>
                <w:rFonts w:eastAsia="Times New Roman" w:cs="Times New Roman"/>
                <w:b/>
                <w:szCs w:val="24"/>
                <w:lang w:eastAsia="cs-CZ"/>
              </w:rPr>
              <w:t>rozpočtu</w:t>
            </w:r>
          </w:p>
          <w:p w:rsidR="002E1BFA" w:rsidRPr="00F765CF" w:rsidRDefault="002E1BFA" w:rsidP="00910074">
            <w:pPr>
              <w:jc w:val="center"/>
              <w:rPr>
                <w:rFonts w:eastAsia="Times New Roman" w:cs="Times New Roman"/>
                <w:b/>
                <w:szCs w:val="24"/>
                <w:lang w:eastAsia="cs-CZ"/>
              </w:rPr>
            </w:pPr>
            <w:r w:rsidRPr="00F765CF">
              <w:rPr>
                <w:rFonts w:eastAsia="Times New Roman" w:cs="Times New Roman"/>
                <w:b/>
                <w:szCs w:val="24"/>
                <w:lang w:eastAsia="cs-CZ"/>
              </w:rPr>
              <w:t>2021</w:t>
            </w:r>
          </w:p>
        </w:tc>
        <w:tc>
          <w:tcPr>
            <w:tcW w:w="99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2E1BFA" w:rsidRPr="00F765CF" w:rsidRDefault="002E1BFA" w:rsidP="00910074">
            <w:pPr>
              <w:jc w:val="center"/>
              <w:rPr>
                <w:rFonts w:eastAsia="Times New Roman" w:cs="Times New Roman"/>
                <w:b/>
                <w:szCs w:val="24"/>
                <w:lang w:eastAsia="cs-CZ"/>
              </w:rPr>
            </w:pPr>
            <w:r w:rsidRPr="00F765CF">
              <w:rPr>
                <w:rFonts w:eastAsia="Times New Roman" w:cs="Times New Roman"/>
                <w:b/>
                <w:szCs w:val="24"/>
                <w:lang w:eastAsia="cs-CZ"/>
              </w:rPr>
              <w:t>Index</w:t>
            </w:r>
          </w:p>
          <w:p w:rsidR="002E1BFA" w:rsidRPr="00F765CF" w:rsidRDefault="002E1BFA" w:rsidP="00910074">
            <w:pPr>
              <w:jc w:val="center"/>
              <w:rPr>
                <w:rFonts w:eastAsia="Times New Roman" w:cs="Times New Roman"/>
                <w:b/>
                <w:szCs w:val="24"/>
                <w:lang w:eastAsia="cs-CZ"/>
              </w:rPr>
            </w:pPr>
            <w:r w:rsidRPr="00F765CF">
              <w:rPr>
                <w:rFonts w:eastAsia="Times New Roman" w:cs="Times New Roman"/>
                <w:b/>
                <w:szCs w:val="24"/>
                <w:lang w:eastAsia="cs-CZ"/>
              </w:rPr>
              <w:t>2021/</w:t>
            </w:r>
            <w:r w:rsidRPr="00F765CF">
              <w:rPr>
                <w:rFonts w:eastAsia="Times New Roman" w:cs="Times New Roman"/>
                <w:b/>
                <w:szCs w:val="24"/>
                <w:lang w:eastAsia="cs-CZ"/>
              </w:rPr>
              <w:br/>
              <w:t xml:space="preserve">2020 </w:t>
            </w:r>
            <w:r w:rsidRPr="00F765CF">
              <w:rPr>
                <w:rFonts w:eastAsia="Times New Roman" w:cs="Times New Roman"/>
                <w:b/>
                <w:szCs w:val="24"/>
                <w:lang w:eastAsia="cs-CZ"/>
              </w:rPr>
              <w:br/>
              <w:t>(v %)</w:t>
            </w:r>
          </w:p>
        </w:tc>
      </w:tr>
      <w:tr w:rsidR="002E1BFA" w:rsidRPr="00F765CF" w:rsidTr="00910074">
        <w:tc>
          <w:tcPr>
            <w:tcW w:w="4280" w:type="dxa"/>
            <w:tcBorders>
              <w:top w:val="single" w:sz="4" w:space="0" w:color="7F7F7F" w:themeColor="text1" w:themeTint="80"/>
              <w:bottom w:val="single" w:sz="8" w:space="0" w:color="7F7F7F" w:themeColor="text1" w:themeTint="80"/>
            </w:tcBorders>
            <w:shd w:val="clear" w:color="auto" w:fill="auto"/>
          </w:tcPr>
          <w:p w:rsidR="002E1BFA" w:rsidRPr="00F765CF" w:rsidRDefault="002E1BFA" w:rsidP="00910074">
            <w:pPr>
              <w:jc w:val="center"/>
              <w:rPr>
                <w:rFonts w:eastAsia="Times New Roman" w:cs="Times New Roman"/>
                <w:szCs w:val="24"/>
                <w:lang w:eastAsia="cs-CZ"/>
              </w:rPr>
            </w:pPr>
            <w:r w:rsidRPr="00F765CF">
              <w:rPr>
                <w:rFonts w:eastAsia="Times New Roman" w:cs="Times New Roman"/>
                <w:szCs w:val="24"/>
                <w:lang w:eastAsia="cs-CZ"/>
              </w:rPr>
              <w:t>a</w:t>
            </w:r>
          </w:p>
        </w:tc>
        <w:tc>
          <w:tcPr>
            <w:tcW w:w="1380" w:type="dxa"/>
            <w:tcBorders>
              <w:top w:val="single" w:sz="4" w:space="0" w:color="7F7F7F" w:themeColor="text1" w:themeTint="80"/>
              <w:bottom w:val="single" w:sz="8" w:space="0" w:color="7F7F7F" w:themeColor="text1" w:themeTint="80"/>
            </w:tcBorders>
            <w:shd w:val="clear" w:color="auto" w:fill="auto"/>
          </w:tcPr>
          <w:p w:rsidR="002E1BFA" w:rsidRPr="00F765CF" w:rsidRDefault="002E1BFA" w:rsidP="00910074">
            <w:pPr>
              <w:jc w:val="center"/>
              <w:rPr>
                <w:rFonts w:eastAsia="Times New Roman" w:cs="Times New Roman"/>
                <w:szCs w:val="24"/>
                <w:lang w:eastAsia="cs-CZ"/>
              </w:rPr>
            </w:pPr>
            <w:r w:rsidRPr="00F765CF">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rsidR="002E1BFA" w:rsidRPr="00F765CF" w:rsidRDefault="002E1BFA" w:rsidP="00910074">
            <w:pPr>
              <w:jc w:val="center"/>
              <w:rPr>
                <w:rFonts w:eastAsia="Times New Roman" w:cs="Times New Roman"/>
                <w:szCs w:val="24"/>
                <w:lang w:eastAsia="cs-CZ"/>
              </w:rPr>
            </w:pPr>
            <w:r w:rsidRPr="00F765CF">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rsidR="002E1BFA" w:rsidRPr="00F765CF" w:rsidRDefault="002E1BFA" w:rsidP="00910074">
            <w:pPr>
              <w:jc w:val="center"/>
              <w:rPr>
                <w:rFonts w:eastAsia="Times New Roman" w:cs="Times New Roman"/>
                <w:szCs w:val="24"/>
                <w:lang w:eastAsia="cs-CZ"/>
              </w:rPr>
            </w:pPr>
            <w:r w:rsidRPr="00F765CF">
              <w:rPr>
                <w:rFonts w:eastAsia="Times New Roman" w:cs="Times New Roman"/>
                <w:szCs w:val="24"/>
                <w:lang w:eastAsia="cs-CZ"/>
              </w:rPr>
              <w:t>3</w:t>
            </w:r>
          </w:p>
        </w:tc>
        <w:tc>
          <w:tcPr>
            <w:tcW w:w="992" w:type="dxa"/>
            <w:tcBorders>
              <w:top w:val="single" w:sz="4" w:space="0" w:color="7F7F7F" w:themeColor="text1" w:themeTint="80"/>
              <w:bottom w:val="single" w:sz="8" w:space="0" w:color="7F7F7F" w:themeColor="text1" w:themeTint="80"/>
            </w:tcBorders>
            <w:shd w:val="clear" w:color="auto" w:fill="auto"/>
          </w:tcPr>
          <w:p w:rsidR="002E1BFA" w:rsidRPr="00F765CF" w:rsidRDefault="002E1BFA" w:rsidP="00910074">
            <w:pPr>
              <w:jc w:val="center"/>
              <w:rPr>
                <w:rFonts w:eastAsia="Times New Roman" w:cs="Times New Roman"/>
                <w:szCs w:val="24"/>
                <w:lang w:eastAsia="cs-CZ"/>
              </w:rPr>
            </w:pPr>
            <w:r w:rsidRPr="00F765CF">
              <w:rPr>
                <w:rFonts w:eastAsia="Times New Roman" w:cs="Times New Roman"/>
                <w:szCs w:val="24"/>
                <w:lang w:eastAsia="cs-CZ"/>
              </w:rPr>
              <w:t>4</w:t>
            </w:r>
          </w:p>
        </w:tc>
      </w:tr>
      <w:tr w:rsidR="002E1BFA" w:rsidRPr="00F765CF" w:rsidTr="00910074">
        <w:trPr>
          <w:trHeight w:val="468"/>
        </w:trPr>
        <w:tc>
          <w:tcPr>
            <w:tcW w:w="4280" w:type="dxa"/>
            <w:tcBorders>
              <w:top w:val="single" w:sz="8" w:space="0" w:color="7F7F7F" w:themeColor="text1" w:themeTint="80"/>
              <w:bottom w:val="single" w:sz="8" w:space="0" w:color="7F7F7F" w:themeColor="text1" w:themeTint="80"/>
            </w:tcBorders>
            <w:shd w:val="clear" w:color="auto" w:fill="auto"/>
          </w:tcPr>
          <w:p w:rsidR="002E1BFA" w:rsidRPr="00F765CF" w:rsidRDefault="002E1BFA" w:rsidP="00910074">
            <w:pPr>
              <w:spacing w:before="120"/>
              <w:rPr>
                <w:rFonts w:eastAsia="Times New Roman" w:cs="Times New Roman"/>
                <w:b/>
                <w:lang w:eastAsia="cs-CZ"/>
              </w:rPr>
            </w:pPr>
            <w:r w:rsidRPr="00F765CF">
              <w:rPr>
                <w:rFonts w:eastAsia="Times New Roman" w:cs="Times New Roman"/>
                <w:b/>
                <w:bCs/>
                <w:lang w:eastAsia="cs-CZ"/>
              </w:rPr>
              <w:t xml:space="preserve">Běžné výdaje </w:t>
            </w:r>
            <w:r w:rsidRPr="00F765CF">
              <w:rPr>
                <w:rFonts w:eastAsia="Times New Roman" w:cs="Times New Roman"/>
                <w:lang w:eastAsia="cs-CZ"/>
              </w:rPr>
              <w:t>v tom:</w:t>
            </w:r>
            <w:r w:rsidRPr="00F765CF">
              <w:rPr>
                <w:rFonts w:eastAsia="Times New Roman" w:cs="Times New Roman"/>
                <w:b/>
                <w:lang w:eastAsia="cs-CZ"/>
              </w:rPr>
              <w:t xml:space="preserve"> </w:t>
            </w:r>
          </w:p>
        </w:tc>
        <w:tc>
          <w:tcPr>
            <w:tcW w:w="1380" w:type="dxa"/>
            <w:tcBorders>
              <w:top w:val="single" w:sz="8" w:space="0" w:color="7F7F7F" w:themeColor="text1" w:themeTint="80"/>
              <w:left w:val="single" w:sz="4" w:space="0" w:color="auto"/>
              <w:bottom w:val="single" w:sz="4" w:space="0" w:color="auto"/>
              <w:right w:val="single" w:sz="4" w:space="0" w:color="auto"/>
            </w:tcBorders>
            <w:vAlign w:val="center"/>
          </w:tcPr>
          <w:p w:rsidR="002E1BFA" w:rsidRPr="00F765CF" w:rsidRDefault="002E1BFA" w:rsidP="00910074">
            <w:pPr>
              <w:jc w:val="right"/>
              <w:rPr>
                <w:b/>
                <w:bCs/>
                <w:szCs w:val="24"/>
              </w:rPr>
            </w:pPr>
            <w:r w:rsidRPr="00F765CF">
              <w:rPr>
                <w:b/>
                <w:bCs/>
                <w:szCs w:val="24"/>
              </w:rPr>
              <w:t>71 376</w:t>
            </w:r>
          </w:p>
        </w:tc>
        <w:tc>
          <w:tcPr>
            <w:tcW w:w="1276" w:type="dxa"/>
            <w:tcBorders>
              <w:top w:val="single" w:sz="8" w:space="0" w:color="7F7F7F" w:themeColor="text1" w:themeTint="80"/>
              <w:left w:val="single" w:sz="4" w:space="0" w:color="auto"/>
              <w:bottom w:val="single" w:sz="4" w:space="0" w:color="auto"/>
              <w:right w:val="single" w:sz="4" w:space="0" w:color="auto"/>
            </w:tcBorders>
            <w:vAlign w:val="center"/>
          </w:tcPr>
          <w:p w:rsidR="002E1BFA" w:rsidRPr="00F765CF" w:rsidRDefault="002E1BFA" w:rsidP="00910074">
            <w:pPr>
              <w:jc w:val="right"/>
              <w:rPr>
                <w:b/>
                <w:bCs/>
                <w:szCs w:val="24"/>
              </w:rPr>
            </w:pPr>
            <w:r w:rsidRPr="00F765CF">
              <w:rPr>
                <w:b/>
                <w:bCs/>
                <w:szCs w:val="24"/>
              </w:rPr>
              <w:t>71 249</w:t>
            </w:r>
          </w:p>
        </w:tc>
        <w:tc>
          <w:tcPr>
            <w:tcW w:w="1134" w:type="dxa"/>
            <w:tcBorders>
              <w:top w:val="single" w:sz="8" w:space="0" w:color="7F7F7F" w:themeColor="text1" w:themeTint="80"/>
              <w:bottom w:val="single" w:sz="8" w:space="0" w:color="7F7F7F" w:themeColor="text1" w:themeTint="80"/>
            </w:tcBorders>
            <w:shd w:val="clear" w:color="auto" w:fill="auto"/>
            <w:vAlign w:val="center"/>
          </w:tcPr>
          <w:p w:rsidR="002E1BFA" w:rsidRPr="00F765CF" w:rsidRDefault="002E1BFA" w:rsidP="00910074">
            <w:pPr>
              <w:jc w:val="right"/>
              <w:rPr>
                <w:rFonts w:eastAsia="Times New Roman" w:cs="Times New Roman"/>
                <w:b/>
                <w:bCs/>
                <w:color w:val="FF0000"/>
                <w:lang w:eastAsia="cs-CZ"/>
              </w:rPr>
            </w:pPr>
            <w:r w:rsidRPr="00F765CF">
              <w:rPr>
                <w:rFonts w:eastAsia="Times New Roman" w:cs="Times New Roman"/>
                <w:b/>
                <w:bCs/>
                <w:lang w:eastAsia="cs-CZ"/>
              </w:rPr>
              <w:t>72 501</w:t>
            </w:r>
          </w:p>
        </w:tc>
        <w:tc>
          <w:tcPr>
            <w:tcW w:w="992" w:type="dxa"/>
            <w:tcBorders>
              <w:top w:val="single" w:sz="8" w:space="0" w:color="7F7F7F" w:themeColor="text1" w:themeTint="80"/>
              <w:bottom w:val="single" w:sz="8" w:space="0" w:color="7F7F7F" w:themeColor="text1" w:themeTint="80"/>
            </w:tcBorders>
            <w:shd w:val="clear" w:color="auto" w:fill="auto"/>
            <w:vAlign w:val="center"/>
          </w:tcPr>
          <w:p w:rsidR="002E1BFA" w:rsidRPr="00F765CF" w:rsidRDefault="002E1BFA" w:rsidP="00910074">
            <w:pPr>
              <w:jc w:val="right"/>
              <w:rPr>
                <w:rFonts w:eastAsia="Times New Roman" w:cs="Times New Roman"/>
                <w:b/>
                <w:bCs/>
                <w:color w:val="FF0000"/>
                <w:lang w:eastAsia="cs-CZ"/>
              </w:rPr>
            </w:pPr>
            <w:r w:rsidRPr="00F765CF">
              <w:rPr>
                <w:rFonts w:eastAsia="Times New Roman" w:cs="Times New Roman"/>
                <w:b/>
                <w:bCs/>
                <w:lang w:eastAsia="cs-CZ"/>
              </w:rPr>
              <w:t>101,76</w:t>
            </w:r>
          </w:p>
        </w:tc>
      </w:tr>
      <w:tr w:rsidR="002E1BFA" w:rsidRPr="00F765CF" w:rsidTr="00910074">
        <w:tc>
          <w:tcPr>
            <w:tcW w:w="4280" w:type="dxa"/>
            <w:tcBorders>
              <w:top w:val="single" w:sz="8" w:space="0" w:color="7F7F7F" w:themeColor="text1" w:themeTint="80"/>
              <w:bottom w:val="nil"/>
            </w:tcBorders>
            <w:shd w:val="clear" w:color="auto" w:fill="auto"/>
          </w:tcPr>
          <w:p w:rsidR="002E1BFA" w:rsidRPr="00F765CF" w:rsidRDefault="002E1BFA" w:rsidP="00910074">
            <w:pPr>
              <w:rPr>
                <w:rFonts w:eastAsia="Times New Roman" w:cs="Times New Roman"/>
                <w:lang w:eastAsia="cs-CZ"/>
              </w:rPr>
            </w:pPr>
            <w:r w:rsidRPr="00F765CF">
              <w:rPr>
                <w:rFonts w:eastAsia="Times New Roman" w:cs="Times New Roman"/>
                <w:lang w:eastAsia="cs-CZ"/>
              </w:rPr>
              <w:t>platy zaměstnanců a ostatní platby</w:t>
            </w:r>
          </w:p>
          <w:p w:rsidR="002E1BFA" w:rsidRPr="00F765CF" w:rsidRDefault="002E1BFA" w:rsidP="00910074">
            <w:pPr>
              <w:rPr>
                <w:rFonts w:eastAsia="Times New Roman" w:cs="Times New Roman"/>
                <w:lang w:eastAsia="cs-CZ"/>
              </w:rPr>
            </w:pPr>
            <w:r w:rsidRPr="00F765CF">
              <w:rPr>
                <w:rFonts w:eastAsia="Times New Roman" w:cs="Times New Roman"/>
                <w:lang w:eastAsia="cs-CZ"/>
              </w:rPr>
              <w:t>za provedenou práci</w:t>
            </w:r>
          </w:p>
        </w:tc>
        <w:tc>
          <w:tcPr>
            <w:tcW w:w="1380" w:type="dxa"/>
            <w:tcBorders>
              <w:top w:val="single" w:sz="4" w:space="0" w:color="auto"/>
              <w:left w:val="single" w:sz="4" w:space="0" w:color="auto"/>
              <w:bottom w:val="nil"/>
              <w:right w:val="single" w:sz="4" w:space="0" w:color="auto"/>
            </w:tcBorders>
            <w:vAlign w:val="center"/>
          </w:tcPr>
          <w:p w:rsidR="002E1BFA" w:rsidRPr="00F765CF" w:rsidRDefault="002E1BFA" w:rsidP="00910074">
            <w:pPr>
              <w:jc w:val="right"/>
              <w:rPr>
                <w:szCs w:val="24"/>
              </w:rPr>
            </w:pPr>
            <w:r w:rsidRPr="00F765CF">
              <w:rPr>
                <w:szCs w:val="24"/>
              </w:rPr>
              <w:t>40 263</w:t>
            </w:r>
          </w:p>
        </w:tc>
        <w:tc>
          <w:tcPr>
            <w:tcW w:w="1276" w:type="dxa"/>
            <w:tcBorders>
              <w:top w:val="single" w:sz="4" w:space="0" w:color="auto"/>
              <w:left w:val="single" w:sz="4" w:space="0" w:color="auto"/>
              <w:bottom w:val="nil"/>
              <w:right w:val="single" w:sz="4" w:space="0" w:color="auto"/>
            </w:tcBorders>
            <w:vAlign w:val="center"/>
          </w:tcPr>
          <w:p w:rsidR="002E1BFA" w:rsidRPr="00F765CF" w:rsidRDefault="002E1BFA" w:rsidP="00910074">
            <w:pPr>
              <w:jc w:val="right"/>
              <w:rPr>
                <w:szCs w:val="24"/>
              </w:rPr>
            </w:pPr>
            <w:r w:rsidRPr="00F765CF">
              <w:rPr>
                <w:szCs w:val="24"/>
              </w:rPr>
              <w:t>40 516</w:t>
            </w:r>
          </w:p>
        </w:tc>
        <w:tc>
          <w:tcPr>
            <w:tcW w:w="1134" w:type="dxa"/>
            <w:tcBorders>
              <w:top w:val="single" w:sz="8" w:space="0" w:color="7F7F7F" w:themeColor="text1" w:themeTint="80"/>
              <w:bottom w:val="nil"/>
            </w:tcBorders>
            <w:shd w:val="clear" w:color="auto" w:fill="auto"/>
            <w:vAlign w:val="center"/>
          </w:tcPr>
          <w:p w:rsidR="002E1BFA" w:rsidRPr="00F765CF" w:rsidRDefault="002E1BFA" w:rsidP="00910074">
            <w:pPr>
              <w:jc w:val="right"/>
              <w:rPr>
                <w:rFonts w:eastAsia="Times New Roman" w:cs="Times New Roman"/>
                <w:lang w:eastAsia="cs-CZ"/>
              </w:rPr>
            </w:pPr>
            <w:r w:rsidRPr="00F765CF">
              <w:rPr>
                <w:rFonts w:eastAsia="Times New Roman" w:cs="Times New Roman"/>
                <w:lang w:eastAsia="cs-CZ"/>
              </w:rPr>
              <w:t xml:space="preserve">40 701 </w:t>
            </w:r>
          </w:p>
        </w:tc>
        <w:tc>
          <w:tcPr>
            <w:tcW w:w="992" w:type="dxa"/>
            <w:tcBorders>
              <w:top w:val="single" w:sz="8" w:space="0" w:color="7F7F7F" w:themeColor="text1" w:themeTint="80"/>
              <w:bottom w:val="nil"/>
            </w:tcBorders>
            <w:shd w:val="clear" w:color="auto" w:fill="auto"/>
            <w:vAlign w:val="center"/>
          </w:tcPr>
          <w:p w:rsidR="002E1BFA" w:rsidRPr="00F765CF" w:rsidRDefault="002E1BFA" w:rsidP="00910074">
            <w:pPr>
              <w:jc w:val="right"/>
              <w:rPr>
                <w:rFonts w:eastAsia="Times New Roman" w:cs="Times New Roman"/>
                <w:lang w:eastAsia="cs-CZ"/>
              </w:rPr>
            </w:pPr>
            <w:r w:rsidRPr="00F765CF">
              <w:rPr>
                <w:rFonts w:eastAsia="Times New Roman" w:cs="Times New Roman"/>
                <w:lang w:eastAsia="cs-CZ"/>
              </w:rPr>
              <w:t>100,46</w:t>
            </w:r>
          </w:p>
        </w:tc>
      </w:tr>
      <w:tr w:rsidR="002E1BFA" w:rsidRPr="00F765CF" w:rsidTr="00910074">
        <w:tc>
          <w:tcPr>
            <w:tcW w:w="4280" w:type="dxa"/>
            <w:tcBorders>
              <w:top w:val="nil"/>
              <w:bottom w:val="nil"/>
            </w:tcBorders>
            <w:shd w:val="clear" w:color="auto" w:fill="auto"/>
          </w:tcPr>
          <w:p w:rsidR="002E1BFA" w:rsidRPr="00F765CF" w:rsidRDefault="002E1BFA" w:rsidP="005974F4">
            <w:pPr>
              <w:jc w:val="left"/>
              <w:rPr>
                <w:rFonts w:eastAsia="Times New Roman" w:cs="Times New Roman"/>
                <w:i/>
                <w:lang w:eastAsia="cs-CZ"/>
              </w:rPr>
            </w:pPr>
            <w:r w:rsidRPr="00F765CF">
              <w:rPr>
                <w:rFonts w:eastAsia="Times New Roman" w:cs="Times New Roman"/>
                <w:i/>
                <w:lang w:eastAsia="cs-CZ"/>
              </w:rPr>
              <w:t>z toho: výdaje na programy spolufin.           z rozpočtu EU</w:t>
            </w:r>
          </w:p>
        </w:tc>
        <w:tc>
          <w:tcPr>
            <w:tcW w:w="1380" w:type="dxa"/>
            <w:tcBorders>
              <w:top w:val="nil"/>
              <w:left w:val="single" w:sz="4" w:space="0" w:color="auto"/>
              <w:bottom w:val="nil"/>
              <w:right w:val="single" w:sz="4" w:space="0" w:color="auto"/>
            </w:tcBorders>
            <w:vAlign w:val="center"/>
          </w:tcPr>
          <w:p w:rsidR="002E1BFA" w:rsidRPr="00F765CF" w:rsidRDefault="002E1BFA" w:rsidP="00910074">
            <w:pPr>
              <w:jc w:val="right"/>
              <w:rPr>
                <w:i/>
                <w:szCs w:val="24"/>
              </w:rPr>
            </w:pPr>
            <w:r w:rsidRPr="00F765CF">
              <w:rPr>
                <w:i/>
                <w:szCs w:val="24"/>
              </w:rPr>
              <w:t>860</w:t>
            </w:r>
          </w:p>
        </w:tc>
        <w:tc>
          <w:tcPr>
            <w:tcW w:w="1276" w:type="dxa"/>
            <w:tcBorders>
              <w:top w:val="nil"/>
              <w:left w:val="single" w:sz="4" w:space="0" w:color="auto"/>
              <w:bottom w:val="nil"/>
              <w:right w:val="single" w:sz="4" w:space="0" w:color="auto"/>
            </w:tcBorders>
            <w:vAlign w:val="center"/>
          </w:tcPr>
          <w:p w:rsidR="002E1BFA" w:rsidRPr="00F765CF" w:rsidRDefault="002E1BFA" w:rsidP="00910074">
            <w:pPr>
              <w:jc w:val="right"/>
              <w:rPr>
                <w:i/>
                <w:szCs w:val="24"/>
              </w:rPr>
            </w:pPr>
            <w:r w:rsidRPr="00F765CF">
              <w:rPr>
                <w:i/>
                <w:szCs w:val="24"/>
              </w:rPr>
              <w:t>494</w:t>
            </w:r>
          </w:p>
        </w:tc>
        <w:tc>
          <w:tcPr>
            <w:tcW w:w="1134" w:type="dxa"/>
            <w:tcBorders>
              <w:top w:val="nil"/>
              <w:bottom w:val="nil"/>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 xml:space="preserve">680 </w:t>
            </w:r>
          </w:p>
        </w:tc>
        <w:tc>
          <w:tcPr>
            <w:tcW w:w="992" w:type="dxa"/>
            <w:tcBorders>
              <w:top w:val="nil"/>
              <w:bottom w:val="nil"/>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137,65</w:t>
            </w:r>
          </w:p>
        </w:tc>
      </w:tr>
      <w:tr w:rsidR="002E1BFA" w:rsidRPr="00F765CF" w:rsidTr="00910074">
        <w:tc>
          <w:tcPr>
            <w:tcW w:w="4280" w:type="dxa"/>
            <w:tcBorders>
              <w:top w:val="nil"/>
              <w:bottom w:val="nil"/>
            </w:tcBorders>
            <w:shd w:val="clear" w:color="auto" w:fill="auto"/>
          </w:tcPr>
          <w:p w:rsidR="002E1BFA" w:rsidRPr="00F765CF" w:rsidRDefault="002E1BFA" w:rsidP="00910074">
            <w:pPr>
              <w:rPr>
                <w:rFonts w:eastAsia="Times New Roman" w:cs="Times New Roman"/>
                <w:i/>
                <w:lang w:eastAsia="cs-CZ"/>
              </w:rPr>
            </w:pPr>
            <w:r w:rsidRPr="00F765CF">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rsidR="002E1BFA" w:rsidRPr="00F765CF" w:rsidRDefault="002E1BFA" w:rsidP="00910074">
            <w:pPr>
              <w:jc w:val="right"/>
              <w:rPr>
                <w:i/>
                <w:szCs w:val="24"/>
              </w:rPr>
            </w:pPr>
            <w:r w:rsidRPr="00F765CF">
              <w:rPr>
                <w:i/>
                <w:szCs w:val="24"/>
              </w:rPr>
              <w:t>129</w:t>
            </w:r>
          </w:p>
        </w:tc>
        <w:tc>
          <w:tcPr>
            <w:tcW w:w="1276" w:type="dxa"/>
            <w:tcBorders>
              <w:top w:val="nil"/>
              <w:left w:val="single" w:sz="4" w:space="0" w:color="auto"/>
              <w:bottom w:val="nil"/>
              <w:right w:val="single" w:sz="4" w:space="0" w:color="auto"/>
            </w:tcBorders>
            <w:vAlign w:val="center"/>
          </w:tcPr>
          <w:p w:rsidR="002E1BFA" w:rsidRPr="00F765CF" w:rsidRDefault="002E1BFA" w:rsidP="00910074">
            <w:pPr>
              <w:jc w:val="right"/>
              <w:rPr>
                <w:i/>
                <w:szCs w:val="24"/>
              </w:rPr>
            </w:pPr>
            <w:r w:rsidRPr="00F765CF">
              <w:rPr>
                <w:i/>
                <w:szCs w:val="24"/>
              </w:rPr>
              <w:t>74</w:t>
            </w:r>
          </w:p>
        </w:tc>
        <w:tc>
          <w:tcPr>
            <w:tcW w:w="1134" w:type="dxa"/>
            <w:tcBorders>
              <w:top w:val="nil"/>
              <w:bottom w:val="nil"/>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102</w:t>
            </w:r>
          </w:p>
        </w:tc>
        <w:tc>
          <w:tcPr>
            <w:tcW w:w="992" w:type="dxa"/>
            <w:tcBorders>
              <w:top w:val="nil"/>
              <w:bottom w:val="nil"/>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137,84</w:t>
            </w:r>
          </w:p>
        </w:tc>
      </w:tr>
      <w:tr w:rsidR="002E1BFA" w:rsidRPr="00F765CF" w:rsidTr="00910074">
        <w:tc>
          <w:tcPr>
            <w:tcW w:w="4280" w:type="dxa"/>
            <w:tcBorders>
              <w:top w:val="nil"/>
              <w:bottom w:val="single" w:sz="4" w:space="0" w:color="7F7F7F" w:themeColor="text1" w:themeTint="80"/>
            </w:tcBorders>
            <w:shd w:val="clear" w:color="auto" w:fill="auto"/>
          </w:tcPr>
          <w:p w:rsidR="002E1BFA" w:rsidRPr="00F765CF" w:rsidRDefault="002E1BFA" w:rsidP="00910074">
            <w:pPr>
              <w:rPr>
                <w:rFonts w:eastAsia="Times New Roman" w:cs="Times New Roman"/>
                <w:i/>
                <w:lang w:eastAsia="cs-CZ"/>
              </w:rPr>
            </w:pPr>
            <w:r w:rsidRPr="00F765CF">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rsidR="002E1BFA" w:rsidRPr="00F765CF" w:rsidRDefault="002E1BFA" w:rsidP="00910074">
            <w:pPr>
              <w:jc w:val="right"/>
              <w:rPr>
                <w:i/>
                <w:szCs w:val="24"/>
              </w:rPr>
            </w:pPr>
            <w:r w:rsidRPr="00F765CF">
              <w:rPr>
                <w:i/>
                <w:szCs w:val="24"/>
              </w:rPr>
              <w:t>731</w:t>
            </w:r>
          </w:p>
        </w:tc>
        <w:tc>
          <w:tcPr>
            <w:tcW w:w="1276" w:type="dxa"/>
            <w:tcBorders>
              <w:top w:val="nil"/>
              <w:left w:val="single" w:sz="4" w:space="0" w:color="auto"/>
              <w:bottom w:val="single" w:sz="4" w:space="0" w:color="auto"/>
              <w:right w:val="single" w:sz="4" w:space="0" w:color="auto"/>
            </w:tcBorders>
            <w:vAlign w:val="center"/>
          </w:tcPr>
          <w:p w:rsidR="002E1BFA" w:rsidRPr="00F765CF" w:rsidRDefault="002E1BFA" w:rsidP="00910074">
            <w:pPr>
              <w:jc w:val="right"/>
              <w:rPr>
                <w:i/>
                <w:szCs w:val="24"/>
              </w:rPr>
            </w:pPr>
            <w:r w:rsidRPr="00F765CF">
              <w:rPr>
                <w:i/>
                <w:szCs w:val="24"/>
              </w:rPr>
              <w:t>420</w:t>
            </w:r>
          </w:p>
        </w:tc>
        <w:tc>
          <w:tcPr>
            <w:tcW w:w="1134" w:type="dxa"/>
            <w:tcBorders>
              <w:top w:val="nil"/>
              <w:bottom w:val="single" w:sz="4" w:space="0" w:color="7F7F7F" w:themeColor="text1" w:themeTint="80"/>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578</w:t>
            </w:r>
          </w:p>
        </w:tc>
        <w:tc>
          <w:tcPr>
            <w:tcW w:w="992" w:type="dxa"/>
            <w:tcBorders>
              <w:top w:val="nil"/>
              <w:bottom w:val="single" w:sz="4" w:space="0" w:color="7F7F7F" w:themeColor="text1" w:themeTint="80"/>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137,62</w:t>
            </w:r>
          </w:p>
        </w:tc>
      </w:tr>
      <w:tr w:rsidR="002E1BFA" w:rsidRPr="00F765CF" w:rsidTr="00910074">
        <w:tc>
          <w:tcPr>
            <w:tcW w:w="4280" w:type="dxa"/>
            <w:tcBorders>
              <w:top w:val="single" w:sz="4" w:space="0" w:color="7F7F7F" w:themeColor="text1" w:themeTint="80"/>
              <w:bottom w:val="nil"/>
            </w:tcBorders>
            <w:shd w:val="clear" w:color="auto" w:fill="auto"/>
          </w:tcPr>
          <w:p w:rsidR="002E1BFA" w:rsidRPr="00F765CF" w:rsidRDefault="002E1BFA" w:rsidP="00910074">
            <w:pPr>
              <w:rPr>
                <w:rFonts w:eastAsia="Times New Roman" w:cs="Times New Roman"/>
                <w:lang w:eastAsia="cs-CZ"/>
              </w:rPr>
            </w:pPr>
            <w:r w:rsidRPr="00F765CF">
              <w:rPr>
                <w:rFonts w:eastAsia="Times New Roman" w:cs="Times New Roman"/>
                <w:lang w:eastAsia="cs-CZ"/>
              </w:rPr>
              <w:t>povinné pojistné placené zaměstnavatelem</w:t>
            </w:r>
          </w:p>
        </w:tc>
        <w:tc>
          <w:tcPr>
            <w:tcW w:w="1380" w:type="dxa"/>
            <w:tcBorders>
              <w:top w:val="single" w:sz="4" w:space="0" w:color="auto"/>
              <w:left w:val="single" w:sz="4" w:space="0" w:color="auto"/>
              <w:bottom w:val="nil"/>
              <w:right w:val="single" w:sz="4" w:space="0" w:color="auto"/>
            </w:tcBorders>
            <w:vAlign w:val="center"/>
          </w:tcPr>
          <w:p w:rsidR="002E1BFA" w:rsidRPr="00F765CF" w:rsidRDefault="002E1BFA" w:rsidP="00910074">
            <w:pPr>
              <w:jc w:val="right"/>
              <w:rPr>
                <w:szCs w:val="24"/>
              </w:rPr>
            </w:pPr>
            <w:r w:rsidRPr="00F765CF">
              <w:rPr>
                <w:szCs w:val="24"/>
              </w:rPr>
              <w:t>13 578</w:t>
            </w:r>
          </w:p>
        </w:tc>
        <w:tc>
          <w:tcPr>
            <w:tcW w:w="1276" w:type="dxa"/>
            <w:tcBorders>
              <w:top w:val="single" w:sz="4" w:space="0" w:color="auto"/>
              <w:left w:val="single" w:sz="4" w:space="0" w:color="auto"/>
              <w:bottom w:val="nil"/>
              <w:right w:val="single" w:sz="4" w:space="0" w:color="auto"/>
            </w:tcBorders>
            <w:vAlign w:val="center"/>
          </w:tcPr>
          <w:p w:rsidR="002E1BFA" w:rsidRPr="00F765CF" w:rsidRDefault="002E1BFA" w:rsidP="00910074">
            <w:pPr>
              <w:jc w:val="right"/>
              <w:rPr>
                <w:szCs w:val="24"/>
              </w:rPr>
            </w:pPr>
            <w:r w:rsidRPr="00F765CF">
              <w:rPr>
                <w:szCs w:val="24"/>
              </w:rPr>
              <w:t>13 694</w:t>
            </w:r>
          </w:p>
        </w:tc>
        <w:tc>
          <w:tcPr>
            <w:tcW w:w="1134" w:type="dxa"/>
            <w:tcBorders>
              <w:top w:val="single" w:sz="4" w:space="0" w:color="7F7F7F" w:themeColor="text1" w:themeTint="80"/>
              <w:bottom w:val="nil"/>
            </w:tcBorders>
            <w:shd w:val="clear" w:color="auto" w:fill="auto"/>
            <w:vAlign w:val="center"/>
          </w:tcPr>
          <w:p w:rsidR="002E1BFA" w:rsidRPr="00F765CF" w:rsidRDefault="002E1BFA" w:rsidP="00910074">
            <w:pPr>
              <w:jc w:val="right"/>
              <w:rPr>
                <w:rFonts w:eastAsia="Times New Roman" w:cs="Times New Roman"/>
                <w:lang w:eastAsia="cs-CZ"/>
              </w:rPr>
            </w:pPr>
            <w:r w:rsidRPr="00F765CF">
              <w:rPr>
                <w:rFonts w:eastAsia="Times New Roman" w:cs="Times New Roman"/>
                <w:lang w:eastAsia="cs-CZ"/>
              </w:rPr>
              <w:t>13 757</w:t>
            </w:r>
          </w:p>
        </w:tc>
        <w:tc>
          <w:tcPr>
            <w:tcW w:w="992" w:type="dxa"/>
            <w:tcBorders>
              <w:top w:val="single" w:sz="4" w:space="0" w:color="7F7F7F" w:themeColor="text1" w:themeTint="80"/>
              <w:bottom w:val="nil"/>
            </w:tcBorders>
            <w:shd w:val="clear" w:color="auto" w:fill="auto"/>
            <w:vAlign w:val="center"/>
          </w:tcPr>
          <w:p w:rsidR="002E1BFA" w:rsidRPr="00F765CF" w:rsidRDefault="002E1BFA" w:rsidP="00910074">
            <w:pPr>
              <w:jc w:val="right"/>
              <w:rPr>
                <w:rFonts w:eastAsia="Times New Roman" w:cs="Times New Roman"/>
                <w:lang w:eastAsia="cs-CZ"/>
              </w:rPr>
            </w:pPr>
            <w:r w:rsidRPr="00F765CF">
              <w:rPr>
                <w:rFonts w:eastAsia="Times New Roman" w:cs="Times New Roman"/>
                <w:lang w:eastAsia="cs-CZ"/>
              </w:rPr>
              <w:t xml:space="preserve">100,46 </w:t>
            </w:r>
          </w:p>
        </w:tc>
      </w:tr>
      <w:tr w:rsidR="002E1BFA" w:rsidRPr="00F765CF" w:rsidTr="00910074">
        <w:tc>
          <w:tcPr>
            <w:tcW w:w="4280" w:type="dxa"/>
            <w:tcBorders>
              <w:top w:val="nil"/>
              <w:bottom w:val="nil"/>
            </w:tcBorders>
            <w:shd w:val="clear" w:color="auto" w:fill="auto"/>
          </w:tcPr>
          <w:p w:rsidR="002E1BFA" w:rsidRPr="00F765CF" w:rsidRDefault="002E1BFA" w:rsidP="005974F4">
            <w:pPr>
              <w:jc w:val="left"/>
              <w:rPr>
                <w:rFonts w:eastAsia="Times New Roman" w:cs="Times New Roman"/>
                <w:i/>
                <w:lang w:eastAsia="cs-CZ"/>
              </w:rPr>
            </w:pPr>
            <w:r w:rsidRPr="00F765CF">
              <w:rPr>
                <w:rFonts w:eastAsia="Times New Roman" w:cs="Times New Roman"/>
                <w:i/>
                <w:lang w:eastAsia="cs-CZ"/>
              </w:rPr>
              <w:t>z toho: výdaje na programy spolufin.            z rozpočtu EU</w:t>
            </w:r>
          </w:p>
        </w:tc>
        <w:tc>
          <w:tcPr>
            <w:tcW w:w="1380" w:type="dxa"/>
            <w:tcBorders>
              <w:top w:val="nil"/>
              <w:left w:val="single" w:sz="4" w:space="0" w:color="auto"/>
              <w:bottom w:val="nil"/>
              <w:right w:val="single" w:sz="4" w:space="0" w:color="auto"/>
            </w:tcBorders>
            <w:vAlign w:val="center"/>
          </w:tcPr>
          <w:p w:rsidR="002E1BFA" w:rsidRPr="00F765CF" w:rsidRDefault="002E1BFA" w:rsidP="00910074">
            <w:pPr>
              <w:jc w:val="right"/>
              <w:rPr>
                <w:i/>
                <w:szCs w:val="24"/>
              </w:rPr>
            </w:pPr>
            <w:r w:rsidRPr="00F765CF">
              <w:rPr>
                <w:i/>
                <w:szCs w:val="24"/>
              </w:rPr>
              <w:t>292</w:t>
            </w:r>
          </w:p>
        </w:tc>
        <w:tc>
          <w:tcPr>
            <w:tcW w:w="1276" w:type="dxa"/>
            <w:tcBorders>
              <w:top w:val="nil"/>
              <w:left w:val="single" w:sz="4" w:space="0" w:color="auto"/>
              <w:bottom w:val="nil"/>
              <w:right w:val="single" w:sz="4" w:space="0" w:color="auto"/>
            </w:tcBorders>
            <w:vAlign w:val="center"/>
          </w:tcPr>
          <w:p w:rsidR="002E1BFA" w:rsidRPr="00F765CF" w:rsidRDefault="002E1BFA" w:rsidP="00910074">
            <w:pPr>
              <w:jc w:val="right"/>
              <w:rPr>
                <w:i/>
                <w:szCs w:val="24"/>
              </w:rPr>
            </w:pPr>
            <w:r w:rsidRPr="00F765CF">
              <w:rPr>
                <w:i/>
                <w:szCs w:val="24"/>
              </w:rPr>
              <w:t>167</w:t>
            </w:r>
          </w:p>
        </w:tc>
        <w:tc>
          <w:tcPr>
            <w:tcW w:w="1134" w:type="dxa"/>
            <w:tcBorders>
              <w:top w:val="nil"/>
              <w:bottom w:val="nil"/>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230</w:t>
            </w:r>
          </w:p>
        </w:tc>
        <w:tc>
          <w:tcPr>
            <w:tcW w:w="992" w:type="dxa"/>
            <w:tcBorders>
              <w:top w:val="nil"/>
              <w:bottom w:val="nil"/>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137,72</w:t>
            </w:r>
          </w:p>
        </w:tc>
      </w:tr>
      <w:tr w:rsidR="002E1BFA" w:rsidRPr="00F765CF" w:rsidTr="00910074">
        <w:tc>
          <w:tcPr>
            <w:tcW w:w="4280" w:type="dxa"/>
            <w:tcBorders>
              <w:top w:val="nil"/>
              <w:bottom w:val="nil"/>
            </w:tcBorders>
            <w:shd w:val="clear" w:color="auto" w:fill="auto"/>
          </w:tcPr>
          <w:p w:rsidR="002E1BFA" w:rsidRPr="00F765CF" w:rsidRDefault="002E1BFA" w:rsidP="00910074">
            <w:pPr>
              <w:rPr>
                <w:rFonts w:eastAsia="Times New Roman" w:cs="Times New Roman"/>
                <w:i/>
                <w:lang w:eastAsia="cs-CZ"/>
              </w:rPr>
            </w:pPr>
            <w:r w:rsidRPr="00F765CF">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rsidR="002E1BFA" w:rsidRPr="00F765CF" w:rsidRDefault="002E1BFA" w:rsidP="00910074">
            <w:pPr>
              <w:jc w:val="right"/>
              <w:rPr>
                <w:i/>
                <w:szCs w:val="24"/>
              </w:rPr>
            </w:pPr>
            <w:r w:rsidRPr="00F765CF">
              <w:rPr>
                <w:i/>
                <w:szCs w:val="24"/>
              </w:rPr>
              <w:t>44</w:t>
            </w:r>
          </w:p>
        </w:tc>
        <w:tc>
          <w:tcPr>
            <w:tcW w:w="1276" w:type="dxa"/>
            <w:tcBorders>
              <w:top w:val="nil"/>
              <w:left w:val="single" w:sz="4" w:space="0" w:color="auto"/>
              <w:bottom w:val="nil"/>
              <w:right w:val="single" w:sz="4" w:space="0" w:color="auto"/>
            </w:tcBorders>
            <w:vAlign w:val="center"/>
          </w:tcPr>
          <w:p w:rsidR="002E1BFA" w:rsidRPr="00F765CF" w:rsidRDefault="002E1BFA" w:rsidP="00910074">
            <w:pPr>
              <w:jc w:val="right"/>
              <w:rPr>
                <w:i/>
                <w:szCs w:val="24"/>
              </w:rPr>
            </w:pPr>
            <w:r w:rsidRPr="00F765CF">
              <w:rPr>
                <w:i/>
                <w:szCs w:val="24"/>
              </w:rPr>
              <w:t>25</w:t>
            </w:r>
          </w:p>
        </w:tc>
        <w:tc>
          <w:tcPr>
            <w:tcW w:w="1134" w:type="dxa"/>
            <w:tcBorders>
              <w:top w:val="nil"/>
              <w:bottom w:val="nil"/>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34,5</w:t>
            </w:r>
          </w:p>
        </w:tc>
        <w:tc>
          <w:tcPr>
            <w:tcW w:w="992" w:type="dxa"/>
            <w:tcBorders>
              <w:top w:val="nil"/>
              <w:bottom w:val="nil"/>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138,00</w:t>
            </w:r>
          </w:p>
        </w:tc>
      </w:tr>
      <w:tr w:rsidR="002E1BFA" w:rsidRPr="00F765CF" w:rsidTr="00910074">
        <w:tc>
          <w:tcPr>
            <w:tcW w:w="4280" w:type="dxa"/>
            <w:tcBorders>
              <w:top w:val="nil"/>
              <w:bottom w:val="single" w:sz="4" w:space="0" w:color="7F7F7F" w:themeColor="text1" w:themeTint="80"/>
            </w:tcBorders>
            <w:shd w:val="clear" w:color="auto" w:fill="auto"/>
          </w:tcPr>
          <w:p w:rsidR="002E1BFA" w:rsidRPr="00F765CF" w:rsidRDefault="002E1BFA" w:rsidP="00910074">
            <w:pPr>
              <w:rPr>
                <w:rFonts w:eastAsia="Times New Roman" w:cs="Times New Roman"/>
                <w:i/>
                <w:lang w:eastAsia="cs-CZ"/>
              </w:rPr>
            </w:pPr>
            <w:r w:rsidRPr="00F765CF">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rsidR="002E1BFA" w:rsidRPr="00F765CF" w:rsidRDefault="002E1BFA" w:rsidP="00910074">
            <w:pPr>
              <w:jc w:val="right"/>
              <w:rPr>
                <w:i/>
                <w:szCs w:val="24"/>
              </w:rPr>
            </w:pPr>
            <w:r w:rsidRPr="00F765CF">
              <w:rPr>
                <w:i/>
                <w:szCs w:val="24"/>
              </w:rPr>
              <w:t>248</w:t>
            </w:r>
          </w:p>
        </w:tc>
        <w:tc>
          <w:tcPr>
            <w:tcW w:w="1276" w:type="dxa"/>
            <w:tcBorders>
              <w:top w:val="nil"/>
              <w:left w:val="single" w:sz="4" w:space="0" w:color="auto"/>
              <w:bottom w:val="single" w:sz="4" w:space="0" w:color="auto"/>
              <w:right w:val="single" w:sz="4" w:space="0" w:color="auto"/>
            </w:tcBorders>
            <w:vAlign w:val="center"/>
          </w:tcPr>
          <w:p w:rsidR="002E1BFA" w:rsidRPr="00F765CF" w:rsidRDefault="002E1BFA" w:rsidP="00910074">
            <w:pPr>
              <w:jc w:val="right"/>
              <w:rPr>
                <w:i/>
                <w:szCs w:val="24"/>
              </w:rPr>
            </w:pPr>
            <w:r w:rsidRPr="00F765CF">
              <w:rPr>
                <w:i/>
                <w:szCs w:val="24"/>
              </w:rPr>
              <w:t>142</w:t>
            </w:r>
          </w:p>
        </w:tc>
        <w:tc>
          <w:tcPr>
            <w:tcW w:w="1134" w:type="dxa"/>
            <w:tcBorders>
              <w:top w:val="nil"/>
              <w:bottom w:val="single" w:sz="4" w:space="0" w:color="7F7F7F" w:themeColor="text1" w:themeTint="80"/>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195,5</w:t>
            </w:r>
          </w:p>
        </w:tc>
        <w:tc>
          <w:tcPr>
            <w:tcW w:w="992" w:type="dxa"/>
            <w:tcBorders>
              <w:top w:val="nil"/>
              <w:bottom w:val="single" w:sz="4" w:space="0" w:color="7F7F7F" w:themeColor="text1" w:themeTint="80"/>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137,68</w:t>
            </w:r>
          </w:p>
        </w:tc>
      </w:tr>
      <w:tr w:rsidR="002E1BFA" w:rsidRPr="00F765CF" w:rsidTr="00910074">
        <w:tc>
          <w:tcPr>
            <w:tcW w:w="4280" w:type="dxa"/>
            <w:tcBorders>
              <w:top w:val="single" w:sz="4" w:space="0" w:color="7F7F7F" w:themeColor="text1" w:themeTint="80"/>
              <w:bottom w:val="nil"/>
            </w:tcBorders>
            <w:shd w:val="clear" w:color="auto" w:fill="auto"/>
          </w:tcPr>
          <w:p w:rsidR="002E1BFA" w:rsidRPr="00F765CF" w:rsidRDefault="002E1BFA" w:rsidP="00910074">
            <w:pPr>
              <w:rPr>
                <w:rFonts w:eastAsia="Times New Roman" w:cs="Times New Roman"/>
                <w:lang w:eastAsia="cs-CZ"/>
              </w:rPr>
            </w:pPr>
            <w:r w:rsidRPr="00F765CF">
              <w:rPr>
                <w:rFonts w:eastAsia="Times New Roman" w:cs="Times New Roman"/>
                <w:lang w:eastAsia="cs-CZ"/>
              </w:rPr>
              <w:t>příděl FKSP</w:t>
            </w:r>
          </w:p>
        </w:tc>
        <w:tc>
          <w:tcPr>
            <w:tcW w:w="1380" w:type="dxa"/>
            <w:tcBorders>
              <w:top w:val="single" w:sz="4" w:space="0" w:color="auto"/>
              <w:left w:val="single" w:sz="4" w:space="0" w:color="auto"/>
              <w:bottom w:val="nil"/>
              <w:right w:val="single" w:sz="4" w:space="0" w:color="auto"/>
            </w:tcBorders>
            <w:vAlign w:val="center"/>
          </w:tcPr>
          <w:p w:rsidR="002E1BFA" w:rsidRPr="00F765CF" w:rsidRDefault="002E1BFA" w:rsidP="00910074">
            <w:pPr>
              <w:jc w:val="right"/>
              <w:rPr>
                <w:szCs w:val="24"/>
              </w:rPr>
            </w:pPr>
            <w:r w:rsidRPr="00F765CF">
              <w:rPr>
                <w:szCs w:val="24"/>
              </w:rPr>
              <w:t>801</w:t>
            </w:r>
          </w:p>
        </w:tc>
        <w:tc>
          <w:tcPr>
            <w:tcW w:w="1276" w:type="dxa"/>
            <w:tcBorders>
              <w:top w:val="single" w:sz="4" w:space="0" w:color="auto"/>
              <w:left w:val="single" w:sz="4" w:space="0" w:color="auto"/>
              <w:bottom w:val="nil"/>
              <w:right w:val="single" w:sz="4" w:space="0" w:color="auto"/>
            </w:tcBorders>
            <w:vAlign w:val="center"/>
          </w:tcPr>
          <w:p w:rsidR="002E1BFA" w:rsidRPr="00F765CF" w:rsidRDefault="002E1BFA" w:rsidP="00910074">
            <w:pPr>
              <w:jc w:val="right"/>
              <w:rPr>
                <w:szCs w:val="24"/>
              </w:rPr>
            </w:pPr>
            <w:r w:rsidRPr="00F765CF">
              <w:rPr>
                <w:szCs w:val="24"/>
              </w:rPr>
              <w:t>809</w:t>
            </w:r>
          </w:p>
        </w:tc>
        <w:tc>
          <w:tcPr>
            <w:tcW w:w="1134" w:type="dxa"/>
            <w:tcBorders>
              <w:top w:val="single" w:sz="4" w:space="0" w:color="7F7F7F" w:themeColor="text1" w:themeTint="80"/>
              <w:bottom w:val="nil"/>
            </w:tcBorders>
            <w:shd w:val="clear" w:color="auto" w:fill="auto"/>
            <w:vAlign w:val="center"/>
          </w:tcPr>
          <w:p w:rsidR="002E1BFA" w:rsidRPr="00F765CF" w:rsidRDefault="002E1BFA" w:rsidP="00910074">
            <w:pPr>
              <w:jc w:val="right"/>
              <w:rPr>
                <w:rFonts w:eastAsia="Times New Roman" w:cs="Times New Roman"/>
                <w:lang w:eastAsia="cs-CZ"/>
              </w:rPr>
            </w:pPr>
            <w:r w:rsidRPr="00F765CF">
              <w:rPr>
                <w:rFonts w:eastAsia="Times New Roman" w:cs="Times New Roman"/>
                <w:lang w:eastAsia="cs-CZ"/>
              </w:rPr>
              <w:t>812</w:t>
            </w:r>
          </w:p>
        </w:tc>
        <w:tc>
          <w:tcPr>
            <w:tcW w:w="992" w:type="dxa"/>
            <w:tcBorders>
              <w:top w:val="single" w:sz="4" w:space="0" w:color="7F7F7F" w:themeColor="text1" w:themeTint="80"/>
              <w:bottom w:val="nil"/>
            </w:tcBorders>
            <w:shd w:val="clear" w:color="auto" w:fill="auto"/>
            <w:vAlign w:val="center"/>
          </w:tcPr>
          <w:p w:rsidR="002E1BFA" w:rsidRPr="00F765CF" w:rsidRDefault="002E1BFA" w:rsidP="00910074">
            <w:pPr>
              <w:jc w:val="right"/>
              <w:rPr>
                <w:rFonts w:eastAsia="Times New Roman" w:cs="Times New Roman"/>
                <w:lang w:eastAsia="cs-CZ"/>
              </w:rPr>
            </w:pPr>
            <w:r w:rsidRPr="00F765CF">
              <w:rPr>
                <w:rFonts w:eastAsia="Times New Roman" w:cs="Times New Roman"/>
                <w:lang w:eastAsia="cs-CZ"/>
              </w:rPr>
              <w:t>100,37</w:t>
            </w:r>
          </w:p>
        </w:tc>
      </w:tr>
      <w:tr w:rsidR="002E1BFA" w:rsidRPr="00F765CF" w:rsidTr="00910074">
        <w:tc>
          <w:tcPr>
            <w:tcW w:w="4280" w:type="dxa"/>
            <w:tcBorders>
              <w:top w:val="nil"/>
              <w:bottom w:val="nil"/>
            </w:tcBorders>
            <w:shd w:val="clear" w:color="auto" w:fill="auto"/>
          </w:tcPr>
          <w:p w:rsidR="002E1BFA" w:rsidRPr="00F765CF" w:rsidRDefault="002E1BFA" w:rsidP="005974F4">
            <w:pPr>
              <w:jc w:val="left"/>
              <w:rPr>
                <w:rFonts w:eastAsia="Times New Roman" w:cs="Times New Roman"/>
                <w:i/>
                <w:lang w:eastAsia="cs-CZ"/>
              </w:rPr>
            </w:pPr>
            <w:r w:rsidRPr="00F765CF">
              <w:rPr>
                <w:rFonts w:eastAsia="Times New Roman" w:cs="Times New Roman"/>
                <w:i/>
                <w:lang w:eastAsia="cs-CZ"/>
              </w:rPr>
              <w:t>z toho: výdaje na programy spolufin.            z rozpočtu EU</w:t>
            </w:r>
          </w:p>
        </w:tc>
        <w:tc>
          <w:tcPr>
            <w:tcW w:w="1380" w:type="dxa"/>
            <w:tcBorders>
              <w:top w:val="nil"/>
              <w:left w:val="single" w:sz="4" w:space="0" w:color="auto"/>
              <w:bottom w:val="nil"/>
              <w:right w:val="single" w:sz="4" w:space="0" w:color="auto"/>
            </w:tcBorders>
            <w:vAlign w:val="center"/>
          </w:tcPr>
          <w:p w:rsidR="002E1BFA" w:rsidRPr="00F765CF" w:rsidRDefault="002E1BFA" w:rsidP="00910074">
            <w:pPr>
              <w:jc w:val="right"/>
              <w:rPr>
                <w:i/>
                <w:szCs w:val="24"/>
              </w:rPr>
            </w:pPr>
            <w:r w:rsidRPr="00F765CF">
              <w:rPr>
                <w:i/>
                <w:szCs w:val="24"/>
              </w:rPr>
              <w:t>17</w:t>
            </w:r>
          </w:p>
        </w:tc>
        <w:tc>
          <w:tcPr>
            <w:tcW w:w="1276" w:type="dxa"/>
            <w:tcBorders>
              <w:top w:val="nil"/>
              <w:left w:val="single" w:sz="4" w:space="0" w:color="auto"/>
              <w:bottom w:val="nil"/>
              <w:right w:val="single" w:sz="4" w:space="0" w:color="auto"/>
            </w:tcBorders>
            <w:vAlign w:val="center"/>
          </w:tcPr>
          <w:p w:rsidR="002E1BFA" w:rsidRPr="00F765CF" w:rsidRDefault="002E1BFA" w:rsidP="00910074">
            <w:pPr>
              <w:jc w:val="right"/>
              <w:rPr>
                <w:i/>
                <w:szCs w:val="24"/>
              </w:rPr>
            </w:pPr>
            <w:r w:rsidRPr="00F765CF">
              <w:rPr>
                <w:i/>
                <w:szCs w:val="24"/>
              </w:rPr>
              <w:t>9,9</w:t>
            </w:r>
          </w:p>
        </w:tc>
        <w:tc>
          <w:tcPr>
            <w:tcW w:w="1134" w:type="dxa"/>
            <w:tcBorders>
              <w:top w:val="nil"/>
              <w:bottom w:val="nil"/>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14</w:t>
            </w:r>
          </w:p>
        </w:tc>
        <w:tc>
          <w:tcPr>
            <w:tcW w:w="992" w:type="dxa"/>
            <w:tcBorders>
              <w:top w:val="nil"/>
              <w:bottom w:val="nil"/>
              <w:right w:val="single" w:sz="8" w:space="0" w:color="7F7F7F" w:themeColor="text1" w:themeTint="80"/>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141,41</w:t>
            </w:r>
          </w:p>
        </w:tc>
      </w:tr>
      <w:tr w:rsidR="002E1BFA" w:rsidRPr="00F765CF" w:rsidTr="00910074">
        <w:tc>
          <w:tcPr>
            <w:tcW w:w="4280" w:type="dxa"/>
            <w:tcBorders>
              <w:top w:val="nil"/>
              <w:bottom w:val="nil"/>
            </w:tcBorders>
            <w:shd w:val="clear" w:color="auto" w:fill="auto"/>
          </w:tcPr>
          <w:p w:rsidR="002E1BFA" w:rsidRPr="00F765CF" w:rsidRDefault="002E1BFA" w:rsidP="00910074">
            <w:pPr>
              <w:rPr>
                <w:rFonts w:eastAsia="Times New Roman" w:cs="Times New Roman"/>
                <w:i/>
                <w:lang w:eastAsia="cs-CZ"/>
              </w:rPr>
            </w:pPr>
            <w:r w:rsidRPr="00F765CF">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rsidR="002E1BFA" w:rsidRPr="00F765CF" w:rsidRDefault="002E1BFA" w:rsidP="00910074">
            <w:pPr>
              <w:jc w:val="right"/>
              <w:rPr>
                <w:i/>
                <w:szCs w:val="24"/>
              </w:rPr>
            </w:pPr>
            <w:r w:rsidRPr="00F765CF">
              <w:rPr>
                <w:i/>
                <w:szCs w:val="24"/>
              </w:rPr>
              <w:t>2,5</w:t>
            </w:r>
          </w:p>
        </w:tc>
        <w:tc>
          <w:tcPr>
            <w:tcW w:w="1276" w:type="dxa"/>
            <w:tcBorders>
              <w:top w:val="nil"/>
              <w:left w:val="single" w:sz="4" w:space="0" w:color="auto"/>
              <w:bottom w:val="nil"/>
              <w:right w:val="single" w:sz="4" w:space="0" w:color="auto"/>
            </w:tcBorders>
            <w:vAlign w:val="center"/>
          </w:tcPr>
          <w:p w:rsidR="002E1BFA" w:rsidRPr="00F765CF" w:rsidRDefault="002E1BFA" w:rsidP="00910074">
            <w:pPr>
              <w:jc w:val="right"/>
              <w:rPr>
                <w:i/>
                <w:szCs w:val="24"/>
              </w:rPr>
            </w:pPr>
            <w:r w:rsidRPr="00F765CF">
              <w:rPr>
                <w:i/>
                <w:szCs w:val="24"/>
              </w:rPr>
              <w:t>1,5</w:t>
            </w:r>
          </w:p>
        </w:tc>
        <w:tc>
          <w:tcPr>
            <w:tcW w:w="1134" w:type="dxa"/>
            <w:tcBorders>
              <w:top w:val="nil"/>
              <w:bottom w:val="nil"/>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2</w:t>
            </w:r>
          </w:p>
        </w:tc>
        <w:tc>
          <w:tcPr>
            <w:tcW w:w="992" w:type="dxa"/>
            <w:tcBorders>
              <w:top w:val="nil"/>
              <w:bottom w:val="nil"/>
              <w:right w:val="single" w:sz="8" w:space="0" w:color="7F7F7F" w:themeColor="text1" w:themeTint="80"/>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133,33</w:t>
            </w:r>
          </w:p>
        </w:tc>
      </w:tr>
      <w:tr w:rsidR="002E1BFA" w:rsidRPr="00F765CF" w:rsidTr="00910074">
        <w:tc>
          <w:tcPr>
            <w:tcW w:w="4280" w:type="dxa"/>
            <w:tcBorders>
              <w:top w:val="nil"/>
              <w:bottom w:val="single" w:sz="4" w:space="0" w:color="7F7F7F" w:themeColor="text1" w:themeTint="80"/>
            </w:tcBorders>
            <w:shd w:val="clear" w:color="auto" w:fill="auto"/>
          </w:tcPr>
          <w:p w:rsidR="002E1BFA" w:rsidRPr="00F765CF" w:rsidRDefault="002E1BFA" w:rsidP="00910074">
            <w:pPr>
              <w:rPr>
                <w:rFonts w:eastAsia="Times New Roman" w:cs="Times New Roman"/>
                <w:i/>
                <w:lang w:eastAsia="cs-CZ"/>
              </w:rPr>
            </w:pPr>
            <w:r w:rsidRPr="00F765CF">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rsidR="002E1BFA" w:rsidRPr="00F765CF" w:rsidRDefault="002E1BFA" w:rsidP="00910074">
            <w:pPr>
              <w:jc w:val="right"/>
              <w:rPr>
                <w:i/>
                <w:szCs w:val="24"/>
              </w:rPr>
            </w:pPr>
            <w:r w:rsidRPr="00F765CF">
              <w:rPr>
                <w:i/>
                <w:szCs w:val="24"/>
              </w:rPr>
              <w:t>14,5</w:t>
            </w:r>
          </w:p>
        </w:tc>
        <w:tc>
          <w:tcPr>
            <w:tcW w:w="1276" w:type="dxa"/>
            <w:tcBorders>
              <w:top w:val="nil"/>
              <w:left w:val="single" w:sz="4" w:space="0" w:color="auto"/>
              <w:bottom w:val="single" w:sz="4" w:space="0" w:color="auto"/>
              <w:right w:val="single" w:sz="4" w:space="0" w:color="auto"/>
            </w:tcBorders>
            <w:vAlign w:val="center"/>
          </w:tcPr>
          <w:p w:rsidR="002E1BFA" w:rsidRPr="00F765CF" w:rsidRDefault="002E1BFA" w:rsidP="00055DCD">
            <w:pPr>
              <w:jc w:val="right"/>
              <w:rPr>
                <w:i/>
                <w:szCs w:val="24"/>
              </w:rPr>
            </w:pPr>
            <w:r w:rsidRPr="00F765CF">
              <w:rPr>
                <w:i/>
                <w:szCs w:val="24"/>
              </w:rPr>
              <w:t>8,</w:t>
            </w:r>
            <w:r w:rsidR="00055DCD">
              <w:rPr>
                <w:i/>
                <w:szCs w:val="24"/>
              </w:rPr>
              <w:t>5</w:t>
            </w:r>
          </w:p>
        </w:tc>
        <w:tc>
          <w:tcPr>
            <w:tcW w:w="1134" w:type="dxa"/>
            <w:tcBorders>
              <w:top w:val="nil"/>
              <w:bottom w:val="single" w:sz="4" w:space="0" w:color="7F7F7F" w:themeColor="text1" w:themeTint="80"/>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12</w:t>
            </w:r>
          </w:p>
        </w:tc>
        <w:tc>
          <w:tcPr>
            <w:tcW w:w="992" w:type="dxa"/>
            <w:tcBorders>
              <w:top w:val="nil"/>
              <w:bottom w:val="single" w:sz="4" w:space="0" w:color="7F7F7F" w:themeColor="text1" w:themeTint="80"/>
              <w:right w:val="single" w:sz="8" w:space="0" w:color="7F7F7F" w:themeColor="text1" w:themeTint="80"/>
            </w:tcBorders>
            <w:shd w:val="clear" w:color="auto" w:fill="auto"/>
            <w:vAlign w:val="center"/>
          </w:tcPr>
          <w:p w:rsidR="002E1BFA" w:rsidRPr="00F765CF" w:rsidRDefault="00055DCD" w:rsidP="00910074">
            <w:pPr>
              <w:jc w:val="right"/>
              <w:rPr>
                <w:rFonts w:eastAsia="Times New Roman" w:cs="Times New Roman"/>
                <w:i/>
                <w:lang w:eastAsia="cs-CZ"/>
              </w:rPr>
            </w:pPr>
            <w:r>
              <w:rPr>
                <w:rFonts w:eastAsia="Times New Roman" w:cs="Times New Roman"/>
                <w:i/>
                <w:lang w:eastAsia="cs-CZ"/>
              </w:rPr>
              <w:t>141,17</w:t>
            </w:r>
          </w:p>
        </w:tc>
      </w:tr>
      <w:tr w:rsidR="002E1BFA" w:rsidRPr="00F765CF" w:rsidTr="00910074">
        <w:trPr>
          <w:trHeight w:val="349"/>
        </w:trPr>
        <w:tc>
          <w:tcPr>
            <w:tcW w:w="4280" w:type="dxa"/>
            <w:tcBorders>
              <w:top w:val="single" w:sz="4" w:space="0" w:color="7F7F7F" w:themeColor="text1" w:themeTint="80"/>
              <w:bottom w:val="nil"/>
            </w:tcBorders>
            <w:shd w:val="clear" w:color="auto" w:fill="auto"/>
          </w:tcPr>
          <w:p w:rsidR="002E1BFA" w:rsidRPr="00F765CF" w:rsidRDefault="002E1BFA" w:rsidP="00910074">
            <w:pPr>
              <w:spacing w:before="60"/>
              <w:rPr>
                <w:rFonts w:eastAsia="Times New Roman" w:cs="Times New Roman"/>
                <w:lang w:eastAsia="cs-CZ"/>
              </w:rPr>
            </w:pPr>
            <w:r w:rsidRPr="00F765CF">
              <w:rPr>
                <w:rFonts w:eastAsia="Times New Roman" w:cs="Times New Roman"/>
                <w:lang w:eastAsia="cs-CZ"/>
              </w:rPr>
              <w:t>ostatní neinvestiční nákupy a související výdaje</w:t>
            </w:r>
          </w:p>
        </w:tc>
        <w:tc>
          <w:tcPr>
            <w:tcW w:w="1380" w:type="dxa"/>
            <w:tcBorders>
              <w:top w:val="single" w:sz="4" w:space="0" w:color="auto"/>
              <w:left w:val="single" w:sz="4" w:space="0" w:color="auto"/>
              <w:bottom w:val="nil"/>
              <w:right w:val="single" w:sz="4" w:space="0" w:color="auto"/>
            </w:tcBorders>
            <w:vAlign w:val="center"/>
          </w:tcPr>
          <w:p w:rsidR="002E1BFA" w:rsidRPr="00F765CF" w:rsidRDefault="002E1BFA" w:rsidP="00910074">
            <w:pPr>
              <w:jc w:val="right"/>
              <w:rPr>
                <w:szCs w:val="24"/>
              </w:rPr>
            </w:pPr>
            <w:r w:rsidRPr="00F765CF">
              <w:rPr>
                <w:szCs w:val="24"/>
              </w:rPr>
              <w:t>16 734</w:t>
            </w:r>
          </w:p>
        </w:tc>
        <w:tc>
          <w:tcPr>
            <w:tcW w:w="1276" w:type="dxa"/>
            <w:tcBorders>
              <w:top w:val="single" w:sz="4" w:space="0" w:color="auto"/>
              <w:left w:val="single" w:sz="4" w:space="0" w:color="auto"/>
              <w:bottom w:val="nil"/>
              <w:right w:val="single" w:sz="4" w:space="0" w:color="auto"/>
            </w:tcBorders>
            <w:vAlign w:val="center"/>
          </w:tcPr>
          <w:p w:rsidR="002E1BFA" w:rsidRPr="00F765CF" w:rsidRDefault="002E1BFA" w:rsidP="00910074">
            <w:pPr>
              <w:jc w:val="right"/>
              <w:rPr>
                <w:szCs w:val="24"/>
              </w:rPr>
            </w:pPr>
            <w:r w:rsidRPr="00F765CF">
              <w:rPr>
                <w:szCs w:val="24"/>
              </w:rPr>
              <w:t>16 230</w:t>
            </w:r>
          </w:p>
        </w:tc>
        <w:tc>
          <w:tcPr>
            <w:tcW w:w="1134" w:type="dxa"/>
            <w:tcBorders>
              <w:top w:val="single" w:sz="4" w:space="0" w:color="7F7F7F" w:themeColor="text1" w:themeTint="80"/>
              <w:bottom w:val="nil"/>
            </w:tcBorders>
            <w:shd w:val="clear" w:color="auto" w:fill="auto"/>
            <w:vAlign w:val="center"/>
          </w:tcPr>
          <w:p w:rsidR="002E1BFA" w:rsidRPr="00F765CF" w:rsidRDefault="002E1BFA" w:rsidP="00910074">
            <w:pPr>
              <w:jc w:val="right"/>
              <w:rPr>
                <w:rFonts w:eastAsia="Times New Roman" w:cs="Times New Roman"/>
                <w:highlight w:val="yellow"/>
                <w:lang w:eastAsia="cs-CZ"/>
              </w:rPr>
            </w:pPr>
            <w:r w:rsidRPr="00F765CF">
              <w:rPr>
                <w:rFonts w:eastAsia="Times New Roman" w:cs="Times New Roman"/>
                <w:lang w:eastAsia="cs-CZ"/>
              </w:rPr>
              <w:t xml:space="preserve">17 230 </w:t>
            </w:r>
          </w:p>
        </w:tc>
        <w:tc>
          <w:tcPr>
            <w:tcW w:w="992" w:type="dxa"/>
            <w:tcBorders>
              <w:top w:val="single" w:sz="4" w:space="0" w:color="7F7F7F" w:themeColor="text1" w:themeTint="80"/>
              <w:bottom w:val="nil"/>
            </w:tcBorders>
            <w:shd w:val="clear" w:color="auto" w:fill="auto"/>
            <w:vAlign w:val="center"/>
          </w:tcPr>
          <w:p w:rsidR="002E1BFA" w:rsidRPr="00F765CF" w:rsidRDefault="002E1BFA" w:rsidP="00910074">
            <w:pPr>
              <w:jc w:val="right"/>
              <w:rPr>
                <w:rFonts w:eastAsia="Times New Roman" w:cs="Times New Roman"/>
                <w:highlight w:val="yellow"/>
                <w:lang w:eastAsia="cs-CZ"/>
              </w:rPr>
            </w:pPr>
            <w:r w:rsidRPr="00F765CF">
              <w:rPr>
                <w:rFonts w:eastAsia="Times New Roman" w:cs="Times New Roman"/>
                <w:lang w:eastAsia="cs-CZ"/>
              </w:rPr>
              <w:t>106,16</w:t>
            </w:r>
          </w:p>
        </w:tc>
      </w:tr>
      <w:tr w:rsidR="002E1BFA" w:rsidRPr="00F765CF" w:rsidTr="00910074">
        <w:tc>
          <w:tcPr>
            <w:tcW w:w="4280" w:type="dxa"/>
            <w:tcBorders>
              <w:top w:val="nil"/>
              <w:bottom w:val="nil"/>
            </w:tcBorders>
            <w:shd w:val="clear" w:color="auto" w:fill="auto"/>
          </w:tcPr>
          <w:p w:rsidR="002E1BFA" w:rsidRPr="00F765CF" w:rsidRDefault="002E1BFA" w:rsidP="005974F4">
            <w:pPr>
              <w:jc w:val="left"/>
              <w:rPr>
                <w:rFonts w:eastAsia="Times New Roman" w:cs="Times New Roman"/>
                <w:i/>
                <w:lang w:eastAsia="cs-CZ"/>
              </w:rPr>
            </w:pPr>
            <w:r w:rsidRPr="00F765CF">
              <w:rPr>
                <w:rFonts w:eastAsia="Times New Roman" w:cs="Times New Roman"/>
                <w:i/>
                <w:lang w:eastAsia="cs-CZ"/>
              </w:rPr>
              <w:t>z toho: programové financování (EDS/SMVS)</w:t>
            </w:r>
          </w:p>
        </w:tc>
        <w:tc>
          <w:tcPr>
            <w:tcW w:w="1380" w:type="dxa"/>
            <w:tcBorders>
              <w:top w:val="nil"/>
              <w:left w:val="single" w:sz="4" w:space="0" w:color="auto"/>
              <w:bottom w:val="nil"/>
              <w:right w:val="single" w:sz="4" w:space="0" w:color="auto"/>
            </w:tcBorders>
            <w:vAlign w:val="center"/>
          </w:tcPr>
          <w:p w:rsidR="002E1BFA" w:rsidRPr="00F765CF" w:rsidRDefault="002E1BFA" w:rsidP="00910074">
            <w:pPr>
              <w:jc w:val="right"/>
              <w:rPr>
                <w:i/>
                <w:szCs w:val="24"/>
              </w:rPr>
            </w:pPr>
            <w:r w:rsidRPr="00F765CF">
              <w:rPr>
                <w:i/>
                <w:szCs w:val="24"/>
              </w:rPr>
              <w:t>0</w:t>
            </w:r>
          </w:p>
        </w:tc>
        <w:tc>
          <w:tcPr>
            <w:tcW w:w="1276" w:type="dxa"/>
            <w:tcBorders>
              <w:top w:val="nil"/>
              <w:left w:val="single" w:sz="4" w:space="0" w:color="auto"/>
              <w:bottom w:val="nil"/>
              <w:right w:val="single" w:sz="4" w:space="0" w:color="auto"/>
            </w:tcBorders>
            <w:vAlign w:val="center"/>
          </w:tcPr>
          <w:p w:rsidR="002E1BFA" w:rsidRPr="00F765CF" w:rsidRDefault="002E1BFA" w:rsidP="00910074">
            <w:pPr>
              <w:jc w:val="right"/>
              <w:rPr>
                <w:i/>
                <w:szCs w:val="24"/>
              </w:rPr>
            </w:pPr>
            <w:r w:rsidRPr="00F765CF">
              <w:rPr>
                <w:i/>
                <w:szCs w:val="24"/>
              </w:rPr>
              <w:t>0</w:t>
            </w:r>
          </w:p>
        </w:tc>
        <w:tc>
          <w:tcPr>
            <w:tcW w:w="1134" w:type="dxa"/>
            <w:tcBorders>
              <w:top w:val="nil"/>
              <w:bottom w:val="nil"/>
            </w:tcBorders>
            <w:shd w:val="clear" w:color="auto" w:fill="auto"/>
            <w:vAlign w:val="center"/>
          </w:tcPr>
          <w:p w:rsidR="002E1BFA" w:rsidRPr="00F765CF" w:rsidRDefault="002E1BFA" w:rsidP="00910074">
            <w:pPr>
              <w:jc w:val="right"/>
              <w:rPr>
                <w:rFonts w:cs="Times New Roman"/>
              </w:rPr>
            </w:pPr>
            <w:r w:rsidRPr="00F765CF">
              <w:rPr>
                <w:rFonts w:cs="Times New Roman"/>
              </w:rPr>
              <w:t>0</w:t>
            </w:r>
          </w:p>
        </w:tc>
        <w:tc>
          <w:tcPr>
            <w:tcW w:w="992" w:type="dxa"/>
            <w:tcBorders>
              <w:top w:val="nil"/>
              <w:bottom w:val="nil"/>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x</w:t>
            </w:r>
          </w:p>
        </w:tc>
      </w:tr>
      <w:tr w:rsidR="002E1BFA" w:rsidRPr="00F765CF" w:rsidTr="00910074">
        <w:tc>
          <w:tcPr>
            <w:tcW w:w="4280" w:type="dxa"/>
            <w:tcBorders>
              <w:top w:val="nil"/>
              <w:bottom w:val="nil"/>
            </w:tcBorders>
            <w:shd w:val="clear" w:color="auto" w:fill="auto"/>
          </w:tcPr>
          <w:p w:rsidR="002E1BFA" w:rsidRPr="00F765CF" w:rsidRDefault="002E1BFA" w:rsidP="005974F4">
            <w:pPr>
              <w:jc w:val="left"/>
              <w:rPr>
                <w:rFonts w:eastAsia="Times New Roman" w:cs="Times New Roman"/>
                <w:i/>
                <w:lang w:eastAsia="cs-CZ"/>
              </w:rPr>
            </w:pPr>
            <w:r w:rsidRPr="00F765CF">
              <w:rPr>
                <w:rFonts w:eastAsia="Times New Roman" w:cs="Times New Roman"/>
                <w:i/>
                <w:lang w:eastAsia="cs-CZ"/>
              </w:rPr>
              <w:t xml:space="preserve">            výdaje na programy spolufin.            z rozpočtu EU</w:t>
            </w:r>
          </w:p>
        </w:tc>
        <w:tc>
          <w:tcPr>
            <w:tcW w:w="1380" w:type="dxa"/>
            <w:tcBorders>
              <w:top w:val="nil"/>
              <w:left w:val="single" w:sz="4" w:space="0" w:color="auto"/>
              <w:bottom w:val="nil"/>
              <w:right w:val="single" w:sz="4" w:space="0" w:color="auto"/>
            </w:tcBorders>
            <w:vAlign w:val="center"/>
          </w:tcPr>
          <w:p w:rsidR="002E1BFA" w:rsidRPr="00F765CF" w:rsidRDefault="002E1BFA" w:rsidP="00910074">
            <w:pPr>
              <w:jc w:val="right"/>
              <w:rPr>
                <w:i/>
                <w:szCs w:val="24"/>
              </w:rPr>
            </w:pPr>
            <w:r w:rsidRPr="00F765CF">
              <w:rPr>
                <w:i/>
                <w:szCs w:val="24"/>
              </w:rPr>
              <w:t>162</w:t>
            </w:r>
          </w:p>
        </w:tc>
        <w:tc>
          <w:tcPr>
            <w:tcW w:w="1276" w:type="dxa"/>
            <w:tcBorders>
              <w:top w:val="nil"/>
              <w:left w:val="single" w:sz="4" w:space="0" w:color="auto"/>
              <w:bottom w:val="nil"/>
              <w:right w:val="single" w:sz="4" w:space="0" w:color="auto"/>
            </w:tcBorders>
            <w:vAlign w:val="center"/>
          </w:tcPr>
          <w:p w:rsidR="002E1BFA" w:rsidRPr="00F765CF" w:rsidRDefault="002E1BFA" w:rsidP="00910074">
            <w:pPr>
              <w:jc w:val="right"/>
              <w:rPr>
                <w:i/>
                <w:szCs w:val="24"/>
              </w:rPr>
            </w:pPr>
            <w:r w:rsidRPr="00F765CF">
              <w:rPr>
                <w:i/>
                <w:szCs w:val="24"/>
              </w:rPr>
              <w:t>190</w:t>
            </w:r>
          </w:p>
        </w:tc>
        <w:tc>
          <w:tcPr>
            <w:tcW w:w="1134" w:type="dxa"/>
            <w:tcBorders>
              <w:top w:val="nil"/>
              <w:bottom w:val="nil"/>
            </w:tcBorders>
            <w:shd w:val="clear" w:color="auto" w:fill="auto"/>
            <w:vAlign w:val="center"/>
          </w:tcPr>
          <w:p w:rsidR="002E1BFA" w:rsidRPr="00F765CF" w:rsidRDefault="002E1BFA" w:rsidP="00910074">
            <w:pPr>
              <w:jc w:val="right"/>
              <w:rPr>
                <w:rFonts w:cs="Times New Roman"/>
              </w:rPr>
            </w:pPr>
            <w:r w:rsidRPr="00F765CF">
              <w:rPr>
                <w:rFonts w:cs="Times New Roman"/>
              </w:rPr>
              <w:t>190</w:t>
            </w:r>
          </w:p>
        </w:tc>
        <w:tc>
          <w:tcPr>
            <w:tcW w:w="992" w:type="dxa"/>
            <w:tcBorders>
              <w:top w:val="nil"/>
              <w:bottom w:val="nil"/>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100,00</w:t>
            </w:r>
          </w:p>
        </w:tc>
      </w:tr>
      <w:tr w:rsidR="002E1BFA" w:rsidRPr="00F765CF" w:rsidTr="00910074">
        <w:tc>
          <w:tcPr>
            <w:tcW w:w="4280" w:type="dxa"/>
            <w:tcBorders>
              <w:top w:val="nil"/>
              <w:bottom w:val="nil"/>
            </w:tcBorders>
            <w:shd w:val="clear" w:color="auto" w:fill="auto"/>
          </w:tcPr>
          <w:p w:rsidR="002E1BFA" w:rsidRPr="00F765CF" w:rsidRDefault="002E1BFA" w:rsidP="00910074">
            <w:pPr>
              <w:rPr>
                <w:rFonts w:eastAsia="Times New Roman" w:cs="Times New Roman"/>
                <w:i/>
                <w:lang w:eastAsia="cs-CZ"/>
              </w:rPr>
            </w:pPr>
            <w:r w:rsidRPr="00F765CF">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rsidR="002E1BFA" w:rsidRPr="00F765CF" w:rsidRDefault="002E1BFA" w:rsidP="00910074">
            <w:pPr>
              <w:jc w:val="right"/>
              <w:rPr>
                <w:i/>
                <w:szCs w:val="24"/>
              </w:rPr>
            </w:pPr>
            <w:r w:rsidRPr="00F765CF">
              <w:rPr>
                <w:i/>
                <w:szCs w:val="24"/>
              </w:rPr>
              <w:t>24</w:t>
            </w:r>
          </w:p>
        </w:tc>
        <w:tc>
          <w:tcPr>
            <w:tcW w:w="1276" w:type="dxa"/>
            <w:tcBorders>
              <w:top w:val="nil"/>
              <w:left w:val="single" w:sz="4" w:space="0" w:color="auto"/>
              <w:bottom w:val="nil"/>
              <w:right w:val="single" w:sz="4" w:space="0" w:color="auto"/>
            </w:tcBorders>
            <w:vAlign w:val="center"/>
          </w:tcPr>
          <w:p w:rsidR="002E1BFA" w:rsidRPr="00F765CF" w:rsidRDefault="00055DCD" w:rsidP="00910074">
            <w:pPr>
              <w:jc w:val="right"/>
              <w:rPr>
                <w:i/>
                <w:szCs w:val="24"/>
              </w:rPr>
            </w:pPr>
            <w:r>
              <w:rPr>
                <w:i/>
                <w:szCs w:val="24"/>
              </w:rPr>
              <w:t>28,5</w:t>
            </w:r>
          </w:p>
        </w:tc>
        <w:tc>
          <w:tcPr>
            <w:tcW w:w="1134" w:type="dxa"/>
            <w:tcBorders>
              <w:top w:val="nil"/>
              <w:bottom w:val="nil"/>
            </w:tcBorders>
            <w:shd w:val="clear" w:color="auto" w:fill="auto"/>
            <w:vAlign w:val="center"/>
          </w:tcPr>
          <w:p w:rsidR="002E1BFA" w:rsidRPr="00F765CF" w:rsidRDefault="00055DCD" w:rsidP="00910074">
            <w:pPr>
              <w:jc w:val="right"/>
              <w:rPr>
                <w:rFonts w:cs="Times New Roman"/>
              </w:rPr>
            </w:pPr>
            <w:r>
              <w:rPr>
                <w:rFonts w:cs="Times New Roman"/>
              </w:rPr>
              <w:t>28,5</w:t>
            </w:r>
          </w:p>
        </w:tc>
        <w:tc>
          <w:tcPr>
            <w:tcW w:w="992" w:type="dxa"/>
            <w:tcBorders>
              <w:top w:val="nil"/>
              <w:bottom w:val="nil"/>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100,00</w:t>
            </w:r>
          </w:p>
        </w:tc>
      </w:tr>
      <w:tr w:rsidR="002E1BFA" w:rsidRPr="00F765CF" w:rsidTr="00910074">
        <w:tc>
          <w:tcPr>
            <w:tcW w:w="4280" w:type="dxa"/>
            <w:tcBorders>
              <w:top w:val="nil"/>
              <w:bottom w:val="single" w:sz="8" w:space="0" w:color="7F7F7F" w:themeColor="text1" w:themeTint="80"/>
            </w:tcBorders>
            <w:shd w:val="clear" w:color="auto" w:fill="auto"/>
          </w:tcPr>
          <w:p w:rsidR="002E1BFA" w:rsidRPr="00F765CF" w:rsidRDefault="002E1BFA" w:rsidP="00910074">
            <w:pPr>
              <w:rPr>
                <w:rFonts w:eastAsia="Times New Roman" w:cs="Times New Roman"/>
                <w:i/>
                <w:lang w:eastAsia="cs-CZ"/>
              </w:rPr>
            </w:pPr>
            <w:r w:rsidRPr="00F765CF">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rsidR="002E1BFA" w:rsidRPr="00F765CF" w:rsidRDefault="002E1BFA" w:rsidP="00910074">
            <w:pPr>
              <w:jc w:val="right"/>
              <w:rPr>
                <w:i/>
                <w:szCs w:val="24"/>
              </w:rPr>
            </w:pPr>
            <w:r w:rsidRPr="00F765CF">
              <w:rPr>
                <w:i/>
                <w:szCs w:val="24"/>
              </w:rPr>
              <w:t>138</w:t>
            </w:r>
          </w:p>
        </w:tc>
        <w:tc>
          <w:tcPr>
            <w:tcW w:w="1276" w:type="dxa"/>
            <w:tcBorders>
              <w:top w:val="nil"/>
              <w:left w:val="single" w:sz="4" w:space="0" w:color="auto"/>
              <w:bottom w:val="single" w:sz="4" w:space="0" w:color="auto"/>
              <w:right w:val="single" w:sz="4" w:space="0" w:color="auto"/>
            </w:tcBorders>
            <w:vAlign w:val="center"/>
          </w:tcPr>
          <w:p w:rsidR="002E1BFA" w:rsidRPr="00F765CF" w:rsidRDefault="00055DCD" w:rsidP="00910074">
            <w:pPr>
              <w:jc w:val="right"/>
              <w:rPr>
                <w:i/>
                <w:szCs w:val="24"/>
              </w:rPr>
            </w:pPr>
            <w:r>
              <w:rPr>
                <w:i/>
                <w:szCs w:val="24"/>
              </w:rPr>
              <w:t>161,5</w:t>
            </w:r>
          </w:p>
        </w:tc>
        <w:tc>
          <w:tcPr>
            <w:tcW w:w="1134" w:type="dxa"/>
            <w:tcBorders>
              <w:top w:val="nil"/>
              <w:bottom w:val="single" w:sz="8" w:space="0" w:color="7F7F7F" w:themeColor="text1" w:themeTint="80"/>
            </w:tcBorders>
            <w:shd w:val="clear" w:color="auto" w:fill="auto"/>
            <w:vAlign w:val="center"/>
          </w:tcPr>
          <w:p w:rsidR="002E1BFA" w:rsidRPr="00F765CF" w:rsidRDefault="00055DCD" w:rsidP="00910074">
            <w:pPr>
              <w:jc w:val="right"/>
              <w:rPr>
                <w:rFonts w:cs="Times New Roman"/>
              </w:rPr>
            </w:pPr>
            <w:r>
              <w:rPr>
                <w:rFonts w:cs="Times New Roman"/>
              </w:rPr>
              <w:t>161,5</w:t>
            </w:r>
          </w:p>
        </w:tc>
        <w:tc>
          <w:tcPr>
            <w:tcW w:w="992" w:type="dxa"/>
            <w:tcBorders>
              <w:top w:val="nil"/>
              <w:bottom w:val="single" w:sz="8" w:space="0" w:color="7F7F7F" w:themeColor="text1" w:themeTint="80"/>
            </w:tcBorders>
            <w:shd w:val="clear" w:color="auto" w:fill="auto"/>
            <w:vAlign w:val="center"/>
          </w:tcPr>
          <w:p w:rsidR="002E1BFA" w:rsidRPr="00F765CF" w:rsidRDefault="002E1BFA" w:rsidP="00910074">
            <w:pPr>
              <w:jc w:val="right"/>
              <w:rPr>
                <w:rFonts w:eastAsia="Times New Roman" w:cs="Times New Roman"/>
                <w:i/>
                <w:lang w:eastAsia="cs-CZ"/>
              </w:rPr>
            </w:pPr>
            <w:r w:rsidRPr="00F765CF">
              <w:rPr>
                <w:rFonts w:eastAsia="Times New Roman" w:cs="Times New Roman"/>
                <w:i/>
                <w:lang w:eastAsia="cs-CZ"/>
              </w:rPr>
              <w:t>100,00</w:t>
            </w:r>
          </w:p>
        </w:tc>
      </w:tr>
    </w:tbl>
    <w:p w:rsidR="002E1BFA" w:rsidRPr="00F765CF" w:rsidRDefault="002E1BFA" w:rsidP="002E1BFA">
      <w:pPr>
        <w:keepLines/>
        <w:spacing w:before="240" w:after="240" w:line="276" w:lineRule="auto"/>
        <w:rPr>
          <w:rFonts w:eastAsia="Times New Roman" w:cs="Times New Roman"/>
          <w:iCs/>
          <w:szCs w:val="24"/>
          <w:lang w:eastAsia="cs-CZ"/>
        </w:rPr>
      </w:pPr>
      <w:r w:rsidRPr="00F765CF">
        <w:rPr>
          <w:rFonts w:eastAsia="Times New Roman" w:cs="Times New Roman"/>
          <w:iCs/>
          <w:szCs w:val="24"/>
          <w:lang w:eastAsia="cs-CZ"/>
        </w:rPr>
        <w:t xml:space="preserve">Návrh rozpočtu běžných výdajů na rok 2021 je ve srovnání se schváleným rozpočtem </w:t>
      </w:r>
      <w:r w:rsidRPr="00F765CF">
        <w:rPr>
          <w:rFonts w:eastAsia="Times New Roman" w:cs="Times New Roman"/>
          <w:iCs/>
          <w:szCs w:val="24"/>
          <w:lang w:eastAsia="cs-CZ"/>
        </w:rPr>
        <w:br/>
        <w:t>na rok 2020 o 1 252 tis. Kč vyšší, a to</w:t>
      </w:r>
      <w:r w:rsidR="00D6118C">
        <w:rPr>
          <w:rFonts w:eastAsia="Times New Roman" w:cs="Times New Roman"/>
          <w:iCs/>
          <w:szCs w:val="24"/>
          <w:lang w:eastAsia="cs-CZ"/>
        </w:rPr>
        <w:t xml:space="preserve"> přesunem přostředků ve výši 1 000 tis. Kč z kapitálových výdajů a také mírným</w:t>
      </w:r>
      <w:r w:rsidRPr="00F765CF">
        <w:rPr>
          <w:rFonts w:eastAsia="Times New Roman" w:cs="Times New Roman"/>
          <w:iCs/>
          <w:szCs w:val="24"/>
          <w:lang w:eastAsia="cs-CZ"/>
        </w:rPr>
        <w:t xml:space="preserve"> nárůstem prostředků na realizaci projektu RIS COMEX. </w:t>
      </w:r>
    </w:p>
    <w:p w:rsidR="002E1BFA" w:rsidRPr="00F765CF" w:rsidRDefault="002E1BFA" w:rsidP="002E1BFA">
      <w:pPr>
        <w:keepLines/>
        <w:spacing w:before="240" w:after="240" w:line="276" w:lineRule="auto"/>
        <w:rPr>
          <w:rFonts w:eastAsia="Times New Roman" w:cs="Times New Roman"/>
          <w:iCs/>
          <w:szCs w:val="24"/>
          <w:lang w:eastAsia="cs-CZ"/>
        </w:rPr>
      </w:pPr>
      <w:r w:rsidRPr="00F765CF">
        <w:rPr>
          <w:rFonts w:eastAsia="Times New Roman" w:cs="Times New Roman"/>
          <w:iCs/>
          <w:szCs w:val="24"/>
          <w:lang w:eastAsia="cs-CZ"/>
        </w:rPr>
        <w:t xml:space="preserve">Z celkového objemu běžných výdajů tvoří největší položku výdaje na platy a ostatní platby </w:t>
      </w:r>
      <w:r w:rsidRPr="00F765CF">
        <w:rPr>
          <w:rFonts w:eastAsia="Times New Roman" w:cs="Times New Roman"/>
          <w:iCs/>
          <w:szCs w:val="24"/>
          <w:lang w:eastAsia="cs-CZ"/>
        </w:rPr>
        <w:br/>
        <w:t xml:space="preserve">za provedenou práci, které jsou navrhovány ve výši 40 701 tis. Kč. </w:t>
      </w:r>
    </w:p>
    <w:p w:rsidR="002E1BFA" w:rsidRPr="00F765CF" w:rsidRDefault="002E1BFA" w:rsidP="00BE6537">
      <w:pPr>
        <w:pStyle w:val="Styl1"/>
      </w:pPr>
      <w:r w:rsidRPr="00F765CF">
        <w:lastRenderedPageBreak/>
        <w:t xml:space="preserve">Na ostatní běžné výdaje je alokováno 17 230 tis. Kč. Ty jsou určeny především k zabezpečení činností a úkolů vyplývajících z předmětných zákonů a dále na krytí výdajů spojených s činnostmi, které organizace provádí v rámci jí delegovaných činností, jako </w:t>
      </w:r>
      <w:r w:rsidRPr="00F765CF">
        <w:br/>
        <w:t xml:space="preserve">je např. agenda normalizace v oblasti vodní dopravy a zastupování v Mezinárodní plavební asociaci – PIANC. Dále jsou prostředky určeny na činnosti, které přímo souvisí s vlastní realizací opatření k vydávání plavecké služební knížky, s odborným školením v otázkách mezinárodní plavby a bezpečnosti plavby na vodních cestách zemí EU, se zabezpečením úkolů vyplývajících z novely zákona č. 114/1995 Sb., o vnitrozemské plavbě, pro zajištění „Říčního informačního systému – LAVDIS“, a s vydáváním a kontrolou knihy o odběru zaolejovaných vod na plavidlech, která je stanovena vyhláškou MDS č. 223/1995 Sb. </w:t>
      </w:r>
    </w:p>
    <w:p w:rsidR="002E1BFA" w:rsidRPr="00F765CF" w:rsidRDefault="002E1BFA" w:rsidP="00BE6537">
      <w:pPr>
        <w:pStyle w:val="Styl1"/>
      </w:pPr>
      <w:r w:rsidRPr="00F765CF">
        <w:t xml:space="preserve">Prostředky ve výši 167 tis. Kč budou použity na národní spolufinancování (15 %) výdajů projektu RIS COMEX (komunitární program CEF), ve výši 946 tis. Kč (85 %) bude organizace příjemcem prostředků EU. Tento projekt je zaměřen na další rozvoj služeb RIS, </w:t>
      </w:r>
      <w:r w:rsidRPr="00F765CF">
        <w:br/>
        <w:t xml:space="preserve">a to v rámci tzv. koridorového přístupu, jež přináší výrazné </w:t>
      </w:r>
      <w:r w:rsidRPr="00BE6537">
        <w:t>synergické</w:t>
      </w:r>
      <w:r w:rsidRPr="00F765CF">
        <w:t xml:space="preserve"> efekty vzájemné spolupráce sousedících zemí v rámci jednotlivých evropských systémů vodních cest. Koridorové informační služby RIS mají umožnit řízení dopravy pomocí kompetentních úřadů a řízení přepravy pomocí logistiky. </w:t>
      </w:r>
    </w:p>
    <w:p w:rsidR="005779DE" w:rsidRPr="00E24034" w:rsidRDefault="002E1BFA" w:rsidP="002E1BFA">
      <w:pPr>
        <w:pStyle w:val="Styl1"/>
        <w:rPr>
          <w:color w:val="FF0000"/>
        </w:rPr>
      </w:pPr>
      <w:r w:rsidRPr="00F765CF">
        <w:t>Počet zaměstnanců organizace pro rok 2021 je ve výši 85, tj. na úrovni roku 2020, v tom 16 zaměstnanců v pracovním poměru a 69 státních zaměstnanců.</w:t>
      </w:r>
      <w:r w:rsidR="00063DD6" w:rsidRPr="00E24034">
        <w:rPr>
          <w:color w:val="FF0000"/>
        </w:rPr>
        <w:t xml:space="preserve"> </w:t>
      </w:r>
    </w:p>
    <w:p w:rsidR="00BD28A7" w:rsidRPr="003A0B78" w:rsidRDefault="00BD28A7" w:rsidP="00A33571">
      <w:pPr>
        <w:pStyle w:val="obyctext"/>
        <w:spacing w:before="240"/>
        <w:ind w:firstLine="0"/>
        <w:rPr>
          <w:b/>
          <w:u w:val="single"/>
        </w:rPr>
      </w:pPr>
      <w:r w:rsidRPr="003A0B78">
        <w:rPr>
          <w:b/>
          <w:u w:val="single"/>
        </w:rPr>
        <w:t xml:space="preserve">Drážní úřad </w:t>
      </w:r>
    </w:p>
    <w:p w:rsidR="003A0B78" w:rsidRPr="00AC7794" w:rsidRDefault="003A0B78" w:rsidP="003A0B78">
      <w:pPr>
        <w:pStyle w:val="Styl1"/>
      </w:pPr>
      <w:bookmarkStart w:id="52" w:name="_Toc462314393"/>
      <w:r w:rsidRPr="00AC7794">
        <w:t xml:space="preserve">Drážní úřad byl zřízen zákonem č. 266/1994 Sb., o dráhách, ve znění pozdějších předpisů, jako správní úřad a orgán státní správy podřízený Ministerstvu dopravy. Mezi jeho hlavní činnosti patří zejména schvalování typu drážních vozidel, schvalování způsobilosti drážních vozidel </w:t>
      </w:r>
      <w:r w:rsidRPr="00AC7794">
        <w:br/>
        <w:t xml:space="preserve">a určených technických zařízení, vydávání průkazů způsobilosti drážních vozidel </w:t>
      </w:r>
      <w:r w:rsidRPr="00AC7794">
        <w:br/>
        <w:t>a určených technických zařízení, provádění zkoušek a vydávání průkazů způsobilosti k řízení drážních vozidel, výkon státní správy, státního dozoru a státního stavebního dohledu v úseku stavební činnosti a vydávání licencí a úředních povolení k provozování drážní dopravy.</w:t>
      </w:r>
    </w:p>
    <w:p w:rsidR="003A0B78" w:rsidRPr="00AC7794" w:rsidRDefault="003A0B78" w:rsidP="003A0B78">
      <w:pPr>
        <w:pStyle w:val="Titulek"/>
        <w:keepNext/>
      </w:pPr>
      <w:r w:rsidRPr="00AC7794">
        <w:t xml:space="preserve">Tabulka č. </w:t>
      </w:r>
      <w:r w:rsidRPr="00AC7794">
        <w:rPr>
          <w:noProof/>
        </w:rPr>
        <w:fldChar w:fldCharType="begin"/>
      </w:r>
      <w:r w:rsidRPr="00AC7794">
        <w:rPr>
          <w:noProof/>
        </w:rPr>
        <w:instrText xml:space="preserve"> SEQ Tabulka \* ARABIC </w:instrText>
      </w:r>
      <w:r w:rsidRPr="00AC7794">
        <w:rPr>
          <w:noProof/>
        </w:rPr>
        <w:fldChar w:fldCharType="separate"/>
      </w:r>
      <w:r w:rsidR="006076E7">
        <w:rPr>
          <w:noProof/>
        </w:rPr>
        <w:t>12</w:t>
      </w:r>
      <w:r w:rsidRPr="00AC7794">
        <w:rPr>
          <w:noProof/>
        </w:rPr>
        <w:fldChar w:fldCharType="end"/>
      </w:r>
      <w:r w:rsidRPr="00AC7794">
        <w:t xml:space="preserve"> Drážní úřad – běžné výdaje (v tis. Kč)</w:t>
      </w:r>
    </w:p>
    <w:tbl>
      <w:tblPr>
        <w:tblStyle w:val="Svtltabulkasmkou1zvraznn5"/>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326"/>
        <w:gridCol w:w="1337"/>
        <w:gridCol w:w="1261"/>
        <w:gridCol w:w="1132"/>
        <w:gridCol w:w="1006"/>
      </w:tblGrid>
      <w:tr w:rsidR="003A0B78" w:rsidRPr="00AC7794" w:rsidTr="003A0B78">
        <w:trPr>
          <w:trHeight w:val="276"/>
        </w:trPr>
        <w:tc>
          <w:tcPr>
            <w:tcW w:w="4326"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A0B78" w:rsidRPr="00AC7794" w:rsidRDefault="003A0B78" w:rsidP="003A0B78">
            <w:pPr>
              <w:jc w:val="center"/>
              <w:rPr>
                <w:rFonts w:eastAsia="Times New Roman" w:cs="Times New Roman"/>
                <w:b/>
                <w:szCs w:val="24"/>
                <w:lang w:eastAsia="cs-CZ"/>
              </w:rPr>
            </w:pPr>
            <w:r w:rsidRPr="00AC7794">
              <w:rPr>
                <w:rFonts w:eastAsia="Times New Roman" w:cs="Times New Roman"/>
                <w:b/>
                <w:szCs w:val="24"/>
                <w:lang w:eastAsia="cs-CZ"/>
              </w:rPr>
              <w:t>Ukazatel</w:t>
            </w:r>
          </w:p>
        </w:tc>
        <w:tc>
          <w:tcPr>
            <w:tcW w:w="1337"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A0B78" w:rsidRPr="00AC7794" w:rsidRDefault="003A0B78" w:rsidP="003A0B78">
            <w:pPr>
              <w:jc w:val="center"/>
              <w:rPr>
                <w:rFonts w:eastAsia="Times New Roman" w:cs="Times New Roman"/>
                <w:b/>
                <w:szCs w:val="24"/>
                <w:lang w:eastAsia="cs-CZ"/>
              </w:rPr>
            </w:pPr>
            <w:r w:rsidRPr="00AC7794">
              <w:rPr>
                <w:rFonts w:eastAsia="Times New Roman" w:cs="Times New Roman"/>
                <w:b/>
                <w:szCs w:val="24"/>
                <w:lang w:eastAsia="cs-CZ"/>
              </w:rPr>
              <w:t>Skutečnost</w:t>
            </w:r>
          </w:p>
          <w:p w:rsidR="003A0B78" w:rsidRPr="00AC7794" w:rsidRDefault="003A0B78" w:rsidP="003A0B78">
            <w:pPr>
              <w:jc w:val="center"/>
              <w:rPr>
                <w:rFonts w:eastAsia="Times New Roman" w:cs="Times New Roman"/>
                <w:b/>
                <w:szCs w:val="24"/>
                <w:lang w:eastAsia="cs-CZ"/>
              </w:rPr>
            </w:pPr>
            <w:r w:rsidRPr="00AC7794">
              <w:rPr>
                <w:rFonts w:eastAsia="Times New Roman" w:cs="Times New Roman"/>
                <w:b/>
                <w:szCs w:val="24"/>
                <w:lang w:eastAsia="cs-CZ"/>
              </w:rPr>
              <w:t>201</w:t>
            </w:r>
            <w:r>
              <w:rPr>
                <w:rFonts w:eastAsia="Times New Roman" w:cs="Times New Roman"/>
                <w:b/>
                <w:szCs w:val="24"/>
                <w:lang w:eastAsia="cs-CZ"/>
              </w:rPr>
              <w:t>9</w:t>
            </w:r>
          </w:p>
        </w:tc>
        <w:tc>
          <w:tcPr>
            <w:tcW w:w="1261"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A0B78" w:rsidRPr="00AC7794" w:rsidRDefault="003A0B78" w:rsidP="003A0B78">
            <w:pPr>
              <w:jc w:val="center"/>
              <w:rPr>
                <w:rFonts w:eastAsia="Times New Roman" w:cs="Times New Roman"/>
                <w:b/>
                <w:szCs w:val="24"/>
                <w:lang w:eastAsia="cs-CZ"/>
              </w:rPr>
            </w:pPr>
            <w:r w:rsidRPr="00AC7794">
              <w:rPr>
                <w:rFonts w:eastAsia="Times New Roman" w:cs="Times New Roman"/>
                <w:b/>
                <w:szCs w:val="24"/>
                <w:lang w:eastAsia="cs-CZ"/>
              </w:rPr>
              <w:t>Schválený</w:t>
            </w:r>
          </w:p>
          <w:p w:rsidR="003A0B78" w:rsidRPr="00AC7794" w:rsidRDefault="003A0B78" w:rsidP="003A0B78">
            <w:pPr>
              <w:jc w:val="center"/>
              <w:rPr>
                <w:rFonts w:eastAsia="Times New Roman" w:cs="Times New Roman"/>
                <w:b/>
                <w:szCs w:val="24"/>
                <w:lang w:eastAsia="cs-CZ"/>
              </w:rPr>
            </w:pPr>
            <w:r w:rsidRPr="00AC7794">
              <w:rPr>
                <w:rFonts w:eastAsia="Times New Roman" w:cs="Times New Roman"/>
                <w:b/>
                <w:szCs w:val="24"/>
                <w:lang w:eastAsia="cs-CZ"/>
              </w:rPr>
              <w:t>rozpočet</w:t>
            </w:r>
          </w:p>
          <w:p w:rsidR="003A0B78" w:rsidRPr="00AC7794" w:rsidRDefault="003A0B78" w:rsidP="003A0B78">
            <w:pPr>
              <w:jc w:val="center"/>
              <w:rPr>
                <w:rFonts w:eastAsia="Times New Roman" w:cs="Times New Roman"/>
                <w:b/>
                <w:szCs w:val="24"/>
                <w:lang w:eastAsia="cs-CZ"/>
              </w:rPr>
            </w:pPr>
            <w:r w:rsidRPr="00AC7794">
              <w:rPr>
                <w:rFonts w:eastAsia="Times New Roman" w:cs="Times New Roman"/>
                <w:b/>
                <w:szCs w:val="24"/>
                <w:lang w:eastAsia="cs-CZ"/>
              </w:rPr>
              <w:t>20</w:t>
            </w:r>
            <w:r>
              <w:rPr>
                <w:rFonts w:eastAsia="Times New Roman" w:cs="Times New Roman"/>
                <w:b/>
                <w:szCs w:val="24"/>
                <w:lang w:eastAsia="cs-CZ"/>
              </w:rPr>
              <w:t>20</w:t>
            </w:r>
          </w:p>
        </w:tc>
        <w:tc>
          <w:tcPr>
            <w:tcW w:w="1132"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A0B78" w:rsidRPr="00AC7794" w:rsidRDefault="003A0B78" w:rsidP="003A0B78">
            <w:pPr>
              <w:jc w:val="center"/>
              <w:rPr>
                <w:rFonts w:eastAsia="Times New Roman" w:cs="Times New Roman"/>
                <w:b/>
                <w:szCs w:val="24"/>
                <w:lang w:eastAsia="cs-CZ"/>
              </w:rPr>
            </w:pPr>
            <w:r w:rsidRPr="00AC7794">
              <w:rPr>
                <w:rFonts w:eastAsia="Times New Roman" w:cs="Times New Roman"/>
                <w:b/>
                <w:szCs w:val="24"/>
                <w:lang w:eastAsia="cs-CZ"/>
              </w:rPr>
              <w:t>Návrh</w:t>
            </w:r>
          </w:p>
          <w:p w:rsidR="003A0B78" w:rsidRPr="00AC7794" w:rsidRDefault="003A0B78" w:rsidP="003A0B78">
            <w:pPr>
              <w:jc w:val="center"/>
              <w:rPr>
                <w:rFonts w:eastAsia="Times New Roman" w:cs="Times New Roman"/>
                <w:b/>
                <w:szCs w:val="24"/>
                <w:lang w:eastAsia="cs-CZ"/>
              </w:rPr>
            </w:pPr>
            <w:r w:rsidRPr="00AC7794">
              <w:rPr>
                <w:rFonts w:eastAsia="Times New Roman" w:cs="Times New Roman"/>
                <w:b/>
                <w:szCs w:val="24"/>
                <w:lang w:eastAsia="cs-CZ"/>
              </w:rPr>
              <w:t>rozpočtu</w:t>
            </w:r>
          </w:p>
          <w:p w:rsidR="003A0B78" w:rsidRPr="00AC7794" w:rsidRDefault="003A0B78" w:rsidP="003A0B78">
            <w:pPr>
              <w:jc w:val="center"/>
              <w:rPr>
                <w:rFonts w:eastAsia="Times New Roman" w:cs="Times New Roman"/>
                <w:b/>
                <w:szCs w:val="24"/>
                <w:lang w:eastAsia="cs-CZ"/>
              </w:rPr>
            </w:pPr>
            <w:r w:rsidRPr="00AC7794">
              <w:rPr>
                <w:rFonts w:eastAsia="Times New Roman" w:cs="Times New Roman"/>
                <w:b/>
                <w:szCs w:val="24"/>
                <w:lang w:eastAsia="cs-CZ"/>
              </w:rPr>
              <w:t>202</w:t>
            </w:r>
            <w:r>
              <w:rPr>
                <w:rFonts w:eastAsia="Times New Roman" w:cs="Times New Roman"/>
                <w:b/>
                <w:szCs w:val="24"/>
                <w:lang w:eastAsia="cs-CZ"/>
              </w:rPr>
              <w:t>1</w:t>
            </w:r>
          </w:p>
        </w:tc>
        <w:tc>
          <w:tcPr>
            <w:tcW w:w="1006"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A0B78" w:rsidRPr="00AC7794" w:rsidRDefault="003A0B78" w:rsidP="003A0B78">
            <w:pPr>
              <w:jc w:val="center"/>
              <w:rPr>
                <w:rFonts w:eastAsia="Times New Roman" w:cs="Times New Roman"/>
                <w:b/>
                <w:szCs w:val="24"/>
                <w:lang w:eastAsia="cs-CZ"/>
              </w:rPr>
            </w:pPr>
            <w:r w:rsidRPr="00AC7794">
              <w:rPr>
                <w:rFonts w:eastAsia="Times New Roman" w:cs="Times New Roman"/>
                <w:b/>
                <w:szCs w:val="24"/>
                <w:lang w:eastAsia="cs-CZ"/>
              </w:rPr>
              <w:t>Index</w:t>
            </w:r>
          </w:p>
          <w:p w:rsidR="003A0B78" w:rsidRPr="00AC7794" w:rsidRDefault="003A0B78" w:rsidP="003A0B78">
            <w:pPr>
              <w:jc w:val="center"/>
              <w:rPr>
                <w:rFonts w:eastAsia="Times New Roman" w:cs="Times New Roman"/>
                <w:b/>
                <w:szCs w:val="24"/>
                <w:lang w:eastAsia="cs-CZ"/>
              </w:rPr>
            </w:pPr>
            <w:r>
              <w:rPr>
                <w:rFonts w:eastAsia="Times New Roman" w:cs="Times New Roman"/>
                <w:b/>
                <w:szCs w:val="24"/>
                <w:lang w:eastAsia="cs-CZ"/>
              </w:rPr>
              <w:t>2021/</w:t>
            </w:r>
            <w:r>
              <w:rPr>
                <w:rFonts w:eastAsia="Times New Roman" w:cs="Times New Roman"/>
                <w:b/>
                <w:szCs w:val="24"/>
                <w:lang w:eastAsia="cs-CZ"/>
              </w:rPr>
              <w:br/>
              <w:t>2020</w:t>
            </w:r>
            <w:r w:rsidRPr="00AC7794">
              <w:rPr>
                <w:rFonts w:eastAsia="Times New Roman" w:cs="Times New Roman"/>
                <w:b/>
                <w:szCs w:val="24"/>
                <w:lang w:eastAsia="cs-CZ"/>
              </w:rPr>
              <w:t xml:space="preserve"> </w:t>
            </w:r>
            <w:r w:rsidRPr="00AC7794">
              <w:rPr>
                <w:rFonts w:eastAsia="Times New Roman" w:cs="Times New Roman"/>
                <w:b/>
                <w:szCs w:val="24"/>
                <w:lang w:eastAsia="cs-CZ"/>
              </w:rPr>
              <w:br/>
              <w:t>(v %)</w:t>
            </w:r>
          </w:p>
        </w:tc>
      </w:tr>
      <w:tr w:rsidR="003A0B78" w:rsidRPr="001A0CD7" w:rsidTr="003A0B78">
        <w:trPr>
          <w:trHeight w:val="636"/>
        </w:trPr>
        <w:tc>
          <w:tcPr>
            <w:tcW w:w="432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A0B78" w:rsidRPr="001A0CD7" w:rsidRDefault="003A0B78" w:rsidP="003A0B78">
            <w:pPr>
              <w:rPr>
                <w:rFonts w:eastAsia="Times New Roman" w:cs="Times New Roman"/>
                <w:color w:val="FF0000"/>
                <w:lang w:eastAsia="cs-CZ"/>
              </w:rPr>
            </w:pPr>
          </w:p>
        </w:tc>
        <w:tc>
          <w:tcPr>
            <w:tcW w:w="1337"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A0B78" w:rsidRPr="001A0CD7" w:rsidRDefault="003A0B78" w:rsidP="003A0B78">
            <w:pPr>
              <w:rPr>
                <w:rFonts w:eastAsia="Times New Roman" w:cs="Times New Roman"/>
                <w:color w:val="FF0000"/>
                <w:lang w:eastAsia="cs-CZ"/>
              </w:rPr>
            </w:pPr>
          </w:p>
        </w:tc>
        <w:tc>
          <w:tcPr>
            <w:tcW w:w="1261"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A0B78" w:rsidRPr="001A0CD7" w:rsidRDefault="003A0B78" w:rsidP="003A0B78">
            <w:pPr>
              <w:rPr>
                <w:rFonts w:eastAsia="Times New Roman" w:cs="Times New Roman"/>
                <w:color w:val="FF0000"/>
                <w:lang w:eastAsia="cs-CZ"/>
              </w:rPr>
            </w:pPr>
          </w:p>
        </w:tc>
        <w:tc>
          <w:tcPr>
            <w:tcW w:w="1132"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A0B78" w:rsidRPr="001A0CD7" w:rsidRDefault="003A0B78" w:rsidP="003A0B78">
            <w:pPr>
              <w:rPr>
                <w:rFonts w:eastAsia="Times New Roman" w:cs="Times New Roman"/>
                <w:color w:val="FF0000"/>
                <w:lang w:eastAsia="cs-CZ"/>
              </w:rPr>
            </w:pPr>
          </w:p>
        </w:tc>
        <w:tc>
          <w:tcPr>
            <w:tcW w:w="100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A0B78" w:rsidRPr="001A0CD7" w:rsidRDefault="003A0B78" w:rsidP="003A0B78">
            <w:pPr>
              <w:rPr>
                <w:rFonts w:eastAsia="Times New Roman" w:cs="Times New Roman"/>
                <w:color w:val="FF0000"/>
                <w:lang w:eastAsia="cs-CZ"/>
              </w:rPr>
            </w:pPr>
          </w:p>
        </w:tc>
      </w:tr>
      <w:tr w:rsidR="003A0B78" w:rsidRPr="001A0CD7" w:rsidTr="003A0B78">
        <w:trPr>
          <w:trHeight w:val="276"/>
        </w:trPr>
        <w:tc>
          <w:tcPr>
            <w:tcW w:w="432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A0B78" w:rsidRPr="001A0CD7" w:rsidRDefault="003A0B78" w:rsidP="003A0B78">
            <w:pPr>
              <w:rPr>
                <w:rFonts w:eastAsia="Times New Roman" w:cs="Times New Roman"/>
                <w:color w:val="FF0000"/>
                <w:lang w:eastAsia="cs-CZ"/>
              </w:rPr>
            </w:pPr>
          </w:p>
        </w:tc>
        <w:tc>
          <w:tcPr>
            <w:tcW w:w="1337"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A0B78" w:rsidRPr="001A0CD7" w:rsidRDefault="003A0B78" w:rsidP="003A0B78">
            <w:pPr>
              <w:rPr>
                <w:rFonts w:eastAsia="Times New Roman" w:cs="Times New Roman"/>
                <w:color w:val="FF0000"/>
                <w:lang w:eastAsia="cs-CZ"/>
              </w:rPr>
            </w:pPr>
          </w:p>
        </w:tc>
        <w:tc>
          <w:tcPr>
            <w:tcW w:w="1261"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A0B78" w:rsidRPr="001A0CD7" w:rsidRDefault="003A0B78" w:rsidP="003A0B78">
            <w:pPr>
              <w:rPr>
                <w:rFonts w:eastAsia="Times New Roman" w:cs="Times New Roman"/>
                <w:color w:val="FF0000"/>
                <w:lang w:eastAsia="cs-CZ"/>
              </w:rPr>
            </w:pPr>
          </w:p>
        </w:tc>
        <w:tc>
          <w:tcPr>
            <w:tcW w:w="1132"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A0B78" w:rsidRPr="001A0CD7" w:rsidRDefault="003A0B78" w:rsidP="003A0B78">
            <w:pPr>
              <w:rPr>
                <w:rFonts w:eastAsia="Times New Roman" w:cs="Times New Roman"/>
                <w:color w:val="FF0000"/>
                <w:lang w:eastAsia="cs-CZ"/>
              </w:rPr>
            </w:pPr>
          </w:p>
        </w:tc>
        <w:tc>
          <w:tcPr>
            <w:tcW w:w="100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A0B78" w:rsidRPr="001A0CD7" w:rsidRDefault="003A0B78" w:rsidP="003A0B78">
            <w:pPr>
              <w:rPr>
                <w:rFonts w:eastAsia="Times New Roman" w:cs="Times New Roman"/>
                <w:color w:val="FF0000"/>
                <w:lang w:eastAsia="cs-CZ"/>
              </w:rPr>
            </w:pPr>
          </w:p>
        </w:tc>
      </w:tr>
      <w:tr w:rsidR="003A0B78" w:rsidRPr="001A0CD7" w:rsidTr="003A0B78">
        <w:trPr>
          <w:trHeight w:val="300"/>
        </w:trPr>
        <w:tc>
          <w:tcPr>
            <w:tcW w:w="4326" w:type="dxa"/>
            <w:tcBorders>
              <w:top w:val="single" w:sz="4" w:space="0" w:color="7F7F7F" w:themeColor="text1" w:themeTint="80"/>
              <w:bottom w:val="single" w:sz="8" w:space="0" w:color="7F7F7F" w:themeColor="text1" w:themeTint="80"/>
            </w:tcBorders>
            <w:shd w:val="clear" w:color="auto" w:fill="auto"/>
          </w:tcPr>
          <w:p w:rsidR="003A0B78" w:rsidRPr="00AC7794" w:rsidRDefault="003A0B78" w:rsidP="003A0B78">
            <w:pPr>
              <w:jc w:val="center"/>
              <w:rPr>
                <w:rFonts w:eastAsia="Times New Roman" w:cs="Times New Roman"/>
                <w:lang w:eastAsia="cs-CZ"/>
              </w:rPr>
            </w:pPr>
            <w:r w:rsidRPr="00AC7794">
              <w:rPr>
                <w:rFonts w:eastAsia="Times New Roman" w:cs="Times New Roman"/>
                <w:lang w:eastAsia="cs-CZ"/>
              </w:rPr>
              <w:t>a</w:t>
            </w:r>
          </w:p>
        </w:tc>
        <w:tc>
          <w:tcPr>
            <w:tcW w:w="1337" w:type="dxa"/>
            <w:tcBorders>
              <w:top w:val="single" w:sz="4" w:space="0" w:color="7F7F7F" w:themeColor="text1" w:themeTint="80"/>
              <w:bottom w:val="single" w:sz="8" w:space="0" w:color="7F7F7F" w:themeColor="text1" w:themeTint="80"/>
            </w:tcBorders>
            <w:shd w:val="clear" w:color="auto" w:fill="auto"/>
          </w:tcPr>
          <w:p w:rsidR="003A0B78" w:rsidRPr="00AC7794" w:rsidRDefault="003A0B78" w:rsidP="003A0B78">
            <w:pPr>
              <w:jc w:val="center"/>
              <w:rPr>
                <w:rFonts w:eastAsia="Times New Roman" w:cs="Times New Roman"/>
                <w:lang w:eastAsia="cs-CZ"/>
              </w:rPr>
            </w:pPr>
            <w:r w:rsidRPr="00AC7794">
              <w:rPr>
                <w:rFonts w:eastAsia="Times New Roman" w:cs="Times New Roman"/>
                <w:lang w:eastAsia="cs-CZ"/>
              </w:rPr>
              <w:t>1</w:t>
            </w:r>
          </w:p>
        </w:tc>
        <w:tc>
          <w:tcPr>
            <w:tcW w:w="1261" w:type="dxa"/>
            <w:tcBorders>
              <w:top w:val="single" w:sz="4" w:space="0" w:color="7F7F7F" w:themeColor="text1" w:themeTint="80"/>
              <w:bottom w:val="single" w:sz="8" w:space="0" w:color="7F7F7F" w:themeColor="text1" w:themeTint="80"/>
            </w:tcBorders>
            <w:shd w:val="clear" w:color="auto" w:fill="auto"/>
          </w:tcPr>
          <w:p w:rsidR="003A0B78" w:rsidRPr="00AC7794" w:rsidRDefault="003A0B78" w:rsidP="003A0B78">
            <w:pPr>
              <w:jc w:val="center"/>
              <w:rPr>
                <w:rFonts w:eastAsia="Times New Roman" w:cs="Times New Roman"/>
                <w:lang w:eastAsia="cs-CZ"/>
              </w:rPr>
            </w:pPr>
            <w:r w:rsidRPr="00AC7794">
              <w:rPr>
                <w:rFonts w:eastAsia="Times New Roman" w:cs="Times New Roman"/>
                <w:lang w:eastAsia="cs-CZ"/>
              </w:rPr>
              <w:t>2</w:t>
            </w:r>
          </w:p>
        </w:tc>
        <w:tc>
          <w:tcPr>
            <w:tcW w:w="1132" w:type="dxa"/>
            <w:tcBorders>
              <w:top w:val="single" w:sz="4" w:space="0" w:color="7F7F7F" w:themeColor="text1" w:themeTint="80"/>
              <w:bottom w:val="single" w:sz="8" w:space="0" w:color="7F7F7F" w:themeColor="text1" w:themeTint="80"/>
            </w:tcBorders>
            <w:shd w:val="clear" w:color="auto" w:fill="auto"/>
          </w:tcPr>
          <w:p w:rsidR="003A0B78" w:rsidRPr="00AC7794" w:rsidRDefault="003A0B78" w:rsidP="003A0B78">
            <w:pPr>
              <w:jc w:val="center"/>
              <w:rPr>
                <w:rFonts w:eastAsia="Times New Roman" w:cs="Times New Roman"/>
                <w:lang w:eastAsia="cs-CZ"/>
              </w:rPr>
            </w:pPr>
            <w:r w:rsidRPr="00AC7794">
              <w:rPr>
                <w:rFonts w:eastAsia="Times New Roman" w:cs="Times New Roman"/>
                <w:lang w:eastAsia="cs-CZ"/>
              </w:rPr>
              <w:t>3</w:t>
            </w:r>
          </w:p>
        </w:tc>
        <w:tc>
          <w:tcPr>
            <w:tcW w:w="1006" w:type="dxa"/>
            <w:tcBorders>
              <w:top w:val="single" w:sz="4" w:space="0" w:color="7F7F7F" w:themeColor="text1" w:themeTint="80"/>
              <w:bottom w:val="single" w:sz="8" w:space="0" w:color="7F7F7F" w:themeColor="text1" w:themeTint="80"/>
            </w:tcBorders>
            <w:shd w:val="clear" w:color="auto" w:fill="auto"/>
          </w:tcPr>
          <w:p w:rsidR="003A0B78" w:rsidRPr="00AC7794" w:rsidRDefault="003A0B78" w:rsidP="003A0B78">
            <w:pPr>
              <w:jc w:val="center"/>
              <w:rPr>
                <w:rFonts w:eastAsia="Times New Roman" w:cs="Times New Roman"/>
                <w:lang w:eastAsia="cs-CZ"/>
              </w:rPr>
            </w:pPr>
            <w:r w:rsidRPr="00AC7794">
              <w:rPr>
                <w:rFonts w:eastAsia="Times New Roman" w:cs="Times New Roman"/>
                <w:lang w:eastAsia="cs-CZ"/>
              </w:rPr>
              <w:t>4</w:t>
            </w:r>
          </w:p>
        </w:tc>
      </w:tr>
      <w:tr w:rsidR="003A0B78" w:rsidRPr="001A0CD7" w:rsidTr="003A0B78">
        <w:trPr>
          <w:trHeight w:val="309"/>
        </w:trPr>
        <w:tc>
          <w:tcPr>
            <w:tcW w:w="4326" w:type="dxa"/>
            <w:tcBorders>
              <w:top w:val="single" w:sz="8" w:space="0" w:color="7F7F7F" w:themeColor="text1" w:themeTint="80"/>
              <w:bottom w:val="single" w:sz="8" w:space="0" w:color="7F7F7F" w:themeColor="text1" w:themeTint="80"/>
            </w:tcBorders>
            <w:shd w:val="clear" w:color="auto" w:fill="auto"/>
          </w:tcPr>
          <w:p w:rsidR="003A0B78" w:rsidRPr="002C097C" w:rsidRDefault="003A0B78" w:rsidP="003A0B78">
            <w:pPr>
              <w:spacing w:before="60"/>
              <w:rPr>
                <w:rFonts w:eastAsia="Times New Roman" w:cs="Times New Roman"/>
                <w:b/>
                <w:bCs/>
                <w:lang w:eastAsia="cs-CZ"/>
              </w:rPr>
            </w:pPr>
            <w:r w:rsidRPr="002C097C">
              <w:rPr>
                <w:rFonts w:eastAsia="Times New Roman" w:cs="Times New Roman"/>
                <w:b/>
                <w:bCs/>
                <w:lang w:eastAsia="cs-CZ"/>
              </w:rPr>
              <w:t xml:space="preserve">Běžné výdaje </w:t>
            </w:r>
            <w:r w:rsidRPr="002C097C">
              <w:rPr>
                <w:rFonts w:eastAsia="Times New Roman" w:cs="Times New Roman"/>
                <w:bCs/>
                <w:lang w:eastAsia="cs-CZ"/>
              </w:rPr>
              <w:t>v tom:</w:t>
            </w:r>
          </w:p>
        </w:tc>
        <w:tc>
          <w:tcPr>
            <w:tcW w:w="1337" w:type="dxa"/>
            <w:tcBorders>
              <w:top w:val="single" w:sz="8" w:space="0" w:color="7F7F7F" w:themeColor="text1" w:themeTint="80"/>
              <w:bottom w:val="single" w:sz="8" w:space="0" w:color="7F7F7F" w:themeColor="text1" w:themeTint="80"/>
            </w:tcBorders>
            <w:shd w:val="clear" w:color="auto" w:fill="auto"/>
          </w:tcPr>
          <w:p w:rsidR="003A0B78" w:rsidRPr="002C097C" w:rsidRDefault="003A0B78" w:rsidP="003A0B78">
            <w:pPr>
              <w:spacing w:before="60"/>
              <w:jc w:val="right"/>
              <w:rPr>
                <w:rFonts w:eastAsia="Times New Roman" w:cs="Times New Roman"/>
                <w:b/>
                <w:bCs/>
                <w:lang w:eastAsia="cs-CZ"/>
              </w:rPr>
            </w:pPr>
            <w:r w:rsidRPr="002C097C">
              <w:rPr>
                <w:rFonts w:eastAsia="Times New Roman" w:cs="Times New Roman"/>
                <w:b/>
                <w:bCs/>
                <w:lang w:eastAsia="cs-CZ"/>
              </w:rPr>
              <w:t>102 001</w:t>
            </w:r>
          </w:p>
        </w:tc>
        <w:tc>
          <w:tcPr>
            <w:tcW w:w="1261" w:type="dxa"/>
            <w:tcBorders>
              <w:top w:val="single" w:sz="8" w:space="0" w:color="7F7F7F" w:themeColor="text1" w:themeTint="80"/>
              <w:bottom w:val="single" w:sz="8" w:space="0" w:color="7F7F7F" w:themeColor="text1" w:themeTint="80"/>
            </w:tcBorders>
            <w:shd w:val="clear" w:color="auto" w:fill="auto"/>
          </w:tcPr>
          <w:p w:rsidR="003A0B78" w:rsidRPr="002C097C" w:rsidRDefault="003A0B78" w:rsidP="003A0B78">
            <w:pPr>
              <w:spacing w:before="60"/>
              <w:jc w:val="right"/>
              <w:rPr>
                <w:rFonts w:eastAsia="Times New Roman" w:cs="Times New Roman"/>
                <w:b/>
                <w:bCs/>
                <w:lang w:eastAsia="cs-CZ"/>
              </w:rPr>
            </w:pPr>
            <w:r w:rsidRPr="002C097C">
              <w:rPr>
                <w:rFonts w:eastAsia="Times New Roman" w:cs="Times New Roman"/>
                <w:b/>
                <w:bCs/>
                <w:lang w:eastAsia="cs-CZ"/>
              </w:rPr>
              <w:t>106 857</w:t>
            </w:r>
          </w:p>
        </w:tc>
        <w:tc>
          <w:tcPr>
            <w:tcW w:w="1132" w:type="dxa"/>
            <w:tcBorders>
              <w:top w:val="single" w:sz="8" w:space="0" w:color="7F7F7F" w:themeColor="text1" w:themeTint="80"/>
              <w:bottom w:val="single" w:sz="8" w:space="0" w:color="7F7F7F" w:themeColor="text1" w:themeTint="80"/>
            </w:tcBorders>
            <w:shd w:val="clear" w:color="auto" w:fill="auto"/>
          </w:tcPr>
          <w:p w:rsidR="003A0B78" w:rsidRPr="002C097C" w:rsidRDefault="003A0B78" w:rsidP="003A0B78">
            <w:pPr>
              <w:spacing w:before="60"/>
              <w:jc w:val="right"/>
              <w:rPr>
                <w:rFonts w:eastAsia="Times New Roman" w:cs="Times New Roman"/>
                <w:b/>
                <w:bCs/>
                <w:lang w:eastAsia="cs-CZ"/>
              </w:rPr>
            </w:pPr>
            <w:r w:rsidRPr="002C097C">
              <w:rPr>
                <w:rFonts w:eastAsia="Times New Roman" w:cs="Times New Roman"/>
                <w:b/>
                <w:bCs/>
                <w:lang w:eastAsia="cs-CZ"/>
              </w:rPr>
              <w:t>106 636</w:t>
            </w:r>
          </w:p>
        </w:tc>
        <w:tc>
          <w:tcPr>
            <w:tcW w:w="1006" w:type="dxa"/>
            <w:tcBorders>
              <w:top w:val="single" w:sz="8" w:space="0" w:color="7F7F7F" w:themeColor="text1" w:themeTint="80"/>
              <w:bottom w:val="single" w:sz="8" w:space="0" w:color="7F7F7F" w:themeColor="text1" w:themeTint="80"/>
            </w:tcBorders>
            <w:shd w:val="clear" w:color="auto" w:fill="auto"/>
          </w:tcPr>
          <w:p w:rsidR="003A0B78" w:rsidRPr="002C097C" w:rsidRDefault="003A0B78" w:rsidP="003A0B78">
            <w:pPr>
              <w:spacing w:before="60"/>
              <w:jc w:val="right"/>
              <w:rPr>
                <w:rFonts w:eastAsia="Times New Roman" w:cs="Times New Roman"/>
                <w:b/>
                <w:bCs/>
                <w:lang w:eastAsia="cs-CZ"/>
              </w:rPr>
            </w:pPr>
            <w:r w:rsidRPr="002C097C">
              <w:rPr>
                <w:rFonts w:eastAsia="Times New Roman" w:cs="Times New Roman"/>
                <w:b/>
                <w:bCs/>
                <w:lang w:eastAsia="cs-CZ"/>
              </w:rPr>
              <w:t>99,79</w:t>
            </w:r>
          </w:p>
        </w:tc>
      </w:tr>
      <w:tr w:rsidR="003A0B78" w:rsidRPr="001A0CD7" w:rsidTr="003A0B78">
        <w:trPr>
          <w:trHeight w:val="520"/>
        </w:trPr>
        <w:tc>
          <w:tcPr>
            <w:tcW w:w="4326" w:type="dxa"/>
            <w:tcBorders>
              <w:top w:val="single" w:sz="8" w:space="0" w:color="7F7F7F" w:themeColor="text1" w:themeTint="80"/>
            </w:tcBorders>
            <w:shd w:val="clear" w:color="auto" w:fill="auto"/>
          </w:tcPr>
          <w:p w:rsidR="003A0B78" w:rsidRPr="002C097C" w:rsidRDefault="003A0B78" w:rsidP="003A0B78">
            <w:pPr>
              <w:rPr>
                <w:rFonts w:eastAsia="Times New Roman" w:cs="Times New Roman"/>
                <w:lang w:eastAsia="cs-CZ"/>
              </w:rPr>
            </w:pPr>
            <w:r w:rsidRPr="002C097C">
              <w:rPr>
                <w:rFonts w:eastAsia="Times New Roman" w:cs="Times New Roman"/>
                <w:lang w:eastAsia="cs-CZ"/>
              </w:rPr>
              <w:t>platy zaměstnanců a ostatní platby</w:t>
            </w:r>
          </w:p>
          <w:p w:rsidR="003A0B78" w:rsidRPr="002C097C" w:rsidRDefault="003A0B78" w:rsidP="003A0B78">
            <w:pPr>
              <w:rPr>
                <w:rFonts w:eastAsia="Times New Roman" w:cs="Times New Roman"/>
                <w:lang w:eastAsia="cs-CZ"/>
              </w:rPr>
            </w:pPr>
            <w:r w:rsidRPr="002C097C">
              <w:rPr>
                <w:rFonts w:eastAsia="Times New Roman" w:cs="Times New Roman"/>
                <w:lang w:eastAsia="cs-CZ"/>
              </w:rPr>
              <w:t>za provedenou práci</w:t>
            </w:r>
          </w:p>
        </w:tc>
        <w:tc>
          <w:tcPr>
            <w:tcW w:w="1337" w:type="dxa"/>
            <w:tcBorders>
              <w:top w:val="single" w:sz="8" w:space="0" w:color="7F7F7F" w:themeColor="text1" w:themeTint="80"/>
            </w:tcBorders>
            <w:shd w:val="clear" w:color="auto" w:fill="auto"/>
            <w:noWrap/>
          </w:tcPr>
          <w:p w:rsidR="003A0B78" w:rsidRPr="002C097C" w:rsidRDefault="003A0B78" w:rsidP="003A0B78">
            <w:pPr>
              <w:spacing w:before="120"/>
              <w:jc w:val="right"/>
              <w:rPr>
                <w:rFonts w:eastAsia="Times New Roman" w:cs="Times New Roman"/>
                <w:lang w:eastAsia="cs-CZ"/>
              </w:rPr>
            </w:pPr>
            <w:r w:rsidRPr="002C097C">
              <w:rPr>
                <w:rFonts w:eastAsia="Times New Roman" w:cs="Times New Roman"/>
                <w:lang w:eastAsia="cs-CZ"/>
              </w:rPr>
              <w:t>54 205</w:t>
            </w:r>
          </w:p>
        </w:tc>
        <w:tc>
          <w:tcPr>
            <w:tcW w:w="1261" w:type="dxa"/>
            <w:tcBorders>
              <w:top w:val="single" w:sz="8" w:space="0" w:color="7F7F7F" w:themeColor="text1" w:themeTint="80"/>
            </w:tcBorders>
            <w:shd w:val="clear" w:color="auto" w:fill="auto"/>
            <w:noWrap/>
          </w:tcPr>
          <w:p w:rsidR="003A0B78" w:rsidRPr="002C097C" w:rsidRDefault="003A0B78" w:rsidP="003A0B78">
            <w:pPr>
              <w:spacing w:before="120"/>
              <w:jc w:val="right"/>
              <w:rPr>
                <w:rFonts w:eastAsia="Times New Roman" w:cstheme="minorHAnsi"/>
                <w:lang w:eastAsia="cs-CZ"/>
              </w:rPr>
            </w:pPr>
            <w:r w:rsidRPr="002C097C">
              <w:rPr>
                <w:rFonts w:eastAsia="Times New Roman" w:cstheme="minorHAnsi"/>
                <w:lang w:eastAsia="cs-CZ"/>
              </w:rPr>
              <w:t>54 612</w:t>
            </w:r>
          </w:p>
        </w:tc>
        <w:tc>
          <w:tcPr>
            <w:tcW w:w="1132" w:type="dxa"/>
            <w:tcBorders>
              <w:top w:val="single" w:sz="8" w:space="0" w:color="7F7F7F" w:themeColor="text1" w:themeTint="80"/>
            </w:tcBorders>
            <w:shd w:val="clear" w:color="auto" w:fill="auto"/>
            <w:noWrap/>
          </w:tcPr>
          <w:p w:rsidR="003A0B78" w:rsidRPr="002C097C" w:rsidRDefault="003A0B78" w:rsidP="003A0B78">
            <w:pPr>
              <w:spacing w:before="120"/>
              <w:jc w:val="right"/>
              <w:rPr>
                <w:rFonts w:eastAsia="Times New Roman" w:cstheme="minorHAnsi"/>
                <w:lang w:eastAsia="cs-CZ"/>
              </w:rPr>
            </w:pPr>
            <w:r w:rsidRPr="002C097C">
              <w:rPr>
                <w:rFonts w:eastAsia="Times New Roman" w:cstheme="minorHAnsi"/>
                <w:lang w:eastAsia="cs-CZ"/>
              </w:rPr>
              <w:t>55 627</w:t>
            </w:r>
          </w:p>
        </w:tc>
        <w:tc>
          <w:tcPr>
            <w:tcW w:w="1006" w:type="dxa"/>
            <w:tcBorders>
              <w:top w:val="single" w:sz="8" w:space="0" w:color="7F7F7F" w:themeColor="text1" w:themeTint="80"/>
            </w:tcBorders>
            <w:shd w:val="clear" w:color="auto" w:fill="auto"/>
          </w:tcPr>
          <w:p w:rsidR="003A0B78" w:rsidRPr="002C097C" w:rsidRDefault="003A0B78" w:rsidP="003A0B78">
            <w:pPr>
              <w:spacing w:before="120"/>
              <w:jc w:val="right"/>
              <w:rPr>
                <w:rFonts w:eastAsia="Times New Roman" w:cs="Times New Roman"/>
                <w:b/>
                <w:bCs/>
                <w:lang w:eastAsia="cs-CZ"/>
              </w:rPr>
            </w:pPr>
            <w:r w:rsidRPr="002C097C">
              <w:rPr>
                <w:rFonts w:eastAsia="Times New Roman" w:cs="Times New Roman"/>
                <w:lang w:eastAsia="cs-CZ"/>
              </w:rPr>
              <w:t>101,86</w:t>
            </w:r>
          </w:p>
        </w:tc>
      </w:tr>
      <w:tr w:rsidR="003A0B78" w:rsidRPr="001A0CD7" w:rsidTr="003A0B78">
        <w:trPr>
          <w:trHeight w:val="255"/>
        </w:trPr>
        <w:tc>
          <w:tcPr>
            <w:tcW w:w="4326" w:type="dxa"/>
            <w:shd w:val="clear" w:color="auto" w:fill="auto"/>
          </w:tcPr>
          <w:p w:rsidR="003A0B78" w:rsidRPr="002C097C" w:rsidRDefault="003A0B78" w:rsidP="003A0B78">
            <w:pPr>
              <w:rPr>
                <w:rFonts w:eastAsia="Times New Roman" w:cs="Times New Roman"/>
                <w:lang w:eastAsia="cs-CZ"/>
              </w:rPr>
            </w:pPr>
            <w:r w:rsidRPr="002C097C">
              <w:rPr>
                <w:rFonts w:eastAsia="Times New Roman" w:cs="Times New Roman"/>
                <w:lang w:eastAsia="cs-CZ"/>
              </w:rPr>
              <w:t>povinné pojistné placené zaměstnavatelem</w:t>
            </w:r>
          </w:p>
        </w:tc>
        <w:tc>
          <w:tcPr>
            <w:tcW w:w="1337" w:type="dxa"/>
            <w:shd w:val="clear" w:color="auto" w:fill="auto"/>
          </w:tcPr>
          <w:p w:rsidR="003A0B78" w:rsidRPr="002C097C" w:rsidRDefault="003A0B78" w:rsidP="003A0B78">
            <w:pPr>
              <w:jc w:val="right"/>
              <w:rPr>
                <w:rFonts w:eastAsia="Times New Roman" w:cs="Times New Roman"/>
                <w:lang w:eastAsia="cs-CZ"/>
              </w:rPr>
            </w:pPr>
            <w:r w:rsidRPr="002C097C">
              <w:rPr>
                <w:rFonts w:eastAsia="Times New Roman" w:cs="Times New Roman"/>
                <w:lang w:eastAsia="cs-CZ"/>
              </w:rPr>
              <w:t>18 380</w:t>
            </w:r>
          </w:p>
        </w:tc>
        <w:tc>
          <w:tcPr>
            <w:tcW w:w="1261" w:type="dxa"/>
            <w:shd w:val="clear" w:color="auto" w:fill="auto"/>
          </w:tcPr>
          <w:p w:rsidR="003A0B78" w:rsidRPr="002C097C" w:rsidRDefault="003A0B78" w:rsidP="003A0B78">
            <w:pPr>
              <w:jc w:val="right"/>
              <w:rPr>
                <w:rFonts w:eastAsia="Times New Roman" w:cs="Times New Roman"/>
                <w:lang w:eastAsia="cs-CZ"/>
              </w:rPr>
            </w:pPr>
            <w:r w:rsidRPr="002C097C">
              <w:rPr>
                <w:rFonts w:eastAsia="Times New Roman" w:cs="Times New Roman"/>
                <w:lang w:eastAsia="cs-CZ"/>
              </w:rPr>
              <w:t>18 459</w:t>
            </w:r>
          </w:p>
        </w:tc>
        <w:tc>
          <w:tcPr>
            <w:tcW w:w="1132" w:type="dxa"/>
            <w:shd w:val="clear" w:color="auto" w:fill="auto"/>
          </w:tcPr>
          <w:p w:rsidR="003A0B78" w:rsidRPr="002C097C" w:rsidRDefault="003A0B78" w:rsidP="003A0B78">
            <w:pPr>
              <w:jc w:val="right"/>
              <w:rPr>
                <w:rFonts w:eastAsia="Times New Roman" w:cs="Times New Roman"/>
                <w:lang w:eastAsia="cs-CZ"/>
              </w:rPr>
            </w:pPr>
            <w:r w:rsidRPr="002C097C">
              <w:rPr>
                <w:rFonts w:eastAsia="Times New Roman" w:cs="Times New Roman"/>
                <w:lang w:eastAsia="cs-CZ"/>
              </w:rPr>
              <w:t>18 803</w:t>
            </w:r>
          </w:p>
        </w:tc>
        <w:tc>
          <w:tcPr>
            <w:tcW w:w="1006" w:type="dxa"/>
            <w:shd w:val="clear" w:color="auto" w:fill="auto"/>
          </w:tcPr>
          <w:p w:rsidR="003A0B78" w:rsidRPr="002C097C" w:rsidRDefault="003A0B78" w:rsidP="003A0B78">
            <w:pPr>
              <w:jc w:val="right"/>
              <w:rPr>
                <w:rFonts w:eastAsia="Times New Roman" w:cs="Times New Roman"/>
                <w:lang w:eastAsia="cs-CZ"/>
              </w:rPr>
            </w:pPr>
            <w:r w:rsidRPr="002C097C">
              <w:rPr>
                <w:rFonts w:eastAsia="Times New Roman" w:cs="Times New Roman"/>
                <w:lang w:eastAsia="cs-CZ"/>
              </w:rPr>
              <w:t>101,86</w:t>
            </w:r>
          </w:p>
        </w:tc>
      </w:tr>
      <w:tr w:rsidR="003A0B78" w:rsidRPr="001A0CD7" w:rsidTr="003A0B78">
        <w:trPr>
          <w:trHeight w:val="255"/>
        </w:trPr>
        <w:tc>
          <w:tcPr>
            <w:tcW w:w="4326" w:type="dxa"/>
            <w:tcBorders>
              <w:bottom w:val="single" w:sz="4" w:space="0" w:color="7F7F7F" w:themeColor="text1" w:themeTint="80"/>
            </w:tcBorders>
            <w:shd w:val="clear" w:color="auto" w:fill="auto"/>
          </w:tcPr>
          <w:p w:rsidR="003A0B78" w:rsidRPr="002C097C" w:rsidRDefault="003A0B78" w:rsidP="003A0B78">
            <w:pPr>
              <w:rPr>
                <w:rFonts w:eastAsia="Times New Roman" w:cs="Times New Roman"/>
                <w:lang w:eastAsia="cs-CZ"/>
              </w:rPr>
            </w:pPr>
            <w:r w:rsidRPr="002C097C">
              <w:rPr>
                <w:rFonts w:eastAsia="Times New Roman" w:cs="Times New Roman"/>
                <w:lang w:eastAsia="cs-CZ"/>
              </w:rPr>
              <w:t>příděl FKSP</w:t>
            </w:r>
          </w:p>
        </w:tc>
        <w:tc>
          <w:tcPr>
            <w:tcW w:w="1337" w:type="dxa"/>
            <w:tcBorders>
              <w:bottom w:val="single" w:sz="4" w:space="0" w:color="7F7F7F" w:themeColor="text1" w:themeTint="80"/>
            </w:tcBorders>
            <w:shd w:val="clear" w:color="auto" w:fill="auto"/>
          </w:tcPr>
          <w:p w:rsidR="003A0B78" w:rsidRPr="002C097C" w:rsidRDefault="003A0B78" w:rsidP="003A0B78">
            <w:pPr>
              <w:jc w:val="right"/>
              <w:rPr>
                <w:rFonts w:eastAsia="Times New Roman" w:cs="Times New Roman"/>
                <w:lang w:eastAsia="cs-CZ"/>
              </w:rPr>
            </w:pPr>
            <w:r w:rsidRPr="002C097C">
              <w:rPr>
                <w:rFonts w:eastAsia="Times New Roman" w:cs="Times New Roman"/>
                <w:lang w:eastAsia="cs-CZ"/>
              </w:rPr>
              <w:t>1 083</w:t>
            </w:r>
          </w:p>
        </w:tc>
        <w:tc>
          <w:tcPr>
            <w:tcW w:w="1261" w:type="dxa"/>
            <w:tcBorders>
              <w:bottom w:val="single" w:sz="4" w:space="0" w:color="7F7F7F" w:themeColor="text1" w:themeTint="80"/>
            </w:tcBorders>
            <w:shd w:val="clear" w:color="auto" w:fill="auto"/>
          </w:tcPr>
          <w:p w:rsidR="003A0B78" w:rsidRPr="002C097C" w:rsidRDefault="003A0B78" w:rsidP="003A0B78">
            <w:pPr>
              <w:jc w:val="right"/>
              <w:rPr>
                <w:rFonts w:eastAsia="Times New Roman" w:cs="Times New Roman"/>
                <w:lang w:eastAsia="cs-CZ"/>
              </w:rPr>
            </w:pPr>
            <w:r w:rsidRPr="002C097C">
              <w:rPr>
                <w:rFonts w:eastAsia="Times New Roman" w:cs="Times New Roman"/>
                <w:lang w:eastAsia="cs-CZ"/>
              </w:rPr>
              <w:t>1 090</w:t>
            </w:r>
          </w:p>
        </w:tc>
        <w:tc>
          <w:tcPr>
            <w:tcW w:w="1132" w:type="dxa"/>
            <w:tcBorders>
              <w:bottom w:val="single" w:sz="4" w:space="0" w:color="7F7F7F" w:themeColor="text1" w:themeTint="80"/>
            </w:tcBorders>
            <w:shd w:val="clear" w:color="auto" w:fill="auto"/>
          </w:tcPr>
          <w:p w:rsidR="003A0B78" w:rsidRPr="002C097C" w:rsidRDefault="003A0B78" w:rsidP="003A0B78">
            <w:pPr>
              <w:jc w:val="right"/>
              <w:rPr>
                <w:rFonts w:eastAsia="Times New Roman" w:cs="Times New Roman"/>
                <w:lang w:eastAsia="cs-CZ"/>
              </w:rPr>
            </w:pPr>
            <w:r w:rsidRPr="002C097C">
              <w:rPr>
                <w:rFonts w:eastAsia="Times New Roman" w:cs="Times New Roman"/>
                <w:lang w:eastAsia="cs-CZ"/>
              </w:rPr>
              <w:t>1 110</w:t>
            </w:r>
          </w:p>
        </w:tc>
        <w:tc>
          <w:tcPr>
            <w:tcW w:w="1006" w:type="dxa"/>
            <w:tcBorders>
              <w:bottom w:val="single" w:sz="4" w:space="0" w:color="7F7F7F" w:themeColor="text1" w:themeTint="80"/>
            </w:tcBorders>
            <w:shd w:val="clear" w:color="auto" w:fill="auto"/>
          </w:tcPr>
          <w:p w:rsidR="003A0B78" w:rsidRPr="002C097C" w:rsidRDefault="003A0B78" w:rsidP="003A0B78">
            <w:pPr>
              <w:jc w:val="right"/>
              <w:rPr>
                <w:rFonts w:eastAsia="Times New Roman" w:cs="Times New Roman"/>
                <w:lang w:eastAsia="cs-CZ"/>
              </w:rPr>
            </w:pPr>
            <w:r w:rsidRPr="002C097C">
              <w:rPr>
                <w:rFonts w:eastAsia="Times New Roman" w:cs="Times New Roman"/>
                <w:lang w:eastAsia="cs-CZ"/>
              </w:rPr>
              <w:t>101,83</w:t>
            </w:r>
          </w:p>
        </w:tc>
      </w:tr>
      <w:tr w:rsidR="003A0B78" w:rsidRPr="001A0CD7" w:rsidTr="003A0B78">
        <w:trPr>
          <w:trHeight w:val="255"/>
        </w:trPr>
        <w:tc>
          <w:tcPr>
            <w:tcW w:w="4326" w:type="dxa"/>
            <w:tcBorders>
              <w:top w:val="single" w:sz="4" w:space="0" w:color="7F7F7F" w:themeColor="text1" w:themeTint="80"/>
              <w:bottom w:val="nil"/>
            </w:tcBorders>
            <w:shd w:val="clear" w:color="auto" w:fill="auto"/>
          </w:tcPr>
          <w:p w:rsidR="003A0B78" w:rsidRPr="002C097C" w:rsidRDefault="003A0B78" w:rsidP="003A0B78">
            <w:pPr>
              <w:rPr>
                <w:rFonts w:eastAsia="Times New Roman" w:cs="Times New Roman"/>
                <w:lang w:eastAsia="cs-CZ"/>
              </w:rPr>
            </w:pPr>
            <w:r w:rsidRPr="002C097C">
              <w:rPr>
                <w:rFonts w:eastAsia="Times New Roman" w:cs="Times New Roman"/>
                <w:lang w:eastAsia="cs-CZ"/>
              </w:rPr>
              <w:t>ostatní neinv. nákupy a související výdaje</w:t>
            </w:r>
          </w:p>
        </w:tc>
        <w:tc>
          <w:tcPr>
            <w:tcW w:w="1337" w:type="dxa"/>
            <w:tcBorders>
              <w:top w:val="single" w:sz="4" w:space="0" w:color="7F7F7F" w:themeColor="text1" w:themeTint="80"/>
              <w:bottom w:val="nil"/>
            </w:tcBorders>
            <w:shd w:val="clear" w:color="auto" w:fill="auto"/>
          </w:tcPr>
          <w:p w:rsidR="003A0B78" w:rsidRPr="002C097C" w:rsidRDefault="003A0B78" w:rsidP="003A0B78">
            <w:pPr>
              <w:jc w:val="right"/>
              <w:rPr>
                <w:rFonts w:eastAsia="Times New Roman" w:cs="Times New Roman"/>
                <w:lang w:eastAsia="cs-CZ"/>
              </w:rPr>
            </w:pPr>
            <w:r w:rsidRPr="002C097C">
              <w:rPr>
                <w:rFonts w:eastAsia="Times New Roman" w:cs="Times New Roman"/>
                <w:lang w:eastAsia="cs-CZ"/>
              </w:rPr>
              <w:t>28 333</w:t>
            </w:r>
          </w:p>
        </w:tc>
        <w:tc>
          <w:tcPr>
            <w:tcW w:w="1261" w:type="dxa"/>
            <w:tcBorders>
              <w:top w:val="single" w:sz="4" w:space="0" w:color="7F7F7F" w:themeColor="text1" w:themeTint="80"/>
              <w:bottom w:val="nil"/>
            </w:tcBorders>
            <w:shd w:val="clear" w:color="auto" w:fill="auto"/>
          </w:tcPr>
          <w:p w:rsidR="003A0B78" w:rsidRPr="002C097C" w:rsidRDefault="003A0B78" w:rsidP="003A0B78">
            <w:pPr>
              <w:jc w:val="right"/>
              <w:rPr>
                <w:rFonts w:eastAsia="Times New Roman" w:cs="Times New Roman"/>
                <w:lang w:eastAsia="cs-CZ"/>
              </w:rPr>
            </w:pPr>
            <w:r w:rsidRPr="002C097C">
              <w:rPr>
                <w:rFonts w:eastAsia="Times New Roman" w:cs="Times New Roman"/>
                <w:lang w:eastAsia="cs-CZ"/>
              </w:rPr>
              <w:t xml:space="preserve">32 696 </w:t>
            </w:r>
          </w:p>
        </w:tc>
        <w:tc>
          <w:tcPr>
            <w:tcW w:w="1132" w:type="dxa"/>
            <w:tcBorders>
              <w:top w:val="single" w:sz="4" w:space="0" w:color="7F7F7F" w:themeColor="text1" w:themeTint="80"/>
              <w:bottom w:val="nil"/>
            </w:tcBorders>
            <w:shd w:val="clear" w:color="auto" w:fill="auto"/>
          </w:tcPr>
          <w:p w:rsidR="003A0B78" w:rsidRPr="002C097C" w:rsidRDefault="003A0B78" w:rsidP="003A0B78">
            <w:pPr>
              <w:jc w:val="right"/>
              <w:rPr>
                <w:rFonts w:eastAsia="Times New Roman" w:cs="Times New Roman"/>
                <w:lang w:eastAsia="cs-CZ"/>
              </w:rPr>
            </w:pPr>
            <w:r w:rsidRPr="002C097C">
              <w:rPr>
                <w:rFonts w:eastAsia="Times New Roman" w:cs="Times New Roman"/>
                <w:lang w:eastAsia="cs-CZ"/>
              </w:rPr>
              <w:t>31 096</w:t>
            </w:r>
          </w:p>
        </w:tc>
        <w:tc>
          <w:tcPr>
            <w:tcW w:w="1006" w:type="dxa"/>
            <w:tcBorders>
              <w:top w:val="single" w:sz="4" w:space="0" w:color="7F7F7F" w:themeColor="text1" w:themeTint="80"/>
              <w:bottom w:val="nil"/>
            </w:tcBorders>
            <w:shd w:val="clear" w:color="auto" w:fill="auto"/>
          </w:tcPr>
          <w:p w:rsidR="003A0B78" w:rsidRPr="002C097C" w:rsidRDefault="003A0B78" w:rsidP="003A0B78">
            <w:pPr>
              <w:jc w:val="right"/>
              <w:rPr>
                <w:rFonts w:eastAsia="Times New Roman" w:cs="Times New Roman"/>
                <w:lang w:eastAsia="cs-CZ"/>
              </w:rPr>
            </w:pPr>
            <w:r w:rsidRPr="002C097C">
              <w:rPr>
                <w:rFonts w:eastAsia="Times New Roman" w:cs="Times New Roman"/>
                <w:lang w:eastAsia="cs-CZ"/>
              </w:rPr>
              <w:t>95,11</w:t>
            </w:r>
          </w:p>
        </w:tc>
      </w:tr>
      <w:tr w:rsidR="003A0B78" w:rsidRPr="001A0CD7" w:rsidTr="003A0B78">
        <w:trPr>
          <w:trHeight w:val="255"/>
        </w:trPr>
        <w:tc>
          <w:tcPr>
            <w:tcW w:w="4326" w:type="dxa"/>
            <w:tcBorders>
              <w:top w:val="nil"/>
            </w:tcBorders>
            <w:shd w:val="clear" w:color="auto" w:fill="auto"/>
          </w:tcPr>
          <w:p w:rsidR="003A0B78" w:rsidRPr="002C097C" w:rsidRDefault="003A0B78" w:rsidP="000D6B88">
            <w:pPr>
              <w:jc w:val="left"/>
              <w:rPr>
                <w:rFonts w:eastAsia="Times New Roman" w:cs="Times New Roman"/>
                <w:i/>
                <w:lang w:eastAsia="cs-CZ"/>
              </w:rPr>
            </w:pPr>
            <w:r w:rsidRPr="002C097C">
              <w:rPr>
                <w:rFonts w:eastAsia="Times New Roman" w:cs="Times New Roman"/>
                <w:i/>
                <w:lang w:eastAsia="cs-CZ"/>
              </w:rPr>
              <w:t>z toho: programové financování (EDS/SMVS)</w:t>
            </w:r>
          </w:p>
        </w:tc>
        <w:tc>
          <w:tcPr>
            <w:tcW w:w="1337" w:type="dxa"/>
            <w:tcBorders>
              <w:top w:val="nil"/>
            </w:tcBorders>
            <w:shd w:val="clear" w:color="auto" w:fill="auto"/>
          </w:tcPr>
          <w:p w:rsidR="003A0B78" w:rsidRPr="002C097C" w:rsidRDefault="003A0B78" w:rsidP="003A0B78">
            <w:pPr>
              <w:spacing w:before="120"/>
              <w:jc w:val="right"/>
              <w:rPr>
                <w:rFonts w:eastAsia="Times New Roman" w:cs="Times New Roman"/>
                <w:i/>
                <w:lang w:eastAsia="cs-CZ"/>
              </w:rPr>
            </w:pPr>
            <w:r w:rsidRPr="002C097C">
              <w:rPr>
                <w:rFonts w:eastAsia="Times New Roman" w:cs="Times New Roman"/>
                <w:i/>
                <w:lang w:eastAsia="cs-CZ"/>
              </w:rPr>
              <w:t xml:space="preserve">   0</w:t>
            </w:r>
          </w:p>
        </w:tc>
        <w:tc>
          <w:tcPr>
            <w:tcW w:w="1261" w:type="dxa"/>
            <w:tcBorders>
              <w:top w:val="nil"/>
            </w:tcBorders>
            <w:shd w:val="clear" w:color="auto" w:fill="auto"/>
            <w:vAlign w:val="center"/>
          </w:tcPr>
          <w:p w:rsidR="003A0B78" w:rsidRPr="002C097C" w:rsidRDefault="003A0B78" w:rsidP="003A0B78">
            <w:pPr>
              <w:jc w:val="right"/>
              <w:rPr>
                <w:rFonts w:eastAsia="Times New Roman" w:cs="Times New Roman"/>
                <w:i/>
                <w:lang w:eastAsia="cs-CZ"/>
              </w:rPr>
            </w:pPr>
            <w:r w:rsidRPr="002C097C">
              <w:rPr>
                <w:rFonts w:eastAsia="Times New Roman" w:cs="Times New Roman"/>
                <w:i/>
                <w:lang w:eastAsia="cs-CZ"/>
              </w:rPr>
              <w:t>0</w:t>
            </w:r>
          </w:p>
        </w:tc>
        <w:tc>
          <w:tcPr>
            <w:tcW w:w="1132" w:type="dxa"/>
            <w:tcBorders>
              <w:top w:val="nil"/>
            </w:tcBorders>
            <w:shd w:val="clear" w:color="auto" w:fill="auto"/>
            <w:vAlign w:val="center"/>
          </w:tcPr>
          <w:p w:rsidR="003A0B78" w:rsidRPr="002C097C" w:rsidRDefault="003A0B78" w:rsidP="003A0B78">
            <w:pPr>
              <w:jc w:val="right"/>
              <w:rPr>
                <w:rFonts w:eastAsia="Times New Roman" w:cs="Times New Roman"/>
                <w:i/>
                <w:lang w:eastAsia="cs-CZ"/>
              </w:rPr>
            </w:pPr>
            <w:r w:rsidRPr="002C097C">
              <w:rPr>
                <w:rFonts w:eastAsia="Times New Roman" w:cs="Times New Roman"/>
                <w:i/>
                <w:lang w:eastAsia="cs-CZ"/>
              </w:rPr>
              <w:t>0</w:t>
            </w:r>
          </w:p>
        </w:tc>
        <w:tc>
          <w:tcPr>
            <w:tcW w:w="1006" w:type="dxa"/>
            <w:tcBorders>
              <w:top w:val="nil"/>
            </w:tcBorders>
            <w:shd w:val="clear" w:color="auto" w:fill="auto"/>
            <w:vAlign w:val="center"/>
          </w:tcPr>
          <w:p w:rsidR="003A0B78" w:rsidRPr="002C097C" w:rsidRDefault="003A0B78" w:rsidP="003A0B78">
            <w:pPr>
              <w:jc w:val="right"/>
              <w:rPr>
                <w:rFonts w:eastAsia="Times New Roman" w:cs="Times New Roman"/>
                <w:i/>
                <w:lang w:eastAsia="cs-CZ"/>
              </w:rPr>
            </w:pPr>
            <w:r w:rsidRPr="002C097C">
              <w:rPr>
                <w:rFonts w:eastAsia="Times New Roman" w:cs="Times New Roman"/>
                <w:i/>
                <w:lang w:eastAsia="cs-CZ"/>
              </w:rPr>
              <w:t>x</w:t>
            </w:r>
          </w:p>
        </w:tc>
      </w:tr>
    </w:tbl>
    <w:p w:rsidR="003A0B78" w:rsidRPr="00EF65F8" w:rsidRDefault="003A0B78" w:rsidP="003A0B78">
      <w:pPr>
        <w:pStyle w:val="Styl1"/>
      </w:pPr>
      <w:r w:rsidRPr="00EF65F8">
        <w:lastRenderedPageBreak/>
        <w:t>Navrhovaný objem běžných výdajů na rok 2021 je oproti roku 2020 nižší o 221 tis. Kč, kter</w:t>
      </w:r>
      <w:r>
        <w:t>ý</w:t>
      </w:r>
      <w:r w:rsidRPr="00EF65F8">
        <w:t xml:space="preserve"> je způsoben</w:t>
      </w:r>
      <w:r>
        <w:t xml:space="preserve"> kombinací změn, tj. </w:t>
      </w:r>
      <w:r w:rsidRPr="00EF65F8">
        <w:t>přesunem částky ve výši 1 600 tis. Kč do kapitálových výdajů a navýšení</w:t>
      </w:r>
      <w:r>
        <w:t>m</w:t>
      </w:r>
      <w:r w:rsidRPr="00EF65F8">
        <w:t xml:space="preserve"> prostředků na platy včetně příslušenství ve výši 1 379 tis. Kč</w:t>
      </w:r>
      <w:r>
        <w:t xml:space="preserve"> (podrobněji viz oddíl 3.2.2 Výdaje na platy a počty pracovníků OSS, PO)</w:t>
      </w:r>
      <w:r w:rsidRPr="00EF65F8">
        <w:t>.</w:t>
      </w:r>
    </w:p>
    <w:p w:rsidR="003A0B78" w:rsidRPr="003C606F" w:rsidRDefault="003A0B78" w:rsidP="003A0B78">
      <w:pPr>
        <w:pStyle w:val="Styl1"/>
      </w:pPr>
      <w:r w:rsidRPr="003C606F">
        <w:t xml:space="preserve">Počet zaměstnanců organizace pro rok 2021 je oproti roku 2020 navýšen o 2 zaměstnance, </w:t>
      </w:r>
      <w:r w:rsidRPr="003C606F">
        <w:br/>
        <w:t xml:space="preserve">tj. na 111 zaměstnanců, v tom 100 státních zaměstnanců a 11 zaměstnanců v pracovním poměru. </w:t>
      </w:r>
    </w:p>
    <w:p w:rsidR="00A33571" w:rsidRPr="003A0B78" w:rsidRDefault="004F4050" w:rsidP="003A0B78">
      <w:pPr>
        <w:pStyle w:val="Styl1"/>
      </w:pPr>
      <w:r w:rsidRPr="004F4050">
        <w:t>Největší položku běžných výdajů tvoří výdaje na platy a ostatní platby za provedenou práci.</w:t>
      </w:r>
      <w:r>
        <w:t xml:space="preserve"> </w:t>
      </w:r>
      <w:r w:rsidRPr="00294998">
        <w:t xml:space="preserve">Ostatní běžné výdaje se snížily oproti roku 2020 o 1 600 tis. Kč, tj. na částku 31 096 tis. Kč. V rámci ostatních běžných výdajů činí největší podíl výdaje na nákup služeb (např. nájemné, zpracování dat a služby související s informačními a komunikačními technologiemi, konzultační, poradenské a právní služby, ostatní služby) drobný hmotný dlouhodobý majetek (nový nábytek) a nákup materiálu. </w:t>
      </w:r>
    </w:p>
    <w:p w:rsidR="0057450B" w:rsidRPr="00CF4BB2" w:rsidRDefault="0057450B" w:rsidP="00C26276">
      <w:pPr>
        <w:spacing w:before="240" w:after="80" w:line="240" w:lineRule="auto"/>
        <w:rPr>
          <w:rFonts w:eastAsia="Times New Roman" w:cs="Times New Roman"/>
          <w:b/>
          <w:szCs w:val="24"/>
          <w:u w:val="single"/>
          <w:lang w:eastAsia="cs-CZ"/>
        </w:rPr>
      </w:pPr>
      <w:r w:rsidRPr="00CF4BB2">
        <w:rPr>
          <w:rFonts w:eastAsia="Times New Roman" w:cs="Times New Roman"/>
          <w:b/>
          <w:szCs w:val="24"/>
          <w:u w:val="single"/>
          <w:lang w:eastAsia="cs-CZ"/>
        </w:rPr>
        <w:t>Drážní inspekce</w:t>
      </w:r>
    </w:p>
    <w:p w:rsidR="0057450B" w:rsidRPr="00CF4BB2" w:rsidRDefault="0057450B" w:rsidP="001D1C48">
      <w:pPr>
        <w:pStyle w:val="Styl1"/>
      </w:pPr>
      <w:r w:rsidRPr="00CF4BB2">
        <w:t>Organizační složka státu Drážní inspekce vznikla jako správní úřad k </w:t>
      </w:r>
      <w:r w:rsidR="00146324" w:rsidRPr="00CF4BB2">
        <w:t>1. 1. 2003</w:t>
      </w:r>
      <w:r w:rsidRPr="00CF4BB2">
        <w:t xml:space="preserve"> podle zákona č. 77/2002 Sb., o akciové společnosti České dráhy, státní organizaci Správa železniční dopravní cesty a o změně zákona č. 266/1994 Sb., o dráhách, ve znění pozdějších předpisů</w:t>
      </w:r>
      <w:r w:rsidR="00BE5DDF" w:rsidRPr="00CF4BB2">
        <w:t>,</w:t>
      </w:r>
      <w:r w:rsidRPr="00CF4BB2">
        <w:t xml:space="preserve"> a zákona </w:t>
      </w:r>
      <w:r w:rsidR="003949CB" w:rsidRPr="00CF4BB2">
        <w:br/>
      </w:r>
      <w:r w:rsidRPr="00CF4BB2">
        <w:t xml:space="preserve">č. 77/1997 Sb., o státním podniku, ve znění pozdějších předpisů. </w:t>
      </w:r>
    </w:p>
    <w:p w:rsidR="0057450B" w:rsidRPr="00CF4BB2" w:rsidRDefault="0057450B" w:rsidP="001D1C48">
      <w:pPr>
        <w:pStyle w:val="Styl1"/>
      </w:pPr>
      <w:r w:rsidRPr="00CF4BB2">
        <w:t>Hlavní činností organizace je zjišťování příčin a okolností vzniku mimořád</w:t>
      </w:r>
      <w:r w:rsidR="003C011C" w:rsidRPr="00CF4BB2">
        <w:t xml:space="preserve">ných událostí </w:t>
      </w:r>
      <w:r w:rsidR="003949CB" w:rsidRPr="00CF4BB2">
        <w:br/>
      </w:r>
      <w:r w:rsidR="003C011C" w:rsidRPr="00CF4BB2">
        <w:t>v drážní dopravě</w:t>
      </w:r>
      <w:r w:rsidR="00BE5DDF" w:rsidRPr="00CF4BB2">
        <w:t>,</w:t>
      </w:r>
      <w:r w:rsidR="003C011C" w:rsidRPr="00CF4BB2">
        <w:t xml:space="preserve"> a to na drahách železničních, tramvajových, trolejbusových, lanových </w:t>
      </w:r>
      <w:r w:rsidR="00146324" w:rsidRPr="00CF4BB2">
        <w:br/>
      </w:r>
      <w:r w:rsidR="003C011C" w:rsidRPr="00CF4BB2">
        <w:t>a speciálních</w:t>
      </w:r>
      <w:r w:rsidR="00CA24A2" w:rsidRPr="00CF4BB2">
        <w:t xml:space="preserve"> (metro) s cílem zabránit jejich</w:t>
      </w:r>
      <w:r w:rsidR="003C011C" w:rsidRPr="00CF4BB2">
        <w:t xml:space="preserve"> opakování. </w:t>
      </w:r>
    </w:p>
    <w:p w:rsidR="0057450B" w:rsidRPr="00CF4BB2" w:rsidRDefault="0057450B" w:rsidP="0057450B">
      <w:pPr>
        <w:pStyle w:val="Titulek"/>
        <w:keepNext/>
      </w:pPr>
      <w:r w:rsidRPr="00CF4BB2">
        <w:t xml:space="preserve">Tabulka č. </w:t>
      </w:r>
      <w:r w:rsidR="0001421C" w:rsidRPr="00CF4BB2">
        <w:rPr>
          <w:noProof/>
        </w:rPr>
        <w:fldChar w:fldCharType="begin"/>
      </w:r>
      <w:r w:rsidR="0001421C" w:rsidRPr="00CF4BB2">
        <w:rPr>
          <w:noProof/>
        </w:rPr>
        <w:instrText xml:space="preserve"> SEQ Tabulka \* ARABIC </w:instrText>
      </w:r>
      <w:r w:rsidR="0001421C" w:rsidRPr="00CF4BB2">
        <w:rPr>
          <w:noProof/>
        </w:rPr>
        <w:fldChar w:fldCharType="separate"/>
      </w:r>
      <w:r w:rsidR="006076E7">
        <w:rPr>
          <w:noProof/>
        </w:rPr>
        <w:t>13</w:t>
      </w:r>
      <w:r w:rsidR="0001421C" w:rsidRPr="00CF4BB2">
        <w:rPr>
          <w:noProof/>
        </w:rPr>
        <w:fldChar w:fldCharType="end"/>
      </w:r>
      <w:r w:rsidRPr="00CF4BB2">
        <w:t xml:space="preserve"> Drážní inspekce – běžné výdaje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70"/>
        <w:gridCol w:w="1356"/>
        <w:gridCol w:w="1273"/>
        <w:gridCol w:w="1131"/>
        <w:gridCol w:w="921"/>
      </w:tblGrid>
      <w:tr w:rsidR="00CF4BB2" w:rsidRPr="00576843" w:rsidTr="00CF4BB2">
        <w:tc>
          <w:tcPr>
            <w:tcW w:w="241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F4BB2" w:rsidRPr="00576843" w:rsidRDefault="00CF4BB2" w:rsidP="00CF4BB2">
            <w:pPr>
              <w:jc w:val="center"/>
              <w:rPr>
                <w:rFonts w:eastAsia="Times New Roman" w:cs="Times New Roman"/>
                <w:b/>
                <w:color w:val="FF0000"/>
                <w:szCs w:val="24"/>
                <w:lang w:eastAsia="cs-CZ"/>
              </w:rPr>
            </w:pPr>
            <w:r w:rsidRPr="00746D53">
              <w:rPr>
                <w:rFonts w:eastAsia="Times New Roman" w:cs="Times New Roman"/>
                <w:b/>
                <w:szCs w:val="24"/>
                <w:lang w:eastAsia="cs-CZ"/>
              </w:rPr>
              <w:t>Ukazatel</w:t>
            </w:r>
          </w:p>
        </w:tc>
        <w:tc>
          <w:tcPr>
            <w:tcW w:w="74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F4BB2" w:rsidRPr="00746D53" w:rsidRDefault="00CF4BB2" w:rsidP="00CF4BB2">
            <w:pPr>
              <w:jc w:val="center"/>
              <w:rPr>
                <w:rFonts w:eastAsia="Times New Roman" w:cs="Times New Roman"/>
                <w:b/>
                <w:szCs w:val="24"/>
                <w:lang w:eastAsia="cs-CZ"/>
              </w:rPr>
            </w:pPr>
            <w:r w:rsidRPr="00746D53">
              <w:rPr>
                <w:rFonts w:eastAsia="Times New Roman" w:cs="Times New Roman"/>
                <w:b/>
                <w:szCs w:val="24"/>
                <w:lang w:eastAsia="cs-CZ"/>
              </w:rPr>
              <w:t>Skutečnost</w:t>
            </w:r>
          </w:p>
          <w:p w:rsidR="00CF4BB2" w:rsidRPr="00746D53" w:rsidRDefault="00CF4BB2" w:rsidP="00CF4BB2">
            <w:pPr>
              <w:jc w:val="center"/>
              <w:rPr>
                <w:rFonts w:eastAsia="Times New Roman" w:cs="Times New Roman"/>
                <w:b/>
                <w:szCs w:val="24"/>
                <w:lang w:eastAsia="cs-CZ"/>
              </w:rPr>
            </w:pPr>
            <w:r w:rsidRPr="00746D53">
              <w:rPr>
                <w:rFonts w:eastAsia="Times New Roman" w:cs="Times New Roman"/>
                <w:b/>
                <w:szCs w:val="24"/>
                <w:lang w:eastAsia="cs-CZ"/>
              </w:rPr>
              <w:t>2019</w:t>
            </w:r>
          </w:p>
        </w:tc>
        <w:tc>
          <w:tcPr>
            <w:tcW w:w="70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F4BB2" w:rsidRPr="00746D53" w:rsidRDefault="00CF4BB2" w:rsidP="00CF4BB2">
            <w:pPr>
              <w:jc w:val="center"/>
              <w:rPr>
                <w:rFonts w:eastAsia="Times New Roman" w:cs="Times New Roman"/>
                <w:b/>
                <w:szCs w:val="24"/>
                <w:lang w:eastAsia="cs-CZ"/>
              </w:rPr>
            </w:pPr>
            <w:r w:rsidRPr="00746D53">
              <w:rPr>
                <w:rFonts w:eastAsia="Times New Roman" w:cs="Times New Roman"/>
                <w:b/>
                <w:szCs w:val="24"/>
                <w:lang w:eastAsia="cs-CZ"/>
              </w:rPr>
              <w:t>Schválený</w:t>
            </w:r>
          </w:p>
          <w:p w:rsidR="00CF4BB2" w:rsidRPr="00746D53" w:rsidRDefault="00CF4BB2" w:rsidP="00CF4BB2">
            <w:pPr>
              <w:jc w:val="center"/>
              <w:rPr>
                <w:rFonts w:eastAsia="Times New Roman" w:cs="Times New Roman"/>
                <w:b/>
                <w:szCs w:val="24"/>
                <w:lang w:eastAsia="cs-CZ"/>
              </w:rPr>
            </w:pPr>
            <w:r w:rsidRPr="00746D53">
              <w:rPr>
                <w:rFonts w:eastAsia="Times New Roman" w:cs="Times New Roman"/>
                <w:b/>
                <w:szCs w:val="24"/>
                <w:lang w:eastAsia="cs-CZ"/>
              </w:rPr>
              <w:t>rozpočet</w:t>
            </w:r>
          </w:p>
          <w:p w:rsidR="00CF4BB2" w:rsidRPr="00746D53" w:rsidRDefault="00CF4BB2" w:rsidP="00CF4BB2">
            <w:pPr>
              <w:jc w:val="center"/>
              <w:rPr>
                <w:rFonts w:eastAsia="Times New Roman" w:cs="Times New Roman"/>
                <w:b/>
                <w:szCs w:val="24"/>
                <w:lang w:eastAsia="cs-CZ"/>
              </w:rPr>
            </w:pPr>
            <w:r w:rsidRPr="00746D53">
              <w:rPr>
                <w:rFonts w:eastAsia="Times New Roman" w:cs="Times New Roman"/>
                <w:b/>
                <w:szCs w:val="24"/>
                <w:lang w:eastAsia="cs-CZ"/>
              </w:rPr>
              <w:t>2020</w:t>
            </w:r>
          </w:p>
        </w:tc>
        <w:tc>
          <w:tcPr>
            <w:tcW w:w="62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F4BB2" w:rsidRPr="00746D53" w:rsidRDefault="00CF4BB2" w:rsidP="00CF4BB2">
            <w:pPr>
              <w:jc w:val="center"/>
              <w:rPr>
                <w:rFonts w:eastAsia="Times New Roman" w:cs="Times New Roman"/>
                <w:b/>
                <w:szCs w:val="24"/>
                <w:lang w:eastAsia="cs-CZ"/>
              </w:rPr>
            </w:pPr>
            <w:r w:rsidRPr="00746D53">
              <w:rPr>
                <w:rFonts w:eastAsia="Times New Roman" w:cs="Times New Roman"/>
                <w:b/>
                <w:szCs w:val="24"/>
                <w:lang w:eastAsia="cs-CZ"/>
              </w:rPr>
              <w:t>Návrh</w:t>
            </w:r>
          </w:p>
          <w:p w:rsidR="00CF4BB2" w:rsidRPr="00746D53" w:rsidRDefault="00CF4BB2" w:rsidP="00CF4BB2">
            <w:pPr>
              <w:jc w:val="center"/>
              <w:rPr>
                <w:rFonts w:eastAsia="Times New Roman" w:cs="Times New Roman"/>
                <w:b/>
                <w:szCs w:val="24"/>
                <w:lang w:eastAsia="cs-CZ"/>
              </w:rPr>
            </w:pPr>
            <w:r w:rsidRPr="00746D53">
              <w:rPr>
                <w:rFonts w:eastAsia="Times New Roman" w:cs="Times New Roman"/>
                <w:b/>
                <w:szCs w:val="24"/>
                <w:lang w:eastAsia="cs-CZ"/>
              </w:rPr>
              <w:t>rozpočtu</w:t>
            </w:r>
          </w:p>
          <w:p w:rsidR="00CF4BB2" w:rsidRPr="00746D53" w:rsidRDefault="00CF4BB2" w:rsidP="00CF4BB2">
            <w:pPr>
              <w:jc w:val="center"/>
              <w:rPr>
                <w:rFonts w:eastAsia="Times New Roman" w:cs="Times New Roman"/>
                <w:b/>
                <w:szCs w:val="24"/>
                <w:lang w:eastAsia="cs-CZ"/>
              </w:rPr>
            </w:pPr>
            <w:r w:rsidRPr="00746D53">
              <w:rPr>
                <w:rFonts w:eastAsia="Times New Roman" w:cs="Times New Roman"/>
                <w:b/>
                <w:szCs w:val="24"/>
                <w:lang w:eastAsia="cs-CZ"/>
              </w:rPr>
              <w:t>2021</w:t>
            </w:r>
          </w:p>
        </w:tc>
        <w:tc>
          <w:tcPr>
            <w:tcW w:w="50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F4BB2" w:rsidRPr="00746D53" w:rsidRDefault="00CF4BB2" w:rsidP="00CF4BB2">
            <w:pPr>
              <w:jc w:val="center"/>
              <w:rPr>
                <w:rFonts w:eastAsia="Times New Roman" w:cs="Times New Roman"/>
                <w:b/>
                <w:szCs w:val="24"/>
                <w:lang w:eastAsia="cs-CZ"/>
              </w:rPr>
            </w:pPr>
            <w:r w:rsidRPr="00746D53">
              <w:rPr>
                <w:rFonts w:eastAsia="Times New Roman" w:cs="Times New Roman"/>
                <w:b/>
                <w:szCs w:val="24"/>
                <w:lang w:eastAsia="cs-CZ"/>
              </w:rPr>
              <w:t>Index</w:t>
            </w:r>
          </w:p>
          <w:p w:rsidR="00CF4BB2" w:rsidRPr="00746D53" w:rsidRDefault="00CF4BB2" w:rsidP="00CF4BB2">
            <w:pPr>
              <w:jc w:val="center"/>
              <w:rPr>
                <w:rFonts w:eastAsia="Times New Roman" w:cs="Times New Roman"/>
                <w:b/>
                <w:szCs w:val="24"/>
                <w:lang w:eastAsia="cs-CZ"/>
              </w:rPr>
            </w:pPr>
            <w:r w:rsidRPr="00746D53">
              <w:rPr>
                <w:rFonts w:eastAsia="Times New Roman" w:cs="Times New Roman"/>
                <w:b/>
                <w:szCs w:val="24"/>
                <w:lang w:eastAsia="cs-CZ"/>
              </w:rPr>
              <w:t>2021/</w:t>
            </w:r>
            <w:r w:rsidRPr="00746D53">
              <w:rPr>
                <w:rFonts w:eastAsia="Times New Roman" w:cs="Times New Roman"/>
                <w:b/>
                <w:szCs w:val="24"/>
                <w:lang w:eastAsia="cs-CZ"/>
              </w:rPr>
              <w:br/>
              <w:t xml:space="preserve">2020 </w:t>
            </w:r>
            <w:r w:rsidRPr="00746D53">
              <w:rPr>
                <w:rFonts w:eastAsia="Times New Roman" w:cs="Times New Roman"/>
                <w:b/>
                <w:szCs w:val="24"/>
                <w:lang w:eastAsia="cs-CZ"/>
              </w:rPr>
              <w:br/>
              <w:t>(v %)</w:t>
            </w:r>
          </w:p>
        </w:tc>
      </w:tr>
      <w:tr w:rsidR="00CF4BB2" w:rsidRPr="00746D53" w:rsidTr="00CF4BB2">
        <w:tc>
          <w:tcPr>
            <w:tcW w:w="2414" w:type="pct"/>
            <w:tcBorders>
              <w:top w:val="single" w:sz="4" w:space="0" w:color="7F7F7F" w:themeColor="text1" w:themeTint="80"/>
              <w:bottom w:val="single" w:sz="8" w:space="0" w:color="7F7F7F" w:themeColor="text1" w:themeTint="80"/>
            </w:tcBorders>
            <w:shd w:val="clear" w:color="auto" w:fill="auto"/>
          </w:tcPr>
          <w:p w:rsidR="00CF4BB2" w:rsidRPr="00746D53" w:rsidRDefault="00CF4BB2" w:rsidP="00CF4BB2">
            <w:pPr>
              <w:jc w:val="center"/>
              <w:rPr>
                <w:rFonts w:eastAsia="Times New Roman" w:cs="Times New Roman"/>
                <w:szCs w:val="24"/>
                <w:lang w:eastAsia="cs-CZ"/>
              </w:rPr>
            </w:pPr>
            <w:r w:rsidRPr="00746D53">
              <w:rPr>
                <w:rFonts w:eastAsia="Times New Roman" w:cs="Times New Roman"/>
                <w:szCs w:val="24"/>
                <w:lang w:eastAsia="cs-CZ"/>
              </w:rPr>
              <w:t>a</w:t>
            </w:r>
          </w:p>
        </w:tc>
        <w:tc>
          <w:tcPr>
            <w:tcW w:w="749" w:type="pct"/>
            <w:tcBorders>
              <w:top w:val="single" w:sz="4" w:space="0" w:color="7F7F7F" w:themeColor="text1" w:themeTint="80"/>
              <w:bottom w:val="single" w:sz="8" w:space="0" w:color="7F7F7F" w:themeColor="text1" w:themeTint="80"/>
            </w:tcBorders>
            <w:shd w:val="clear" w:color="auto" w:fill="auto"/>
          </w:tcPr>
          <w:p w:rsidR="00CF4BB2" w:rsidRPr="00746D53" w:rsidRDefault="00CF4BB2" w:rsidP="00CF4BB2">
            <w:pPr>
              <w:jc w:val="center"/>
              <w:rPr>
                <w:rFonts w:eastAsia="Times New Roman" w:cs="Times New Roman"/>
                <w:szCs w:val="24"/>
                <w:lang w:eastAsia="cs-CZ"/>
              </w:rPr>
            </w:pPr>
            <w:r w:rsidRPr="00746D53">
              <w:rPr>
                <w:rFonts w:eastAsia="Times New Roman" w:cs="Times New Roman"/>
                <w:szCs w:val="24"/>
                <w:lang w:eastAsia="cs-CZ"/>
              </w:rPr>
              <w:t>1</w:t>
            </w:r>
          </w:p>
        </w:tc>
        <w:tc>
          <w:tcPr>
            <w:tcW w:w="703" w:type="pct"/>
            <w:tcBorders>
              <w:top w:val="single" w:sz="4" w:space="0" w:color="7F7F7F" w:themeColor="text1" w:themeTint="80"/>
              <w:bottom w:val="single" w:sz="8" w:space="0" w:color="7F7F7F" w:themeColor="text1" w:themeTint="80"/>
            </w:tcBorders>
            <w:shd w:val="clear" w:color="auto" w:fill="auto"/>
          </w:tcPr>
          <w:p w:rsidR="00CF4BB2" w:rsidRPr="00746D53" w:rsidRDefault="00CF4BB2" w:rsidP="00CF4BB2">
            <w:pPr>
              <w:jc w:val="center"/>
              <w:rPr>
                <w:rFonts w:eastAsia="Times New Roman" w:cs="Times New Roman"/>
                <w:szCs w:val="24"/>
                <w:lang w:eastAsia="cs-CZ"/>
              </w:rPr>
            </w:pPr>
            <w:r w:rsidRPr="00746D53">
              <w:rPr>
                <w:rFonts w:eastAsia="Times New Roman" w:cs="Times New Roman"/>
                <w:szCs w:val="24"/>
                <w:lang w:eastAsia="cs-CZ"/>
              </w:rPr>
              <w:t>2</w:t>
            </w:r>
          </w:p>
        </w:tc>
        <w:tc>
          <w:tcPr>
            <w:tcW w:w="625" w:type="pct"/>
            <w:tcBorders>
              <w:top w:val="single" w:sz="4" w:space="0" w:color="7F7F7F" w:themeColor="text1" w:themeTint="80"/>
              <w:bottom w:val="single" w:sz="8" w:space="0" w:color="7F7F7F" w:themeColor="text1" w:themeTint="80"/>
            </w:tcBorders>
            <w:shd w:val="clear" w:color="auto" w:fill="auto"/>
          </w:tcPr>
          <w:p w:rsidR="00CF4BB2" w:rsidRPr="00746D53" w:rsidRDefault="00CF4BB2" w:rsidP="00CF4BB2">
            <w:pPr>
              <w:jc w:val="center"/>
              <w:rPr>
                <w:rFonts w:eastAsia="Times New Roman" w:cs="Times New Roman"/>
                <w:szCs w:val="24"/>
                <w:lang w:eastAsia="cs-CZ"/>
              </w:rPr>
            </w:pPr>
            <w:r w:rsidRPr="00746D53">
              <w:rPr>
                <w:rFonts w:eastAsia="Times New Roman" w:cs="Times New Roman"/>
                <w:szCs w:val="24"/>
                <w:lang w:eastAsia="cs-CZ"/>
              </w:rPr>
              <w:t>3</w:t>
            </w:r>
          </w:p>
        </w:tc>
        <w:tc>
          <w:tcPr>
            <w:tcW w:w="509" w:type="pct"/>
            <w:tcBorders>
              <w:top w:val="single" w:sz="4" w:space="0" w:color="7F7F7F" w:themeColor="text1" w:themeTint="80"/>
              <w:bottom w:val="single" w:sz="8" w:space="0" w:color="7F7F7F" w:themeColor="text1" w:themeTint="80"/>
            </w:tcBorders>
            <w:shd w:val="clear" w:color="auto" w:fill="auto"/>
          </w:tcPr>
          <w:p w:rsidR="00CF4BB2" w:rsidRPr="00746D53" w:rsidRDefault="00CF4BB2" w:rsidP="00CF4BB2">
            <w:pPr>
              <w:jc w:val="center"/>
              <w:rPr>
                <w:rFonts w:eastAsia="Times New Roman" w:cs="Times New Roman"/>
                <w:szCs w:val="24"/>
                <w:lang w:eastAsia="cs-CZ"/>
              </w:rPr>
            </w:pPr>
            <w:r w:rsidRPr="00746D53">
              <w:rPr>
                <w:rFonts w:eastAsia="Times New Roman" w:cs="Times New Roman"/>
                <w:szCs w:val="24"/>
                <w:lang w:eastAsia="cs-CZ"/>
              </w:rPr>
              <w:t>4</w:t>
            </w:r>
          </w:p>
        </w:tc>
      </w:tr>
      <w:tr w:rsidR="00CF4BB2" w:rsidRPr="00576843" w:rsidTr="00CF4BB2">
        <w:trPr>
          <w:trHeight w:val="332"/>
        </w:trPr>
        <w:tc>
          <w:tcPr>
            <w:tcW w:w="2414" w:type="pct"/>
            <w:tcBorders>
              <w:top w:val="single" w:sz="8" w:space="0" w:color="7F7F7F" w:themeColor="text1" w:themeTint="80"/>
              <w:bottom w:val="single" w:sz="8" w:space="0" w:color="7F7F7F" w:themeColor="text1" w:themeTint="80"/>
            </w:tcBorders>
            <w:shd w:val="clear" w:color="auto" w:fill="auto"/>
          </w:tcPr>
          <w:p w:rsidR="00CF4BB2" w:rsidRPr="00746D53" w:rsidRDefault="00CF4BB2" w:rsidP="00CF4BB2">
            <w:pPr>
              <w:spacing w:before="80"/>
              <w:rPr>
                <w:rFonts w:eastAsia="Times New Roman" w:cs="Times New Roman"/>
                <w:lang w:eastAsia="cs-CZ"/>
              </w:rPr>
            </w:pPr>
            <w:r w:rsidRPr="00746D53">
              <w:rPr>
                <w:rFonts w:eastAsia="Times New Roman" w:cs="Times New Roman"/>
                <w:b/>
                <w:iCs/>
                <w:lang w:eastAsia="cs-CZ"/>
              </w:rPr>
              <w:t xml:space="preserve">Běžné výdaje </w:t>
            </w:r>
            <w:r w:rsidRPr="00746D53">
              <w:rPr>
                <w:rFonts w:eastAsia="Times New Roman" w:cs="Times New Roman"/>
                <w:lang w:eastAsia="cs-CZ"/>
              </w:rPr>
              <w:t xml:space="preserve">v tom: </w:t>
            </w:r>
          </w:p>
        </w:tc>
        <w:tc>
          <w:tcPr>
            <w:tcW w:w="749" w:type="pct"/>
            <w:tcBorders>
              <w:top w:val="single" w:sz="8" w:space="0" w:color="7F7F7F" w:themeColor="text1" w:themeTint="80"/>
              <w:bottom w:val="single" w:sz="8" w:space="0" w:color="7F7F7F" w:themeColor="text1" w:themeTint="80"/>
            </w:tcBorders>
            <w:shd w:val="clear" w:color="auto" w:fill="auto"/>
            <w:vAlign w:val="center"/>
          </w:tcPr>
          <w:p w:rsidR="00CF4BB2" w:rsidRPr="00746D53" w:rsidRDefault="00CF4BB2" w:rsidP="00CF4BB2">
            <w:pPr>
              <w:spacing w:before="80"/>
              <w:jc w:val="right"/>
              <w:rPr>
                <w:rFonts w:eastAsia="Times New Roman" w:cs="Times New Roman"/>
                <w:b/>
                <w:bCs/>
                <w:lang w:eastAsia="cs-CZ"/>
              </w:rPr>
            </w:pPr>
            <w:r w:rsidRPr="00746D53">
              <w:rPr>
                <w:rFonts w:eastAsia="Times New Roman" w:cs="Times New Roman"/>
                <w:b/>
                <w:bCs/>
                <w:lang w:eastAsia="cs-CZ"/>
              </w:rPr>
              <w:t>37 858</w:t>
            </w:r>
          </w:p>
        </w:tc>
        <w:tc>
          <w:tcPr>
            <w:tcW w:w="703" w:type="pct"/>
            <w:tcBorders>
              <w:top w:val="single" w:sz="8" w:space="0" w:color="7F7F7F" w:themeColor="text1" w:themeTint="80"/>
              <w:bottom w:val="single" w:sz="8" w:space="0" w:color="7F7F7F" w:themeColor="text1" w:themeTint="80"/>
            </w:tcBorders>
            <w:shd w:val="clear" w:color="auto" w:fill="auto"/>
            <w:vAlign w:val="center"/>
          </w:tcPr>
          <w:p w:rsidR="00CF4BB2" w:rsidRPr="00746D53" w:rsidRDefault="00CF4BB2" w:rsidP="00CF4BB2">
            <w:pPr>
              <w:spacing w:before="80"/>
              <w:jc w:val="right"/>
              <w:rPr>
                <w:rFonts w:eastAsia="Times New Roman" w:cs="Times New Roman"/>
                <w:b/>
                <w:bCs/>
                <w:lang w:eastAsia="cs-CZ"/>
              </w:rPr>
            </w:pPr>
            <w:r w:rsidRPr="00746D53">
              <w:rPr>
                <w:rFonts w:eastAsia="Times New Roman" w:cs="Times New Roman"/>
                <w:b/>
                <w:bCs/>
                <w:lang w:eastAsia="cs-CZ"/>
              </w:rPr>
              <w:t xml:space="preserve">40 912 </w:t>
            </w:r>
          </w:p>
        </w:tc>
        <w:tc>
          <w:tcPr>
            <w:tcW w:w="625" w:type="pct"/>
            <w:tcBorders>
              <w:top w:val="single" w:sz="8" w:space="0" w:color="7F7F7F" w:themeColor="text1" w:themeTint="80"/>
              <w:bottom w:val="single" w:sz="8" w:space="0" w:color="7F7F7F" w:themeColor="text1" w:themeTint="80"/>
            </w:tcBorders>
            <w:shd w:val="clear" w:color="auto" w:fill="auto"/>
            <w:vAlign w:val="center"/>
          </w:tcPr>
          <w:p w:rsidR="00CF4BB2" w:rsidRPr="00576843" w:rsidRDefault="00CF4BB2" w:rsidP="00CF4BB2">
            <w:pPr>
              <w:spacing w:before="80"/>
              <w:jc w:val="right"/>
              <w:rPr>
                <w:rFonts w:eastAsia="Times New Roman" w:cs="Times New Roman"/>
                <w:b/>
                <w:bCs/>
                <w:color w:val="FF0000"/>
                <w:lang w:eastAsia="cs-CZ"/>
              </w:rPr>
            </w:pPr>
            <w:r w:rsidRPr="0091471B">
              <w:rPr>
                <w:rFonts w:eastAsia="Times New Roman" w:cs="Times New Roman"/>
                <w:b/>
                <w:bCs/>
                <w:lang w:eastAsia="cs-CZ"/>
              </w:rPr>
              <w:t xml:space="preserve">40 912 </w:t>
            </w:r>
          </w:p>
        </w:tc>
        <w:tc>
          <w:tcPr>
            <w:tcW w:w="509" w:type="pct"/>
            <w:tcBorders>
              <w:top w:val="single" w:sz="8" w:space="0" w:color="7F7F7F" w:themeColor="text1" w:themeTint="80"/>
              <w:bottom w:val="single" w:sz="8" w:space="0" w:color="7F7F7F" w:themeColor="text1" w:themeTint="80"/>
            </w:tcBorders>
            <w:shd w:val="clear" w:color="auto" w:fill="auto"/>
            <w:vAlign w:val="center"/>
          </w:tcPr>
          <w:p w:rsidR="00CF4BB2" w:rsidRPr="00862CD8" w:rsidRDefault="00CF4BB2" w:rsidP="00CF4BB2">
            <w:pPr>
              <w:spacing w:before="80"/>
              <w:jc w:val="right"/>
              <w:rPr>
                <w:rFonts w:eastAsia="Times New Roman" w:cs="Times New Roman"/>
                <w:b/>
                <w:bCs/>
                <w:lang w:eastAsia="cs-CZ"/>
              </w:rPr>
            </w:pPr>
            <w:r w:rsidRPr="00862CD8">
              <w:rPr>
                <w:rFonts w:eastAsia="Times New Roman" w:cs="Times New Roman"/>
                <w:b/>
                <w:bCs/>
                <w:lang w:eastAsia="cs-CZ"/>
              </w:rPr>
              <w:t>100,00</w:t>
            </w:r>
          </w:p>
        </w:tc>
      </w:tr>
      <w:tr w:rsidR="00CF4BB2" w:rsidRPr="00576843" w:rsidTr="00CF4BB2">
        <w:tc>
          <w:tcPr>
            <w:tcW w:w="2414" w:type="pct"/>
            <w:tcBorders>
              <w:top w:val="single" w:sz="8" w:space="0" w:color="7F7F7F" w:themeColor="text1" w:themeTint="80"/>
            </w:tcBorders>
            <w:shd w:val="clear" w:color="auto" w:fill="auto"/>
          </w:tcPr>
          <w:p w:rsidR="00CF4BB2" w:rsidRPr="00746D53" w:rsidRDefault="00CF4BB2" w:rsidP="00CF4BB2">
            <w:pPr>
              <w:rPr>
                <w:rFonts w:eastAsia="Times New Roman" w:cs="Times New Roman"/>
                <w:lang w:eastAsia="cs-CZ"/>
              </w:rPr>
            </w:pPr>
            <w:r w:rsidRPr="00746D53">
              <w:rPr>
                <w:rFonts w:eastAsia="Times New Roman" w:cs="Times New Roman"/>
                <w:lang w:eastAsia="cs-CZ"/>
              </w:rPr>
              <w:t>platy zaměstnanců a ostatní platby</w:t>
            </w:r>
          </w:p>
          <w:p w:rsidR="00CF4BB2" w:rsidRPr="00746D53" w:rsidRDefault="00CF4BB2" w:rsidP="00CF4BB2">
            <w:pPr>
              <w:rPr>
                <w:rFonts w:eastAsia="Times New Roman" w:cs="Times New Roman"/>
                <w:lang w:eastAsia="cs-CZ"/>
              </w:rPr>
            </w:pPr>
            <w:r w:rsidRPr="00746D53">
              <w:rPr>
                <w:rFonts w:eastAsia="Times New Roman" w:cs="Times New Roman"/>
                <w:lang w:eastAsia="cs-CZ"/>
              </w:rPr>
              <w:t>za provedenou práci</w:t>
            </w:r>
          </w:p>
        </w:tc>
        <w:tc>
          <w:tcPr>
            <w:tcW w:w="749" w:type="pct"/>
            <w:tcBorders>
              <w:top w:val="single" w:sz="8" w:space="0" w:color="7F7F7F" w:themeColor="text1" w:themeTint="80"/>
            </w:tcBorders>
            <w:shd w:val="clear" w:color="auto" w:fill="auto"/>
            <w:vAlign w:val="center"/>
          </w:tcPr>
          <w:p w:rsidR="00CF4BB2" w:rsidRPr="00746D53" w:rsidRDefault="00CF4BB2" w:rsidP="00CF4BB2">
            <w:pPr>
              <w:jc w:val="right"/>
              <w:rPr>
                <w:rFonts w:eastAsia="Times New Roman" w:cs="Times New Roman"/>
                <w:lang w:eastAsia="cs-CZ"/>
              </w:rPr>
            </w:pPr>
            <w:r w:rsidRPr="00746D53">
              <w:rPr>
                <w:rFonts w:eastAsia="Times New Roman" w:cs="Times New Roman"/>
                <w:lang w:eastAsia="cs-CZ"/>
              </w:rPr>
              <w:t>22 217</w:t>
            </w:r>
          </w:p>
        </w:tc>
        <w:tc>
          <w:tcPr>
            <w:tcW w:w="703" w:type="pct"/>
            <w:tcBorders>
              <w:top w:val="single" w:sz="8" w:space="0" w:color="7F7F7F" w:themeColor="text1" w:themeTint="80"/>
            </w:tcBorders>
            <w:shd w:val="clear" w:color="auto" w:fill="auto"/>
            <w:vAlign w:val="center"/>
          </w:tcPr>
          <w:p w:rsidR="00CF4BB2" w:rsidRPr="00746D53" w:rsidRDefault="00CF4BB2" w:rsidP="00CF4BB2">
            <w:pPr>
              <w:jc w:val="right"/>
              <w:rPr>
                <w:rFonts w:eastAsia="Times New Roman" w:cs="Times New Roman"/>
                <w:lang w:eastAsia="cs-CZ"/>
              </w:rPr>
            </w:pPr>
            <w:r w:rsidRPr="00746D53">
              <w:rPr>
                <w:rFonts w:eastAsia="Times New Roman" w:cs="Times New Roman"/>
                <w:lang w:eastAsia="cs-CZ"/>
              </w:rPr>
              <w:t>22 677</w:t>
            </w:r>
          </w:p>
        </w:tc>
        <w:tc>
          <w:tcPr>
            <w:tcW w:w="625" w:type="pct"/>
            <w:tcBorders>
              <w:top w:val="single" w:sz="8" w:space="0" w:color="7F7F7F" w:themeColor="text1" w:themeTint="80"/>
            </w:tcBorders>
            <w:shd w:val="clear" w:color="auto" w:fill="auto"/>
            <w:vAlign w:val="center"/>
          </w:tcPr>
          <w:p w:rsidR="00CF4BB2" w:rsidRPr="00576843" w:rsidRDefault="00CF4BB2" w:rsidP="00CF4BB2">
            <w:pPr>
              <w:jc w:val="right"/>
              <w:rPr>
                <w:rFonts w:eastAsia="Times New Roman" w:cs="Times New Roman"/>
                <w:color w:val="FF0000"/>
                <w:highlight w:val="yellow"/>
                <w:lang w:eastAsia="cs-CZ"/>
              </w:rPr>
            </w:pPr>
            <w:r w:rsidRPr="00862CD8">
              <w:rPr>
                <w:rFonts w:eastAsia="Times New Roman" w:cs="Times New Roman"/>
                <w:lang w:eastAsia="cs-CZ"/>
              </w:rPr>
              <w:t>22 677</w:t>
            </w:r>
          </w:p>
        </w:tc>
        <w:tc>
          <w:tcPr>
            <w:tcW w:w="509" w:type="pct"/>
            <w:tcBorders>
              <w:top w:val="single" w:sz="8" w:space="0" w:color="7F7F7F" w:themeColor="text1" w:themeTint="80"/>
            </w:tcBorders>
            <w:shd w:val="clear" w:color="auto" w:fill="auto"/>
            <w:vAlign w:val="center"/>
          </w:tcPr>
          <w:p w:rsidR="00CF4BB2" w:rsidRPr="00862CD8" w:rsidRDefault="00CF4BB2" w:rsidP="00CF4BB2">
            <w:pPr>
              <w:jc w:val="right"/>
              <w:rPr>
                <w:rFonts w:eastAsia="Times New Roman" w:cs="Times New Roman"/>
                <w:lang w:eastAsia="cs-CZ"/>
              </w:rPr>
            </w:pPr>
            <w:r w:rsidRPr="00862CD8">
              <w:rPr>
                <w:rFonts w:eastAsia="Times New Roman" w:cs="Times New Roman"/>
                <w:lang w:eastAsia="cs-CZ"/>
              </w:rPr>
              <w:t>100,00</w:t>
            </w:r>
          </w:p>
        </w:tc>
      </w:tr>
      <w:tr w:rsidR="00CF4BB2" w:rsidRPr="00576843" w:rsidTr="00CF4BB2">
        <w:tc>
          <w:tcPr>
            <w:tcW w:w="2414" w:type="pct"/>
            <w:shd w:val="clear" w:color="auto" w:fill="auto"/>
            <w:vAlign w:val="center"/>
          </w:tcPr>
          <w:p w:rsidR="00CF4BB2" w:rsidRPr="00746D53" w:rsidRDefault="00CF4BB2" w:rsidP="00CF4BB2">
            <w:pPr>
              <w:jc w:val="left"/>
              <w:rPr>
                <w:rFonts w:eastAsia="Times New Roman" w:cs="Times New Roman"/>
                <w:lang w:eastAsia="cs-CZ"/>
              </w:rPr>
            </w:pPr>
            <w:r w:rsidRPr="00746D53">
              <w:rPr>
                <w:rFonts w:eastAsia="Times New Roman" w:cs="Times New Roman"/>
                <w:lang w:eastAsia="cs-CZ"/>
              </w:rPr>
              <w:t>povinné pojistné placené zaměstnavatelem</w:t>
            </w:r>
          </w:p>
        </w:tc>
        <w:tc>
          <w:tcPr>
            <w:tcW w:w="749" w:type="pct"/>
            <w:shd w:val="clear" w:color="auto" w:fill="auto"/>
            <w:vAlign w:val="center"/>
          </w:tcPr>
          <w:p w:rsidR="00CF4BB2" w:rsidRPr="00746D53" w:rsidRDefault="00CF4BB2" w:rsidP="00CF4BB2">
            <w:pPr>
              <w:jc w:val="right"/>
              <w:rPr>
                <w:rFonts w:eastAsia="Times New Roman" w:cs="Times New Roman"/>
                <w:lang w:eastAsia="cs-CZ"/>
              </w:rPr>
            </w:pPr>
            <w:r w:rsidRPr="00746D53">
              <w:rPr>
                <w:rFonts w:eastAsia="Times New Roman" w:cs="Times New Roman"/>
                <w:lang w:eastAsia="cs-CZ"/>
              </w:rPr>
              <w:t>7 553</w:t>
            </w:r>
          </w:p>
        </w:tc>
        <w:tc>
          <w:tcPr>
            <w:tcW w:w="703" w:type="pct"/>
            <w:shd w:val="clear" w:color="auto" w:fill="auto"/>
            <w:vAlign w:val="center"/>
          </w:tcPr>
          <w:p w:rsidR="00CF4BB2" w:rsidRPr="00746D53" w:rsidRDefault="00CF4BB2" w:rsidP="00CF4BB2">
            <w:pPr>
              <w:jc w:val="right"/>
              <w:rPr>
                <w:rFonts w:eastAsia="Times New Roman" w:cs="Times New Roman"/>
                <w:lang w:eastAsia="cs-CZ"/>
              </w:rPr>
            </w:pPr>
            <w:r w:rsidRPr="00746D53">
              <w:rPr>
                <w:rFonts w:eastAsia="Times New Roman" w:cs="Times New Roman"/>
                <w:lang w:eastAsia="cs-CZ"/>
              </w:rPr>
              <w:t>7 665</w:t>
            </w:r>
          </w:p>
        </w:tc>
        <w:tc>
          <w:tcPr>
            <w:tcW w:w="625" w:type="pct"/>
            <w:shd w:val="clear" w:color="auto" w:fill="auto"/>
            <w:vAlign w:val="center"/>
          </w:tcPr>
          <w:p w:rsidR="00CF4BB2" w:rsidRPr="00576843" w:rsidRDefault="00CF4BB2" w:rsidP="00CF4BB2">
            <w:pPr>
              <w:jc w:val="right"/>
              <w:rPr>
                <w:rFonts w:eastAsia="Times New Roman" w:cs="Times New Roman"/>
                <w:color w:val="FF0000"/>
                <w:highlight w:val="yellow"/>
                <w:lang w:eastAsia="cs-CZ"/>
              </w:rPr>
            </w:pPr>
            <w:r w:rsidRPr="00862CD8">
              <w:rPr>
                <w:rFonts w:eastAsia="Times New Roman" w:cs="Times New Roman"/>
                <w:lang w:eastAsia="cs-CZ"/>
              </w:rPr>
              <w:t>7 665</w:t>
            </w:r>
          </w:p>
        </w:tc>
        <w:tc>
          <w:tcPr>
            <w:tcW w:w="509" w:type="pct"/>
            <w:shd w:val="clear" w:color="auto" w:fill="auto"/>
            <w:vAlign w:val="center"/>
          </w:tcPr>
          <w:p w:rsidR="00CF4BB2" w:rsidRPr="00862CD8" w:rsidRDefault="00CF4BB2" w:rsidP="00CF4BB2">
            <w:pPr>
              <w:jc w:val="right"/>
              <w:rPr>
                <w:rFonts w:eastAsia="Times New Roman" w:cs="Times New Roman"/>
                <w:lang w:eastAsia="cs-CZ"/>
              </w:rPr>
            </w:pPr>
            <w:r w:rsidRPr="00862CD8">
              <w:rPr>
                <w:rFonts w:eastAsia="Times New Roman" w:cs="Times New Roman"/>
                <w:lang w:eastAsia="cs-CZ"/>
              </w:rPr>
              <w:t>100,00</w:t>
            </w:r>
          </w:p>
        </w:tc>
      </w:tr>
      <w:tr w:rsidR="00CF4BB2" w:rsidRPr="00576843" w:rsidTr="00CF4BB2">
        <w:tc>
          <w:tcPr>
            <w:tcW w:w="2414" w:type="pct"/>
            <w:shd w:val="clear" w:color="auto" w:fill="auto"/>
          </w:tcPr>
          <w:p w:rsidR="00CF4BB2" w:rsidRPr="00746D53" w:rsidRDefault="00CF4BB2" w:rsidP="00CF4BB2">
            <w:pPr>
              <w:rPr>
                <w:rFonts w:eastAsia="Times New Roman" w:cs="Times New Roman"/>
                <w:lang w:eastAsia="cs-CZ"/>
              </w:rPr>
            </w:pPr>
            <w:r w:rsidRPr="00746D53">
              <w:rPr>
                <w:rFonts w:eastAsia="Times New Roman" w:cs="Times New Roman"/>
                <w:lang w:eastAsia="cs-CZ"/>
              </w:rPr>
              <w:t>příděl FKSP</w:t>
            </w:r>
          </w:p>
        </w:tc>
        <w:tc>
          <w:tcPr>
            <w:tcW w:w="749" w:type="pct"/>
            <w:shd w:val="clear" w:color="auto" w:fill="auto"/>
            <w:vAlign w:val="center"/>
          </w:tcPr>
          <w:p w:rsidR="00CF4BB2" w:rsidRPr="00746D53" w:rsidRDefault="00CF4BB2" w:rsidP="00CF4BB2">
            <w:pPr>
              <w:jc w:val="right"/>
              <w:rPr>
                <w:rFonts w:eastAsia="Times New Roman" w:cs="Times New Roman"/>
                <w:lang w:eastAsia="cs-CZ"/>
              </w:rPr>
            </w:pPr>
            <w:r w:rsidRPr="00746D53">
              <w:rPr>
                <w:rFonts w:eastAsia="Times New Roman" w:cs="Times New Roman"/>
                <w:lang w:eastAsia="cs-CZ"/>
              </w:rPr>
              <w:t>444</w:t>
            </w:r>
          </w:p>
        </w:tc>
        <w:tc>
          <w:tcPr>
            <w:tcW w:w="703" w:type="pct"/>
            <w:shd w:val="clear" w:color="auto" w:fill="auto"/>
            <w:vAlign w:val="center"/>
          </w:tcPr>
          <w:p w:rsidR="00CF4BB2" w:rsidRPr="00746D53" w:rsidRDefault="00CF4BB2" w:rsidP="00CF4BB2">
            <w:pPr>
              <w:jc w:val="right"/>
              <w:rPr>
                <w:rFonts w:eastAsia="Times New Roman" w:cs="Times New Roman"/>
                <w:lang w:eastAsia="cs-CZ"/>
              </w:rPr>
            </w:pPr>
            <w:r w:rsidRPr="00746D53">
              <w:rPr>
                <w:rFonts w:eastAsia="Times New Roman" w:cs="Times New Roman"/>
                <w:lang w:eastAsia="cs-CZ"/>
              </w:rPr>
              <w:t>453</w:t>
            </w:r>
          </w:p>
        </w:tc>
        <w:tc>
          <w:tcPr>
            <w:tcW w:w="625" w:type="pct"/>
            <w:shd w:val="clear" w:color="auto" w:fill="auto"/>
            <w:vAlign w:val="center"/>
          </w:tcPr>
          <w:p w:rsidR="00CF4BB2" w:rsidRPr="00576843" w:rsidRDefault="00CF4BB2" w:rsidP="00CF4BB2">
            <w:pPr>
              <w:jc w:val="right"/>
              <w:rPr>
                <w:rFonts w:eastAsia="Times New Roman" w:cs="Times New Roman"/>
                <w:color w:val="FF0000"/>
                <w:highlight w:val="yellow"/>
                <w:lang w:eastAsia="cs-CZ"/>
              </w:rPr>
            </w:pPr>
            <w:r w:rsidRPr="00862CD8">
              <w:rPr>
                <w:rFonts w:eastAsia="Times New Roman" w:cs="Times New Roman"/>
                <w:lang w:eastAsia="cs-CZ"/>
              </w:rPr>
              <w:t>453</w:t>
            </w:r>
          </w:p>
        </w:tc>
        <w:tc>
          <w:tcPr>
            <w:tcW w:w="509" w:type="pct"/>
            <w:shd w:val="clear" w:color="auto" w:fill="auto"/>
            <w:vAlign w:val="center"/>
          </w:tcPr>
          <w:p w:rsidR="00CF4BB2" w:rsidRPr="00862CD8" w:rsidRDefault="00CF4BB2" w:rsidP="00CF4BB2">
            <w:pPr>
              <w:jc w:val="right"/>
              <w:rPr>
                <w:rFonts w:eastAsia="Times New Roman" w:cs="Times New Roman"/>
                <w:lang w:eastAsia="cs-CZ"/>
              </w:rPr>
            </w:pPr>
            <w:r w:rsidRPr="00862CD8">
              <w:rPr>
                <w:rFonts w:eastAsia="Times New Roman" w:cs="Times New Roman"/>
                <w:lang w:eastAsia="cs-CZ"/>
              </w:rPr>
              <w:t>100,00</w:t>
            </w:r>
          </w:p>
        </w:tc>
      </w:tr>
      <w:tr w:rsidR="00CF4BB2" w:rsidRPr="00576843" w:rsidTr="00CF4BB2">
        <w:tc>
          <w:tcPr>
            <w:tcW w:w="2414" w:type="pct"/>
            <w:tcBorders>
              <w:bottom w:val="nil"/>
            </w:tcBorders>
            <w:shd w:val="clear" w:color="auto" w:fill="auto"/>
          </w:tcPr>
          <w:p w:rsidR="00CF4BB2" w:rsidRPr="00746D53" w:rsidRDefault="00CF4BB2" w:rsidP="00CF4BB2">
            <w:pPr>
              <w:rPr>
                <w:rFonts w:eastAsia="Times New Roman" w:cs="Times New Roman"/>
                <w:lang w:eastAsia="cs-CZ"/>
              </w:rPr>
            </w:pPr>
            <w:r w:rsidRPr="00746D53">
              <w:rPr>
                <w:rFonts w:eastAsia="Times New Roman" w:cs="Times New Roman"/>
                <w:lang w:eastAsia="cs-CZ"/>
              </w:rPr>
              <w:t>ostatní neinv. nákupy a související výdaje</w:t>
            </w:r>
          </w:p>
        </w:tc>
        <w:tc>
          <w:tcPr>
            <w:tcW w:w="749" w:type="pct"/>
            <w:tcBorders>
              <w:bottom w:val="nil"/>
            </w:tcBorders>
            <w:shd w:val="clear" w:color="auto" w:fill="auto"/>
            <w:vAlign w:val="center"/>
          </w:tcPr>
          <w:p w:rsidR="00CF4BB2" w:rsidRPr="00746D53" w:rsidRDefault="00CF4BB2" w:rsidP="00CF4BB2">
            <w:pPr>
              <w:jc w:val="right"/>
              <w:rPr>
                <w:rFonts w:eastAsia="Times New Roman" w:cs="Times New Roman"/>
                <w:lang w:eastAsia="cs-CZ"/>
              </w:rPr>
            </w:pPr>
            <w:r w:rsidRPr="00746D53">
              <w:rPr>
                <w:rFonts w:eastAsia="Times New Roman" w:cs="Times New Roman"/>
                <w:lang w:eastAsia="cs-CZ"/>
              </w:rPr>
              <w:t>7 644</w:t>
            </w:r>
          </w:p>
        </w:tc>
        <w:tc>
          <w:tcPr>
            <w:tcW w:w="703" w:type="pct"/>
            <w:tcBorders>
              <w:bottom w:val="nil"/>
            </w:tcBorders>
            <w:shd w:val="clear" w:color="auto" w:fill="auto"/>
            <w:vAlign w:val="center"/>
          </w:tcPr>
          <w:p w:rsidR="00CF4BB2" w:rsidRPr="00746D53" w:rsidRDefault="00CF4BB2" w:rsidP="00CF4BB2">
            <w:pPr>
              <w:jc w:val="right"/>
              <w:rPr>
                <w:rFonts w:eastAsia="Times New Roman" w:cs="Times New Roman"/>
                <w:lang w:eastAsia="cs-CZ"/>
              </w:rPr>
            </w:pPr>
            <w:r w:rsidRPr="00746D53">
              <w:rPr>
                <w:rFonts w:eastAsia="Times New Roman" w:cs="Times New Roman"/>
                <w:lang w:eastAsia="cs-CZ"/>
              </w:rPr>
              <w:t>10 118</w:t>
            </w:r>
          </w:p>
        </w:tc>
        <w:tc>
          <w:tcPr>
            <w:tcW w:w="625" w:type="pct"/>
            <w:tcBorders>
              <w:bottom w:val="nil"/>
            </w:tcBorders>
            <w:shd w:val="clear" w:color="auto" w:fill="auto"/>
            <w:vAlign w:val="center"/>
          </w:tcPr>
          <w:p w:rsidR="00CF4BB2" w:rsidRPr="00862CD8" w:rsidRDefault="00CF4BB2" w:rsidP="00CF4BB2">
            <w:pPr>
              <w:jc w:val="right"/>
              <w:rPr>
                <w:rFonts w:eastAsia="Times New Roman" w:cs="Times New Roman"/>
                <w:lang w:eastAsia="cs-CZ"/>
              </w:rPr>
            </w:pPr>
            <w:r w:rsidRPr="00862CD8">
              <w:rPr>
                <w:rFonts w:eastAsia="Times New Roman" w:cs="Times New Roman"/>
                <w:lang w:eastAsia="cs-CZ"/>
              </w:rPr>
              <w:t>10 118</w:t>
            </w:r>
          </w:p>
        </w:tc>
        <w:tc>
          <w:tcPr>
            <w:tcW w:w="509" w:type="pct"/>
            <w:tcBorders>
              <w:bottom w:val="nil"/>
            </w:tcBorders>
            <w:shd w:val="clear" w:color="auto" w:fill="auto"/>
            <w:vAlign w:val="center"/>
          </w:tcPr>
          <w:p w:rsidR="00CF4BB2" w:rsidRPr="00862CD8" w:rsidRDefault="00CF4BB2" w:rsidP="00CF4BB2">
            <w:pPr>
              <w:jc w:val="right"/>
              <w:rPr>
                <w:rFonts w:eastAsia="Times New Roman" w:cs="Times New Roman"/>
                <w:lang w:eastAsia="cs-CZ"/>
              </w:rPr>
            </w:pPr>
            <w:r w:rsidRPr="00862CD8">
              <w:rPr>
                <w:rFonts w:eastAsia="Times New Roman" w:cs="Times New Roman"/>
                <w:lang w:eastAsia="cs-CZ"/>
              </w:rPr>
              <w:t>100,00</w:t>
            </w:r>
          </w:p>
        </w:tc>
      </w:tr>
      <w:tr w:rsidR="00CF4BB2" w:rsidRPr="00576843" w:rsidTr="00CF4BB2">
        <w:tc>
          <w:tcPr>
            <w:tcW w:w="2414" w:type="pct"/>
            <w:tcBorders>
              <w:top w:val="nil"/>
              <w:bottom w:val="single" w:sz="8" w:space="0" w:color="7F7F7F" w:themeColor="text1" w:themeTint="80"/>
            </w:tcBorders>
            <w:shd w:val="clear" w:color="auto" w:fill="auto"/>
          </w:tcPr>
          <w:p w:rsidR="00CF4BB2" w:rsidRPr="00746D53" w:rsidRDefault="00CF4BB2" w:rsidP="005974F4">
            <w:pPr>
              <w:jc w:val="left"/>
              <w:rPr>
                <w:rFonts w:eastAsia="Times New Roman" w:cs="Times New Roman"/>
                <w:i/>
                <w:lang w:eastAsia="cs-CZ"/>
              </w:rPr>
            </w:pPr>
            <w:r w:rsidRPr="00746D53">
              <w:rPr>
                <w:rFonts w:eastAsia="Times New Roman" w:cs="Times New Roman"/>
                <w:i/>
                <w:lang w:eastAsia="cs-CZ"/>
              </w:rPr>
              <w:t>z toho: programové financování (EDS/SMVS)</w:t>
            </w:r>
          </w:p>
        </w:tc>
        <w:tc>
          <w:tcPr>
            <w:tcW w:w="749" w:type="pct"/>
            <w:tcBorders>
              <w:top w:val="nil"/>
              <w:bottom w:val="single" w:sz="8" w:space="0" w:color="7F7F7F" w:themeColor="text1" w:themeTint="80"/>
            </w:tcBorders>
            <w:shd w:val="clear" w:color="auto" w:fill="auto"/>
            <w:vAlign w:val="center"/>
          </w:tcPr>
          <w:p w:rsidR="00CF4BB2" w:rsidRPr="00746D53" w:rsidRDefault="00CF4BB2" w:rsidP="00CF4BB2">
            <w:pPr>
              <w:jc w:val="right"/>
              <w:rPr>
                <w:rFonts w:eastAsia="Times New Roman" w:cs="Times New Roman"/>
                <w:i/>
                <w:lang w:eastAsia="cs-CZ"/>
              </w:rPr>
            </w:pPr>
            <w:r w:rsidRPr="00746D53">
              <w:rPr>
                <w:rFonts w:eastAsia="Times New Roman" w:cs="Times New Roman"/>
                <w:i/>
                <w:lang w:eastAsia="cs-CZ"/>
              </w:rPr>
              <w:t>0</w:t>
            </w:r>
          </w:p>
        </w:tc>
        <w:tc>
          <w:tcPr>
            <w:tcW w:w="703" w:type="pct"/>
            <w:tcBorders>
              <w:top w:val="nil"/>
              <w:bottom w:val="single" w:sz="8" w:space="0" w:color="7F7F7F" w:themeColor="text1" w:themeTint="80"/>
            </w:tcBorders>
            <w:shd w:val="clear" w:color="auto" w:fill="auto"/>
            <w:vAlign w:val="center"/>
          </w:tcPr>
          <w:p w:rsidR="00CF4BB2" w:rsidRPr="00746D53" w:rsidRDefault="00CF4BB2" w:rsidP="00CF4BB2">
            <w:pPr>
              <w:jc w:val="right"/>
              <w:rPr>
                <w:rFonts w:eastAsia="Times New Roman" w:cs="Times New Roman"/>
                <w:i/>
                <w:lang w:eastAsia="cs-CZ"/>
              </w:rPr>
            </w:pPr>
            <w:r w:rsidRPr="00746D53">
              <w:rPr>
                <w:rFonts w:eastAsia="Times New Roman" w:cs="Times New Roman"/>
                <w:i/>
                <w:lang w:eastAsia="cs-CZ"/>
              </w:rPr>
              <w:t>0</w:t>
            </w:r>
          </w:p>
        </w:tc>
        <w:tc>
          <w:tcPr>
            <w:tcW w:w="625" w:type="pct"/>
            <w:tcBorders>
              <w:top w:val="nil"/>
              <w:bottom w:val="single" w:sz="8" w:space="0" w:color="7F7F7F" w:themeColor="text1" w:themeTint="80"/>
            </w:tcBorders>
            <w:shd w:val="clear" w:color="auto" w:fill="auto"/>
            <w:vAlign w:val="center"/>
          </w:tcPr>
          <w:p w:rsidR="00CF4BB2" w:rsidRPr="00862CD8" w:rsidRDefault="00CF4BB2" w:rsidP="00CF4BB2">
            <w:pPr>
              <w:jc w:val="right"/>
              <w:rPr>
                <w:rFonts w:eastAsia="Times New Roman" w:cs="Times New Roman"/>
                <w:i/>
                <w:lang w:eastAsia="cs-CZ"/>
              </w:rPr>
            </w:pPr>
            <w:r w:rsidRPr="00862CD8">
              <w:rPr>
                <w:rFonts w:eastAsia="Times New Roman" w:cs="Times New Roman"/>
                <w:i/>
                <w:lang w:eastAsia="cs-CZ"/>
              </w:rPr>
              <w:t>0</w:t>
            </w:r>
          </w:p>
        </w:tc>
        <w:tc>
          <w:tcPr>
            <w:tcW w:w="509" w:type="pct"/>
            <w:tcBorders>
              <w:top w:val="nil"/>
              <w:bottom w:val="single" w:sz="8" w:space="0" w:color="7F7F7F" w:themeColor="text1" w:themeTint="80"/>
            </w:tcBorders>
            <w:shd w:val="clear" w:color="auto" w:fill="auto"/>
            <w:vAlign w:val="center"/>
          </w:tcPr>
          <w:p w:rsidR="00CF4BB2" w:rsidRPr="00862CD8" w:rsidRDefault="00CF4BB2" w:rsidP="00CF4BB2">
            <w:pPr>
              <w:jc w:val="right"/>
              <w:rPr>
                <w:rFonts w:eastAsia="Times New Roman" w:cs="Times New Roman"/>
                <w:i/>
                <w:lang w:eastAsia="cs-CZ"/>
              </w:rPr>
            </w:pPr>
            <w:r w:rsidRPr="00862CD8">
              <w:rPr>
                <w:rFonts w:eastAsia="Times New Roman" w:cs="Times New Roman"/>
                <w:i/>
                <w:lang w:eastAsia="cs-CZ"/>
              </w:rPr>
              <w:t>x</w:t>
            </w:r>
          </w:p>
        </w:tc>
      </w:tr>
    </w:tbl>
    <w:p w:rsidR="00CF4BB2" w:rsidRPr="00576843" w:rsidRDefault="00CF4BB2" w:rsidP="00CF4BB2">
      <w:pPr>
        <w:pStyle w:val="Styl1"/>
        <w:rPr>
          <w:color w:val="FF0000"/>
        </w:rPr>
      </w:pPr>
      <w:r w:rsidRPr="00862CD8">
        <w:t>Navrhovaný o</w:t>
      </w:r>
      <w:r>
        <w:t>bjem běžných výdajů pro rok 2021</w:t>
      </w:r>
      <w:r w:rsidRPr="00862CD8">
        <w:t xml:space="preserve"> je totožný s</w:t>
      </w:r>
      <w:r>
        <w:t>e schváleným rozpočtem roku</w:t>
      </w:r>
      <w:r w:rsidRPr="00862CD8">
        <w:t xml:space="preserve"> 2020. </w:t>
      </w:r>
    </w:p>
    <w:p w:rsidR="00CF4BB2" w:rsidRPr="00B23FB0" w:rsidRDefault="00CF4BB2" w:rsidP="00CF4BB2">
      <w:pPr>
        <w:pStyle w:val="Styl1"/>
      </w:pPr>
      <w:r w:rsidRPr="00B23FB0">
        <w:t>Počet zaměstnanců organizace</w:t>
      </w:r>
      <w:r>
        <w:t xml:space="preserve"> je pro rok 2021</w:t>
      </w:r>
      <w:r w:rsidRPr="00B23FB0">
        <w:t xml:space="preserve"> stanoven ve výši 38 zaměstnanců, v tom 38 státních zaměstnanců.</w:t>
      </w:r>
    </w:p>
    <w:p w:rsidR="008C1678" w:rsidRPr="00910074" w:rsidRDefault="00CF4BB2" w:rsidP="00B510CB">
      <w:pPr>
        <w:pStyle w:val="Styl1"/>
      </w:pPr>
      <w:r w:rsidRPr="00B23FB0">
        <w:lastRenderedPageBreak/>
        <w:t xml:space="preserve">Ostatní běžné výdaje jsou ve srovnání s rokem </w:t>
      </w:r>
      <w:r>
        <w:t xml:space="preserve">2020 ve stejné </w:t>
      </w:r>
      <w:r w:rsidRPr="00B23FB0">
        <w:t>výši. V rámci ostatních běžných výdajů činí největší podíl výdaje na nájemné a výdaje na nákup ostatních služeb. Dalšími významnými položkami jsou výdaje na pohonné hmoty a na cest</w:t>
      </w:r>
      <w:r>
        <w:t>ovné; konzultační, poradenské a právní služby;</w:t>
      </w:r>
      <w:r w:rsidRPr="00B23FB0">
        <w:t xml:space="preserve"> v</w:t>
      </w:r>
      <w:r>
        <w:t>ýdaje na telekomunikační služby; na opravy a udržování;</w:t>
      </w:r>
      <w:r w:rsidRPr="00B23FB0">
        <w:t xml:space="preserve"> tj. výdaje přímo související s šetřením mimořádn</w:t>
      </w:r>
      <w:r w:rsidR="00910074">
        <w:t xml:space="preserve">ých událostí v drážní dopravě. </w:t>
      </w:r>
    </w:p>
    <w:p w:rsidR="0057450B" w:rsidRPr="00910074" w:rsidRDefault="0057450B" w:rsidP="00EC0900">
      <w:pPr>
        <w:spacing w:before="240" w:after="80" w:line="240" w:lineRule="auto"/>
        <w:rPr>
          <w:rFonts w:eastAsia="Times New Roman" w:cs="Times New Roman"/>
          <w:b/>
          <w:szCs w:val="24"/>
          <w:u w:val="single"/>
          <w:lang w:eastAsia="cs-CZ"/>
        </w:rPr>
      </w:pPr>
      <w:r w:rsidRPr="00910074">
        <w:rPr>
          <w:rFonts w:eastAsia="Times New Roman" w:cs="Times New Roman"/>
          <w:b/>
          <w:szCs w:val="24"/>
          <w:u w:val="single"/>
          <w:lang w:eastAsia="cs-CZ"/>
        </w:rPr>
        <w:t xml:space="preserve">Ředitelství vodních cest ČR  </w:t>
      </w:r>
    </w:p>
    <w:p w:rsidR="00910074" w:rsidRPr="000A2084" w:rsidRDefault="00910074" w:rsidP="00910074">
      <w:pPr>
        <w:pStyle w:val="Styl1"/>
      </w:pPr>
      <w:r w:rsidRPr="000A2084">
        <w:t>Ředitelství vodních cest ČR je organizační složka státu, která zabezpečuje výstavbu a modernizaci součástí dopravně významných vodních cest a dalších staveb nutných pro provoz na vodních cestách a pro jejich správu a údržbu a pořizování dalšího majetku nutného pro správu a údržbu vodních cest. Vykonává vlastnická práva státu k nemovitostem tvořícím nově zřizované součásti vodních cest, zabezpečuje podklady pro stanovení koncepcí v oblasti vodních cest. Koordinuje provádění velkých oprav s rekonstrukcemi a modernizacemi součástí vodních cest. Dále zajišťuje provoz servisního plavidla v majetku státu, provozuje některé říční přístavy v ČR a hospodaří s majetkem ve vlastnictví a nájmu ČR v přístavním městě Hamburku v SRN.</w:t>
      </w:r>
    </w:p>
    <w:p w:rsidR="00910074" w:rsidRPr="00D17FF5" w:rsidRDefault="00910074" w:rsidP="00910074">
      <w:pPr>
        <w:pStyle w:val="Titulek"/>
        <w:keepNext/>
      </w:pPr>
      <w:r w:rsidRPr="00D17FF5">
        <w:t xml:space="preserve">Tabulka č. </w:t>
      </w:r>
      <w:r w:rsidRPr="00D17FF5">
        <w:rPr>
          <w:noProof/>
        </w:rPr>
        <w:fldChar w:fldCharType="begin"/>
      </w:r>
      <w:r w:rsidRPr="00D17FF5">
        <w:rPr>
          <w:noProof/>
        </w:rPr>
        <w:instrText xml:space="preserve"> SEQ Tabulka \* ARABIC </w:instrText>
      </w:r>
      <w:r w:rsidRPr="00D17FF5">
        <w:rPr>
          <w:noProof/>
        </w:rPr>
        <w:fldChar w:fldCharType="separate"/>
      </w:r>
      <w:r w:rsidR="006076E7">
        <w:rPr>
          <w:noProof/>
        </w:rPr>
        <w:t>14</w:t>
      </w:r>
      <w:r w:rsidRPr="00D17FF5">
        <w:rPr>
          <w:noProof/>
        </w:rPr>
        <w:fldChar w:fldCharType="end"/>
      </w:r>
      <w:r w:rsidRPr="00D17FF5">
        <w:rPr>
          <w:noProof/>
        </w:rPr>
        <w:t xml:space="preserve"> Ředitelství vodních cest ČR – běžné výdaje (v tis. Kč)</w:t>
      </w:r>
    </w:p>
    <w:tbl>
      <w:tblPr>
        <w:tblStyle w:val="Svtltabulkasmkou1zvraznn5"/>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20"/>
        <w:gridCol w:w="1340"/>
        <w:gridCol w:w="1276"/>
        <w:gridCol w:w="1134"/>
        <w:gridCol w:w="992"/>
      </w:tblGrid>
      <w:tr w:rsidR="00910074" w:rsidRPr="00D17FF5" w:rsidTr="00910074">
        <w:tc>
          <w:tcPr>
            <w:tcW w:w="432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D17FF5" w:rsidRDefault="00910074" w:rsidP="00910074">
            <w:pPr>
              <w:jc w:val="center"/>
              <w:rPr>
                <w:rFonts w:eastAsia="Times New Roman" w:cs="Times New Roman"/>
                <w:b/>
                <w:szCs w:val="24"/>
                <w:lang w:eastAsia="cs-CZ"/>
              </w:rPr>
            </w:pPr>
            <w:r w:rsidRPr="00D17FF5">
              <w:rPr>
                <w:rFonts w:eastAsia="Times New Roman" w:cs="Times New Roman"/>
                <w:b/>
                <w:szCs w:val="24"/>
                <w:lang w:eastAsia="cs-CZ"/>
              </w:rPr>
              <w:t>Ukazatel</w:t>
            </w:r>
          </w:p>
        </w:tc>
        <w:tc>
          <w:tcPr>
            <w:tcW w:w="13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D17FF5" w:rsidRDefault="00910074" w:rsidP="00910074">
            <w:pPr>
              <w:jc w:val="center"/>
              <w:rPr>
                <w:rFonts w:eastAsia="Times New Roman" w:cs="Times New Roman"/>
                <w:b/>
                <w:szCs w:val="24"/>
                <w:lang w:eastAsia="cs-CZ"/>
              </w:rPr>
            </w:pPr>
            <w:r w:rsidRPr="00D17FF5">
              <w:rPr>
                <w:rFonts w:eastAsia="Times New Roman" w:cs="Times New Roman"/>
                <w:b/>
                <w:szCs w:val="24"/>
                <w:lang w:eastAsia="cs-CZ"/>
              </w:rPr>
              <w:t>Skutečnost</w:t>
            </w:r>
          </w:p>
          <w:p w:rsidR="00910074" w:rsidRPr="00D17FF5" w:rsidRDefault="00910074" w:rsidP="00910074">
            <w:pPr>
              <w:jc w:val="center"/>
              <w:rPr>
                <w:rFonts w:eastAsia="Times New Roman" w:cs="Times New Roman"/>
                <w:b/>
                <w:szCs w:val="24"/>
                <w:lang w:eastAsia="cs-CZ"/>
              </w:rPr>
            </w:pPr>
            <w:r w:rsidRPr="00D17FF5">
              <w:rPr>
                <w:rFonts w:eastAsia="Times New Roman" w:cs="Times New Roman"/>
                <w:b/>
                <w:szCs w:val="24"/>
                <w:lang w:eastAsia="cs-CZ"/>
              </w:rPr>
              <w:t>2019</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D17FF5" w:rsidRDefault="00910074" w:rsidP="00910074">
            <w:pPr>
              <w:jc w:val="center"/>
              <w:rPr>
                <w:rFonts w:eastAsia="Times New Roman" w:cs="Times New Roman"/>
                <w:b/>
                <w:szCs w:val="24"/>
                <w:lang w:eastAsia="cs-CZ"/>
              </w:rPr>
            </w:pPr>
            <w:r w:rsidRPr="00D17FF5">
              <w:rPr>
                <w:rFonts w:eastAsia="Times New Roman" w:cs="Times New Roman"/>
                <w:b/>
                <w:szCs w:val="24"/>
                <w:lang w:eastAsia="cs-CZ"/>
              </w:rPr>
              <w:t>Schválený</w:t>
            </w:r>
          </w:p>
          <w:p w:rsidR="00910074" w:rsidRPr="00D17FF5" w:rsidRDefault="00910074" w:rsidP="00910074">
            <w:pPr>
              <w:jc w:val="center"/>
              <w:rPr>
                <w:rFonts w:eastAsia="Times New Roman" w:cs="Times New Roman"/>
                <w:b/>
                <w:szCs w:val="24"/>
                <w:lang w:eastAsia="cs-CZ"/>
              </w:rPr>
            </w:pPr>
            <w:r w:rsidRPr="00D17FF5">
              <w:rPr>
                <w:rFonts w:eastAsia="Times New Roman" w:cs="Times New Roman"/>
                <w:b/>
                <w:szCs w:val="24"/>
                <w:lang w:eastAsia="cs-CZ"/>
              </w:rPr>
              <w:t>rozpočet</w:t>
            </w:r>
          </w:p>
          <w:p w:rsidR="00910074" w:rsidRPr="00D17FF5" w:rsidRDefault="00910074" w:rsidP="00910074">
            <w:pPr>
              <w:jc w:val="center"/>
              <w:rPr>
                <w:rFonts w:eastAsia="Times New Roman" w:cs="Times New Roman"/>
                <w:b/>
                <w:szCs w:val="24"/>
                <w:lang w:eastAsia="cs-CZ"/>
              </w:rPr>
            </w:pPr>
            <w:r w:rsidRPr="00D17FF5">
              <w:rPr>
                <w:rFonts w:eastAsia="Times New Roman" w:cs="Times New Roman"/>
                <w:b/>
                <w:szCs w:val="24"/>
                <w:lang w:eastAsia="cs-CZ"/>
              </w:rPr>
              <w:t>2020</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D17FF5" w:rsidRDefault="00910074" w:rsidP="00910074">
            <w:pPr>
              <w:jc w:val="center"/>
              <w:rPr>
                <w:rFonts w:eastAsia="Times New Roman" w:cs="Times New Roman"/>
                <w:b/>
                <w:szCs w:val="24"/>
                <w:lang w:eastAsia="cs-CZ"/>
              </w:rPr>
            </w:pPr>
            <w:r w:rsidRPr="00D17FF5">
              <w:rPr>
                <w:rFonts w:eastAsia="Times New Roman" w:cs="Times New Roman"/>
                <w:b/>
                <w:szCs w:val="24"/>
                <w:lang w:eastAsia="cs-CZ"/>
              </w:rPr>
              <w:t>Návrh</w:t>
            </w:r>
          </w:p>
          <w:p w:rsidR="00910074" w:rsidRPr="00D17FF5" w:rsidRDefault="00910074" w:rsidP="00910074">
            <w:pPr>
              <w:jc w:val="center"/>
              <w:rPr>
                <w:rFonts w:eastAsia="Times New Roman" w:cs="Times New Roman"/>
                <w:b/>
                <w:szCs w:val="24"/>
                <w:lang w:eastAsia="cs-CZ"/>
              </w:rPr>
            </w:pPr>
            <w:r w:rsidRPr="00D17FF5">
              <w:rPr>
                <w:rFonts w:eastAsia="Times New Roman" w:cs="Times New Roman"/>
                <w:b/>
                <w:szCs w:val="24"/>
                <w:lang w:eastAsia="cs-CZ"/>
              </w:rPr>
              <w:t>rozpočtu</w:t>
            </w:r>
          </w:p>
          <w:p w:rsidR="00910074" w:rsidRPr="00D17FF5" w:rsidRDefault="00910074" w:rsidP="00910074">
            <w:pPr>
              <w:jc w:val="center"/>
              <w:rPr>
                <w:rFonts w:eastAsia="Times New Roman" w:cs="Times New Roman"/>
                <w:b/>
                <w:szCs w:val="24"/>
                <w:lang w:eastAsia="cs-CZ"/>
              </w:rPr>
            </w:pPr>
            <w:r w:rsidRPr="00D17FF5">
              <w:rPr>
                <w:rFonts w:eastAsia="Times New Roman" w:cs="Times New Roman"/>
                <w:b/>
                <w:szCs w:val="24"/>
                <w:lang w:eastAsia="cs-CZ"/>
              </w:rPr>
              <w:t>2021</w:t>
            </w:r>
          </w:p>
        </w:tc>
        <w:tc>
          <w:tcPr>
            <w:tcW w:w="99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D17FF5" w:rsidRDefault="00910074" w:rsidP="00910074">
            <w:pPr>
              <w:jc w:val="center"/>
              <w:rPr>
                <w:rFonts w:eastAsia="Times New Roman" w:cs="Times New Roman"/>
                <w:b/>
                <w:szCs w:val="24"/>
                <w:lang w:eastAsia="cs-CZ"/>
              </w:rPr>
            </w:pPr>
            <w:r w:rsidRPr="00D17FF5">
              <w:rPr>
                <w:rFonts w:eastAsia="Times New Roman" w:cs="Times New Roman"/>
                <w:b/>
                <w:szCs w:val="24"/>
                <w:lang w:eastAsia="cs-CZ"/>
              </w:rPr>
              <w:t>Index</w:t>
            </w:r>
          </w:p>
          <w:p w:rsidR="00910074" w:rsidRPr="00D17FF5" w:rsidRDefault="00910074" w:rsidP="00910074">
            <w:pPr>
              <w:jc w:val="center"/>
              <w:rPr>
                <w:rFonts w:eastAsia="Times New Roman" w:cs="Times New Roman"/>
                <w:b/>
                <w:szCs w:val="24"/>
                <w:lang w:eastAsia="cs-CZ"/>
              </w:rPr>
            </w:pPr>
            <w:r w:rsidRPr="00D17FF5">
              <w:rPr>
                <w:rFonts w:eastAsia="Times New Roman" w:cs="Times New Roman"/>
                <w:b/>
                <w:szCs w:val="24"/>
                <w:lang w:eastAsia="cs-CZ"/>
              </w:rPr>
              <w:t>2021/</w:t>
            </w:r>
            <w:r w:rsidRPr="00D17FF5">
              <w:rPr>
                <w:rFonts w:eastAsia="Times New Roman" w:cs="Times New Roman"/>
                <w:b/>
                <w:szCs w:val="24"/>
                <w:lang w:eastAsia="cs-CZ"/>
              </w:rPr>
              <w:br/>
              <w:t xml:space="preserve">2020 </w:t>
            </w:r>
            <w:r w:rsidRPr="00D17FF5">
              <w:rPr>
                <w:rFonts w:eastAsia="Times New Roman" w:cs="Times New Roman"/>
                <w:b/>
                <w:szCs w:val="24"/>
                <w:lang w:eastAsia="cs-CZ"/>
              </w:rPr>
              <w:br/>
              <w:t>(v %)</w:t>
            </w:r>
          </w:p>
        </w:tc>
      </w:tr>
      <w:tr w:rsidR="00910074" w:rsidRPr="00D17FF5" w:rsidTr="00910074">
        <w:tc>
          <w:tcPr>
            <w:tcW w:w="4320" w:type="dxa"/>
            <w:tcBorders>
              <w:top w:val="single" w:sz="4" w:space="0" w:color="7F7F7F" w:themeColor="text1" w:themeTint="80"/>
              <w:bottom w:val="single" w:sz="8" w:space="0" w:color="7F7F7F" w:themeColor="text1" w:themeTint="80"/>
            </w:tcBorders>
            <w:shd w:val="clear" w:color="auto" w:fill="auto"/>
          </w:tcPr>
          <w:p w:rsidR="00910074" w:rsidRPr="00D17FF5" w:rsidRDefault="00910074" w:rsidP="00910074">
            <w:pPr>
              <w:jc w:val="center"/>
              <w:rPr>
                <w:rFonts w:eastAsia="Times New Roman" w:cs="Times New Roman"/>
                <w:szCs w:val="24"/>
                <w:lang w:eastAsia="cs-CZ"/>
              </w:rPr>
            </w:pPr>
            <w:r w:rsidRPr="00D17FF5">
              <w:rPr>
                <w:rFonts w:eastAsia="Times New Roman" w:cs="Times New Roman"/>
                <w:szCs w:val="24"/>
                <w:lang w:eastAsia="cs-CZ"/>
              </w:rPr>
              <w:t>a</w:t>
            </w:r>
          </w:p>
        </w:tc>
        <w:tc>
          <w:tcPr>
            <w:tcW w:w="1340" w:type="dxa"/>
            <w:tcBorders>
              <w:top w:val="single" w:sz="4" w:space="0" w:color="7F7F7F" w:themeColor="text1" w:themeTint="80"/>
              <w:bottom w:val="single" w:sz="8" w:space="0" w:color="7F7F7F" w:themeColor="text1" w:themeTint="80"/>
            </w:tcBorders>
            <w:shd w:val="clear" w:color="auto" w:fill="auto"/>
          </w:tcPr>
          <w:p w:rsidR="00910074" w:rsidRPr="00D17FF5" w:rsidRDefault="00910074" w:rsidP="00910074">
            <w:pPr>
              <w:jc w:val="center"/>
              <w:rPr>
                <w:rFonts w:eastAsia="Times New Roman" w:cs="Times New Roman"/>
                <w:szCs w:val="24"/>
                <w:lang w:eastAsia="cs-CZ"/>
              </w:rPr>
            </w:pPr>
            <w:r w:rsidRPr="00D17FF5">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rsidR="00910074" w:rsidRPr="00D17FF5" w:rsidRDefault="00910074" w:rsidP="00910074">
            <w:pPr>
              <w:jc w:val="center"/>
              <w:rPr>
                <w:rFonts w:eastAsia="Times New Roman" w:cs="Times New Roman"/>
                <w:szCs w:val="24"/>
                <w:lang w:eastAsia="cs-CZ"/>
              </w:rPr>
            </w:pPr>
            <w:r w:rsidRPr="00D17FF5">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rsidR="00910074" w:rsidRPr="00D17FF5" w:rsidRDefault="00910074" w:rsidP="00910074">
            <w:pPr>
              <w:jc w:val="center"/>
              <w:rPr>
                <w:rFonts w:eastAsia="Times New Roman" w:cs="Times New Roman"/>
                <w:szCs w:val="24"/>
                <w:lang w:eastAsia="cs-CZ"/>
              </w:rPr>
            </w:pPr>
            <w:r w:rsidRPr="00D17FF5">
              <w:rPr>
                <w:rFonts w:eastAsia="Times New Roman" w:cs="Times New Roman"/>
                <w:szCs w:val="24"/>
                <w:lang w:eastAsia="cs-CZ"/>
              </w:rPr>
              <w:t>3</w:t>
            </w:r>
          </w:p>
        </w:tc>
        <w:tc>
          <w:tcPr>
            <w:tcW w:w="992" w:type="dxa"/>
            <w:tcBorders>
              <w:top w:val="single" w:sz="4" w:space="0" w:color="7F7F7F" w:themeColor="text1" w:themeTint="80"/>
              <w:bottom w:val="single" w:sz="8" w:space="0" w:color="7F7F7F" w:themeColor="text1" w:themeTint="80"/>
            </w:tcBorders>
            <w:shd w:val="clear" w:color="auto" w:fill="auto"/>
          </w:tcPr>
          <w:p w:rsidR="00910074" w:rsidRPr="00D17FF5" w:rsidRDefault="00910074" w:rsidP="00910074">
            <w:pPr>
              <w:jc w:val="center"/>
              <w:rPr>
                <w:rFonts w:eastAsia="Times New Roman" w:cs="Times New Roman"/>
                <w:szCs w:val="24"/>
                <w:lang w:eastAsia="cs-CZ"/>
              </w:rPr>
            </w:pPr>
            <w:r w:rsidRPr="00D17FF5">
              <w:rPr>
                <w:rFonts w:eastAsia="Times New Roman" w:cs="Times New Roman"/>
                <w:szCs w:val="24"/>
                <w:lang w:eastAsia="cs-CZ"/>
              </w:rPr>
              <w:t>4</w:t>
            </w:r>
          </w:p>
        </w:tc>
      </w:tr>
      <w:tr w:rsidR="00910074" w:rsidRPr="00D17FF5" w:rsidTr="00910074">
        <w:trPr>
          <w:trHeight w:val="468"/>
        </w:trPr>
        <w:tc>
          <w:tcPr>
            <w:tcW w:w="4320" w:type="dxa"/>
            <w:tcBorders>
              <w:top w:val="single" w:sz="8" w:space="0" w:color="7F7F7F" w:themeColor="text1" w:themeTint="80"/>
              <w:bottom w:val="single" w:sz="8" w:space="0" w:color="7F7F7F" w:themeColor="text1" w:themeTint="80"/>
            </w:tcBorders>
            <w:shd w:val="clear" w:color="auto" w:fill="auto"/>
          </w:tcPr>
          <w:p w:rsidR="00910074" w:rsidRPr="00D17FF5" w:rsidRDefault="00910074" w:rsidP="00910074">
            <w:pPr>
              <w:spacing w:before="120"/>
              <w:rPr>
                <w:rFonts w:eastAsia="Times New Roman" w:cs="Times New Roman"/>
                <w:lang w:eastAsia="cs-CZ"/>
              </w:rPr>
            </w:pPr>
            <w:r w:rsidRPr="00D17FF5">
              <w:rPr>
                <w:rFonts w:eastAsia="Times New Roman" w:cs="Times New Roman"/>
                <w:b/>
                <w:bCs/>
                <w:lang w:eastAsia="cs-CZ"/>
              </w:rPr>
              <w:t xml:space="preserve">Běžné výdaje </w:t>
            </w:r>
            <w:r w:rsidRPr="00D17FF5">
              <w:rPr>
                <w:rFonts w:eastAsia="Times New Roman" w:cs="Times New Roman"/>
                <w:lang w:eastAsia="cs-CZ"/>
              </w:rPr>
              <w:t xml:space="preserve">v tom: </w:t>
            </w:r>
          </w:p>
        </w:tc>
        <w:tc>
          <w:tcPr>
            <w:tcW w:w="1340" w:type="dxa"/>
            <w:tcBorders>
              <w:top w:val="single" w:sz="8" w:space="0" w:color="7F7F7F" w:themeColor="text1" w:themeTint="80"/>
              <w:bottom w:val="single" w:sz="8" w:space="0" w:color="7F7F7F" w:themeColor="text1" w:themeTint="80"/>
            </w:tcBorders>
            <w:shd w:val="clear" w:color="auto" w:fill="auto"/>
            <w:vAlign w:val="center"/>
          </w:tcPr>
          <w:p w:rsidR="00910074" w:rsidRPr="00D17FF5" w:rsidRDefault="00910074" w:rsidP="00910074">
            <w:pPr>
              <w:jc w:val="right"/>
              <w:rPr>
                <w:rFonts w:eastAsia="Times New Roman" w:cs="Times New Roman"/>
                <w:b/>
                <w:bCs/>
                <w:lang w:eastAsia="cs-CZ"/>
              </w:rPr>
            </w:pPr>
            <w:r w:rsidRPr="00D17FF5">
              <w:rPr>
                <w:rFonts w:eastAsia="Times New Roman" w:cs="Times New Roman"/>
                <w:b/>
                <w:bCs/>
                <w:lang w:eastAsia="cs-CZ"/>
              </w:rPr>
              <w:t>42 468</w:t>
            </w:r>
          </w:p>
        </w:tc>
        <w:tc>
          <w:tcPr>
            <w:tcW w:w="1276" w:type="dxa"/>
            <w:tcBorders>
              <w:top w:val="single" w:sz="8" w:space="0" w:color="7F7F7F" w:themeColor="text1" w:themeTint="80"/>
              <w:bottom w:val="single" w:sz="8" w:space="0" w:color="7F7F7F" w:themeColor="text1" w:themeTint="80"/>
            </w:tcBorders>
            <w:shd w:val="clear" w:color="auto" w:fill="auto"/>
          </w:tcPr>
          <w:p w:rsidR="00910074" w:rsidRPr="00D17FF5" w:rsidRDefault="00910074" w:rsidP="00910074">
            <w:pPr>
              <w:spacing w:before="120"/>
              <w:jc w:val="right"/>
              <w:rPr>
                <w:rFonts w:eastAsia="Times New Roman" w:cs="Times New Roman"/>
                <w:b/>
                <w:bCs/>
                <w:lang w:eastAsia="cs-CZ"/>
              </w:rPr>
            </w:pPr>
            <w:r w:rsidRPr="00D17FF5">
              <w:rPr>
                <w:rFonts w:eastAsia="Times New Roman" w:cs="Times New Roman"/>
                <w:b/>
                <w:bCs/>
                <w:lang w:eastAsia="cs-CZ"/>
              </w:rPr>
              <w:t>23 271</w:t>
            </w:r>
          </w:p>
        </w:tc>
        <w:tc>
          <w:tcPr>
            <w:tcW w:w="1134" w:type="dxa"/>
            <w:tcBorders>
              <w:top w:val="single" w:sz="8" w:space="0" w:color="7F7F7F" w:themeColor="text1" w:themeTint="80"/>
              <w:bottom w:val="single" w:sz="8" w:space="0" w:color="7F7F7F" w:themeColor="text1" w:themeTint="80"/>
            </w:tcBorders>
            <w:shd w:val="clear" w:color="auto" w:fill="auto"/>
          </w:tcPr>
          <w:p w:rsidR="00910074" w:rsidRPr="00D17FF5" w:rsidRDefault="00910074" w:rsidP="00910074">
            <w:pPr>
              <w:spacing w:before="120"/>
              <w:jc w:val="right"/>
              <w:rPr>
                <w:rFonts w:eastAsia="Times New Roman" w:cs="Times New Roman"/>
                <w:b/>
                <w:bCs/>
                <w:lang w:eastAsia="cs-CZ"/>
              </w:rPr>
            </w:pPr>
            <w:r w:rsidRPr="00D17FF5">
              <w:rPr>
                <w:rFonts w:eastAsia="Times New Roman" w:cs="Times New Roman"/>
                <w:b/>
                <w:bCs/>
                <w:lang w:eastAsia="cs-CZ"/>
              </w:rPr>
              <w:t>23 271</w:t>
            </w:r>
          </w:p>
        </w:tc>
        <w:tc>
          <w:tcPr>
            <w:tcW w:w="992" w:type="dxa"/>
            <w:tcBorders>
              <w:top w:val="single" w:sz="8" w:space="0" w:color="7F7F7F" w:themeColor="text1" w:themeTint="80"/>
              <w:bottom w:val="single" w:sz="8" w:space="0" w:color="7F7F7F" w:themeColor="text1" w:themeTint="80"/>
            </w:tcBorders>
            <w:shd w:val="clear" w:color="auto" w:fill="auto"/>
          </w:tcPr>
          <w:p w:rsidR="00910074" w:rsidRPr="00D17FF5" w:rsidRDefault="00910074" w:rsidP="00910074">
            <w:pPr>
              <w:spacing w:before="120"/>
              <w:jc w:val="right"/>
              <w:rPr>
                <w:rFonts w:eastAsia="Times New Roman" w:cs="Times New Roman"/>
                <w:b/>
                <w:bCs/>
                <w:lang w:eastAsia="cs-CZ"/>
              </w:rPr>
            </w:pPr>
            <w:r w:rsidRPr="00D17FF5">
              <w:rPr>
                <w:rFonts w:eastAsia="Times New Roman" w:cs="Times New Roman"/>
                <w:b/>
                <w:bCs/>
                <w:lang w:eastAsia="cs-CZ"/>
              </w:rPr>
              <w:t>100,00</w:t>
            </w:r>
          </w:p>
        </w:tc>
      </w:tr>
      <w:tr w:rsidR="00910074" w:rsidRPr="00D17FF5" w:rsidTr="00910074">
        <w:tc>
          <w:tcPr>
            <w:tcW w:w="4320" w:type="dxa"/>
            <w:tcBorders>
              <w:top w:val="single" w:sz="8" w:space="0" w:color="7F7F7F" w:themeColor="text1" w:themeTint="80"/>
              <w:bottom w:val="nil"/>
            </w:tcBorders>
            <w:shd w:val="clear" w:color="auto" w:fill="auto"/>
          </w:tcPr>
          <w:p w:rsidR="00910074" w:rsidRPr="00D17FF5" w:rsidRDefault="00910074" w:rsidP="00910074">
            <w:pPr>
              <w:rPr>
                <w:rFonts w:eastAsia="Times New Roman" w:cs="Times New Roman"/>
                <w:lang w:eastAsia="cs-CZ"/>
              </w:rPr>
            </w:pPr>
            <w:r w:rsidRPr="00D17FF5">
              <w:rPr>
                <w:rFonts w:eastAsia="Times New Roman" w:cs="Times New Roman"/>
                <w:lang w:eastAsia="cs-CZ"/>
              </w:rPr>
              <w:t>platy zaměstnanců a ostatní platby</w:t>
            </w:r>
          </w:p>
          <w:p w:rsidR="00910074" w:rsidRPr="00D17FF5" w:rsidRDefault="00910074" w:rsidP="00910074">
            <w:pPr>
              <w:rPr>
                <w:rFonts w:eastAsia="Times New Roman" w:cs="Times New Roman"/>
                <w:lang w:eastAsia="cs-CZ"/>
              </w:rPr>
            </w:pPr>
            <w:r w:rsidRPr="00D17FF5">
              <w:rPr>
                <w:rFonts w:eastAsia="Times New Roman" w:cs="Times New Roman"/>
                <w:lang w:eastAsia="cs-CZ"/>
              </w:rPr>
              <w:t>za provedenou práci</w:t>
            </w:r>
          </w:p>
        </w:tc>
        <w:tc>
          <w:tcPr>
            <w:tcW w:w="1340" w:type="dxa"/>
            <w:tcBorders>
              <w:top w:val="single" w:sz="8" w:space="0" w:color="7F7F7F" w:themeColor="text1" w:themeTint="80"/>
              <w:bottom w:val="nil"/>
            </w:tcBorders>
            <w:shd w:val="clear" w:color="auto" w:fill="auto"/>
            <w:vAlign w:val="center"/>
          </w:tcPr>
          <w:p w:rsidR="00910074" w:rsidRPr="00D17FF5" w:rsidRDefault="00910074" w:rsidP="00910074">
            <w:pPr>
              <w:jc w:val="right"/>
              <w:rPr>
                <w:rFonts w:eastAsia="Times New Roman" w:cs="Times New Roman"/>
                <w:lang w:eastAsia="cs-CZ"/>
              </w:rPr>
            </w:pPr>
            <w:r w:rsidRPr="00D17FF5">
              <w:rPr>
                <w:rFonts w:eastAsia="Times New Roman" w:cs="Times New Roman"/>
                <w:lang w:eastAsia="cs-CZ"/>
              </w:rPr>
              <w:t>6 638</w:t>
            </w:r>
          </w:p>
        </w:tc>
        <w:tc>
          <w:tcPr>
            <w:tcW w:w="1276" w:type="dxa"/>
            <w:tcBorders>
              <w:top w:val="single" w:sz="8" w:space="0" w:color="7F7F7F" w:themeColor="text1" w:themeTint="80"/>
              <w:bottom w:val="nil"/>
            </w:tcBorders>
            <w:shd w:val="clear" w:color="auto" w:fill="auto"/>
            <w:vAlign w:val="center"/>
          </w:tcPr>
          <w:p w:rsidR="00910074" w:rsidRPr="00D17FF5" w:rsidRDefault="00910074" w:rsidP="00910074">
            <w:pPr>
              <w:spacing w:before="120"/>
              <w:jc w:val="right"/>
              <w:rPr>
                <w:rFonts w:eastAsia="Times New Roman" w:cs="Times New Roman"/>
                <w:lang w:eastAsia="cs-CZ"/>
              </w:rPr>
            </w:pPr>
            <w:r w:rsidRPr="00D17FF5">
              <w:rPr>
                <w:rFonts w:eastAsia="Times New Roman" w:cs="Times New Roman"/>
                <w:lang w:eastAsia="cs-CZ"/>
              </w:rPr>
              <w:t>6 943</w:t>
            </w:r>
          </w:p>
        </w:tc>
        <w:tc>
          <w:tcPr>
            <w:tcW w:w="1134" w:type="dxa"/>
            <w:tcBorders>
              <w:top w:val="single" w:sz="8" w:space="0" w:color="7F7F7F" w:themeColor="text1" w:themeTint="80"/>
              <w:bottom w:val="nil"/>
            </w:tcBorders>
            <w:shd w:val="clear" w:color="auto" w:fill="auto"/>
            <w:vAlign w:val="center"/>
          </w:tcPr>
          <w:p w:rsidR="00910074" w:rsidRPr="00D17FF5" w:rsidRDefault="00910074" w:rsidP="00910074">
            <w:pPr>
              <w:spacing w:before="120"/>
              <w:jc w:val="right"/>
              <w:rPr>
                <w:rFonts w:eastAsia="Times New Roman" w:cs="Times New Roman"/>
                <w:lang w:eastAsia="cs-CZ"/>
              </w:rPr>
            </w:pPr>
            <w:r w:rsidRPr="00D17FF5">
              <w:rPr>
                <w:rFonts w:eastAsia="Times New Roman" w:cs="Times New Roman"/>
                <w:lang w:eastAsia="cs-CZ"/>
              </w:rPr>
              <w:t>6 943</w:t>
            </w:r>
          </w:p>
        </w:tc>
        <w:tc>
          <w:tcPr>
            <w:tcW w:w="992" w:type="dxa"/>
            <w:tcBorders>
              <w:top w:val="single" w:sz="8" w:space="0" w:color="7F7F7F" w:themeColor="text1" w:themeTint="80"/>
              <w:bottom w:val="nil"/>
            </w:tcBorders>
            <w:shd w:val="clear" w:color="auto" w:fill="auto"/>
            <w:vAlign w:val="center"/>
          </w:tcPr>
          <w:p w:rsidR="00910074" w:rsidRPr="00D17FF5" w:rsidRDefault="00910074" w:rsidP="00910074">
            <w:pPr>
              <w:spacing w:before="120"/>
              <w:jc w:val="right"/>
              <w:rPr>
                <w:rFonts w:eastAsia="Times New Roman" w:cs="Times New Roman"/>
                <w:lang w:eastAsia="cs-CZ"/>
              </w:rPr>
            </w:pPr>
            <w:r w:rsidRPr="00D17FF5">
              <w:rPr>
                <w:rFonts w:eastAsia="Times New Roman" w:cs="Times New Roman"/>
                <w:lang w:eastAsia="cs-CZ"/>
              </w:rPr>
              <w:t>100,00</w:t>
            </w:r>
          </w:p>
        </w:tc>
      </w:tr>
      <w:tr w:rsidR="00910074" w:rsidRPr="00D17FF5" w:rsidTr="00910074">
        <w:tc>
          <w:tcPr>
            <w:tcW w:w="4320" w:type="dxa"/>
            <w:tcBorders>
              <w:top w:val="single" w:sz="4" w:space="0" w:color="7F7F7F" w:themeColor="text1" w:themeTint="80"/>
              <w:bottom w:val="nil"/>
            </w:tcBorders>
            <w:shd w:val="clear" w:color="auto" w:fill="auto"/>
          </w:tcPr>
          <w:p w:rsidR="00910074" w:rsidRPr="00D17FF5" w:rsidRDefault="00910074" w:rsidP="00910074">
            <w:pPr>
              <w:rPr>
                <w:rFonts w:eastAsia="Times New Roman" w:cs="Times New Roman"/>
                <w:lang w:eastAsia="cs-CZ"/>
              </w:rPr>
            </w:pPr>
            <w:r w:rsidRPr="00D17FF5">
              <w:rPr>
                <w:rFonts w:eastAsia="Times New Roman" w:cs="Times New Roman"/>
                <w:lang w:eastAsia="cs-CZ"/>
              </w:rPr>
              <w:t>povinné pojistné placené zaměstnavatelem</w:t>
            </w:r>
          </w:p>
        </w:tc>
        <w:tc>
          <w:tcPr>
            <w:tcW w:w="1340" w:type="dxa"/>
            <w:tcBorders>
              <w:top w:val="single" w:sz="4" w:space="0" w:color="7F7F7F" w:themeColor="text1" w:themeTint="80"/>
              <w:bottom w:val="nil"/>
            </w:tcBorders>
            <w:shd w:val="clear" w:color="auto" w:fill="auto"/>
            <w:vAlign w:val="center"/>
          </w:tcPr>
          <w:p w:rsidR="00910074" w:rsidRPr="00D17FF5" w:rsidRDefault="00910074" w:rsidP="00910074">
            <w:pPr>
              <w:jc w:val="right"/>
              <w:rPr>
                <w:rFonts w:eastAsia="Times New Roman" w:cs="Times New Roman"/>
                <w:lang w:eastAsia="cs-CZ"/>
              </w:rPr>
            </w:pPr>
            <w:r w:rsidRPr="00D17FF5">
              <w:rPr>
                <w:rFonts w:eastAsia="Times New Roman" w:cs="Times New Roman"/>
                <w:lang w:eastAsia="cs-CZ"/>
              </w:rPr>
              <w:t>2 259</w:t>
            </w:r>
          </w:p>
        </w:tc>
        <w:tc>
          <w:tcPr>
            <w:tcW w:w="1276" w:type="dxa"/>
            <w:tcBorders>
              <w:top w:val="single" w:sz="4" w:space="0" w:color="7F7F7F" w:themeColor="text1" w:themeTint="80"/>
              <w:bottom w:val="nil"/>
            </w:tcBorders>
            <w:shd w:val="clear" w:color="auto" w:fill="auto"/>
          </w:tcPr>
          <w:p w:rsidR="00910074" w:rsidRPr="00D17FF5" w:rsidRDefault="00910074" w:rsidP="00910074">
            <w:pPr>
              <w:jc w:val="right"/>
              <w:rPr>
                <w:rFonts w:eastAsia="Times New Roman" w:cs="Times New Roman"/>
                <w:lang w:eastAsia="cs-CZ"/>
              </w:rPr>
            </w:pPr>
            <w:r w:rsidRPr="00D17FF5">
              <w:rPr>
                <w:rFonts w:eastAsia="Times New Roman" w:cs="Times New Roman"/>
                <w:lang w:eastAsia="cs-CZ"/>
              </w:rPr>
              <w:t>2 347</w:t>
            </w:r>
          </w:p>
        </w:tc>
        <w:tc>
          <w:tcPr>
            <w:tcW w:w="1134" w:type="dxa"/>
            <w:tcBorders>
              <w:top w:val="single" w:sz="4" w:space="0" w:color="7F7F7F" w:themeColor="text1" w:themeTint="80"/>
              <w:bottom w:val="nil"/>
            </w:tcBorders>
            <w:shd w:val="clear" w:color="auto" w:fill="auto"/>
          </w:tcPr>
          <w:p w:rsidR="00910074" w:rsidRPr="00D17FF5" w:rsidRDefault="00910074" w:rsidP="00910074">
            <w:pPr>
              <w:jc w:val="right"/>
              <w:rPr>
                <w:rFonts w:eastAsia="Times New Roman" w:cs="Times New Roman"/>
                <w:lang w:eastAsia="cs-CZ"/>
              </w:rPr>
            </w:pPr>
            <w:r w:rsidRPr="00D17FF5">
              <w:rPr>
                <w:rFonts w:eastAsia="Times New Roman" w:cs="Times New Roman"/>
                <w:lang w:eastAsia="cs-CZ"/>
              </w:rPr>
              <w:t>2 347</w:t>
            </w:r>
          </w:p>
        </w:tc>
        <w:tc>
          <w:tcPr>
            <w:tcW w:w="992" w:type="dxa"/>
            <w:tcBorders>
              <w:top w:val="single" w:sz="4" w:space="0" w:color="7F7F7F" w:themeColor="text1" w:themeTint="80"/>
              <w:bottom w:val="nil"/>
            </w:tcBorders>
            <w:shd w:val="clear" w:color="auto" w:fill="auto"/>
          </w:tcPr>
          <w:p w:rsidR="00910074" w:rsidRPr="00D17FF5" w:rsidRDefault="00910074" w:rsidP="00910074">
            <w:pPr>
              <w:jc w:val="right"/>
              <w:rPr>
                <w:rFonts w:eastAsia="Times New Roman" w:cs="Times New Roman"/>
                <w:lang w:eastAsia="cs-CZ"/>
              </w:rPr>
            </w:pPr>
            <w:r w:rsidRPr="00D17FF5">
              <w:rPr>
                <w:rFonts w:eastAsia="Times New Roman" w:cs="Times New Roman"/>
                <w:lang w:eastAsia="cs-CZ"/>
              </w:rPr>
              <w:t>100,00</w:t>
            </w:r>
          </w:p>
        </w:tc>
      </w:tr>
      <w:tr w:rsidR="00910074" w:rsidRPr="00D17FF5" w:rsidTr="00910074">
        <w:tc>
          <w:tcPr>
            <w:tcW w:w="4320" w:type="dxa"/>
            <w:tcBorders>
              <w:top w:val="single" w:sz="4" w:space="0" w:color="7F7F7F" w:themeColor="text1" w:themeTint="80"/>
              <w:bottom w:val="nil"/>
            </w:tcBorders>
            <w:shd w:val="clear" w:color="auto" w:fill="auto"/>
          </w:tcPr>
          <w:p w:rsidR="00910074" w:rsidRPr="00D17FF5" w:rsidRDefault="00910074" w:rsidP="00910074">
            <w:pPr>
              <w:rPr>
                <w:rFonts w:eastAsia="Times New Roman" w:cs="Times New Roman"/>
                <w:lang w:eastAsia="cs-CZ"/>
              </w:rPr>
            </w:pPr>
            <w:r w:rsidRPr="00D17FF5">
              <w:rPr>
                <w:rFonts w:eastAsia="Times New Roman" w:cs="Times New Roman"/>
                <w:lang w:eastAsia="cs-CZ"/>
              </w:rPr>
              <w:t>příděl FKSP</w:t>
            </w:r>
          </w:p>
        </w:tc>
        <w:tc>
          <w:tcPr>
            <w:tcW w:w="1340" w:type="dxa"/>
            <w:tcBorders>
              <w:top w:val="single" w:sz="4" w:space="0" w:color="7F7F7F" w:themeColor="text1" w:themeTint="80"/>
              <w:bottom w:val="nil"/>
            </w:tcBorders>
            <w:shd w:val="clear" w:color="auto" w:fill="auto"/>
            <w:vAlign w:val="center"/>
          </w:tcPr>
          <w:p w:rsidR="00910074" w:rsidRPr="00D17FF5" w:rsidRDefault="00910074" w:rsidP="00910074">
            <w:pPr>
              <w:jc w:val="right"/>
              <w:rPr>
                <w:rFonts w:eastAsia="Times New Roman" w:cs="Times New Roman"/>
                <w:lang w:eastAsia="cs-CZ"/>
              </w:rPr>
            </w:pPr>
            <w:r w:rsidRPr="00D17FF5">
              <w:rPr>
                <w:rFonts w:eastAsia="Times New Roman" w:cs="Times New Roman"/>
                <w:lang w:eastAsia="cs-CZ"/>
              </w:rPr>
              <w:t>132</w:t>
            </w:r>
          </w:p>
        </w:tc>
        <w:tc>
          <w:tcPr>
            <w:tcW w:w="1276" w:type="dxa"/>
            <w:tcBorders>
              <w:top w:val="single" w:sz="4" w:space="0" w:color="7F7F7F" w:themeColor="text1" w:themeTint="80"/>
              <w:bottom w:val="nil"/>
            </w:tcBorders>
            <w:shd w:val="clear" w:color="auto" w:fill="auto"/>
          </w:tcPr>
          <w:p w:rsidR="00910074" w:rsidRPr="00D17FF5" w:rsidRDefault="00910074" w:rsidP="00910074">
            <w:pPr>
              <w:jc w:val="right"/>
              <w:rPr>
                <w:rFonts w:eastAsia="Times New Roman" w:cs="Times New Roman"/>
                <w:lang w:eastAsia="cs-CZ"/>
              </w:rPr>
            </w:pPr>
            <w:r w:rsidRPr="00D17FF5">
              <w:rPr>
                <w:rFonts w:eastAsia="Times New Roman" w:cs="Times New Roman"/>
                <w:lang w:eastAsia="cs-CZ"/>
              </w:rPr>
              <w:t>138</w:t>
            </w:r>
          </w:p>
        </w:tc>
        <w:tc>
          <w:tcPr>
            <w:tcW w:w="1134" w:type="dxa"/>
            <w:tcBorders>
              <w:top w:val="single" w:sz="4" w:space="0" w:color="7F7F7F" w:themeColor="text1" w:themeTint="80"/>
              <w:bottom w:val="nil"/>
            </w:tcBorders>
            <w:shd w:val="clear" w:color="auto" w:fill="auto"/>
          </w:tcPr>
          <w:p w:rsidR="00910074" w:rsidRPr="00D17FF5" w:rsidRDefault="00910074" w:rsidP="00910074">
            <w:pPr>
              <w:jc w:val="right"/>
              <w:rPr>
                <w:rFonts w:eastAsia="Times New Roman" w:cs="Times New Roman"/>
                <w:lang w:eastAsia="cs-CZ"/>
              </w:rPr>
            </w:pPr>
            <w:r w:rsidRPr="00D17FF5">
              <w:rPr>
                <w:rFonts w:eastAsia="Times New Roman" w:cs="Times New Roman"/>
                <w:lang w:eastAsia="cs-CZ"/>
              </w:rPr>
              <w:t>138</w:t>
            </w:r>
          </w:p>
        </w:tc>
        <w:tc>
          <w:tcPr>
            <w:tcW w:w="992" w:type="dxa"/>
            <w:tcBorders>
              <w:top w:val="single" w:sz="4" w:space="0" w:color="7F7F7F" w:themeColor="text1" w:themeTint="80"/>
              <w:bottom w:val="nil"/>
            </w:tcBorders>
            <w:shd w:val="clear" w:color="auto" w:fill="auto"/>
          </w:tcPr>
          <w:p w:rsidR="00910074" w:rsidRPr="00D17FF5" w:rsidRDefault="00910074" w:rsidP="00910074">
            <w:pPr>
              <w:jc w:val="right"/>
              <w:rPr>
                <w:rFonts w:eastAsia="Times New Roman" w:cs="Times New Roman"/>
                <w:lang w:eastAsia="cs-CZ"/>
              </w:rPr>
            </w:pPr>
            <w:r w:rsidRPr="00D17FF5">
              <w:rPr>
                <w:rFonts w:eastAsia="Times New Roman" w:cs="Times New Roman"/>
                <w:lang w:eastAsia="cs-CZ"/>
              </w:rPr>
              <w:t>100,00</w:t>
            </w:r>
          </w:p>
        </w:tc>
      </w:tr>
      <w:tr w:rsidR="00910074" w:rsidRPr="00D17FF5" w:rsidTr="00910074">
        <w:tc>
          <w:tcPr>
            <w:tcW w:w="4320" w:type="dxa"/>
            <w:tcBorders>
              <w:top w:val="single" w:sz="4" w:space="0" w:color="7F7F7F" w:themeColor="text1" w:themeTint="80"/>
              <w:bottom w:val="nil"/>
            </w:tcBorders>
            <w:shd w:val="clear" w:color="auto" w:fill="auto"/>
          </w:tcPr>
          <w:p w:rsidR="00910074" w:rsidRPr="00D17FF5" w:rsidRDefault="00910074" w:rsidP="00910074">
            <w:pPr>
              <w:rPr>
                <w:rFonts w:eastAsia="Times New Roman" w:cs="Times New Roman"/>
                <w:lang w:eastAsia="cs-CZ"/>
              </w:rPr>
            </w:pPr>
            <w:r w:rsidRPr="00D17FF5">
              <w:rPr>
                <w:rFonts w:eastAsia="Times New Roman" w:cs="Times New Roman"/>
                <w:lang w:eastAsia="cs-CZ"/>
              </w:rPr>
              <w:t>ostatní neinvestiční nákupy a související výdaje</w:t>
            </w:r>
          </w:p>
        </w:tc>
        <w:tc>
          <w:tcPr>
            <w:tcW w:w="1340" w:type="dxa"/>
            <w:tcBorders>
              <w:top w:val="single" w:sz="4" w:space="0" w:color="7F7F7F" w:themeColor="text1" w:themeTint="80"/>
              <w:bottom w:val="nil"/>
            </w:tcBorders>
            <w:shd w:val="clear" w:color="auto" w:fill="auto"/>
            <w:vAlign w:val="center"/>
          </w:tcPr>
          <w:p w:rsidR="00910074" w:rsidRPr="00D17FF5" w:rsidRDefault="00910074" w:rsidP="00910074">
            <w:pPr>
              <w:jc w:val="right"/>
              <w:rPr>
                <w:rFonts w:eastAsia="Times New Roman" w:cs="Times New Roman"/>
                <w:lang w:eastAsia="cs-CZ"/>
              </w:rPr>
            </w:pPr>
            <w:r w:rsidRPr="00D17FF5">
              <w:rPr>
                <w:rFonts w:eastAsia="Times New Roman" w:cs="Times New Roman"/>
                <w:lang w:eastAsia="cs-CZ"/>
              </w:rPr>
              <w:t>33 439</w:t>
            </w:r>
          </w:p>
        </w:tc>
        <w:tc>
          <w:tcPr>
            <w:tcW w:w="1276" w:type="dxa"/>
            <w:tcBorders>
              <w:top w:val="single" w:sz="4" w:space="0" w:color="7F7F7F" w:themeColor="text1" w:themeTint="80"/>
              <w:bottom w:val="nil"/>
            </w:tcBorders>
            <w:shd w:val="clear" w:color="auto" w:fill="auto"/>
          </w:tcPr>
          <w:p w:rsidR="00910074" w:rsidRPr="00D17FF5" w:rsidRDefault="00910074" w:rsidP="00910074">
            <w:pPr>
              <w:jc w:val="right"/>
              <w:rPr>
                <w:rFonts w:eastAsia="Times New Roman" w:cs="Times New Roman"/>
                <w:lang w:eastAsia="cs-CZ"/>
              </w:rPr>
            </w:pPr>
            <w:r w:rsidRPr="00D17FF5">
              <w:rPr>
                <w:rFonts w:eastAsia="Times New Roman" w:cs="Times New Roman"/>
                <w:lang w:eastAsia="cs-CZ"/>
              </w:rPr>
              <w:t>13 843</w:t>
            </w:r>
          </w:p>
        </w:tc>
        <w:tc>
          <w:tcPr>
            <w:tcW w:w="1134" w:type="dxa"/>
            <w:tcBorders>
              <w:top w:val="single" w:sz="4" w:space="0" w:color="7F7F7F" w:themeColor="text1" w:themeTint="80"/>
              <w:bottom w:val="nil"/>
            </w:tcBorders>
            <w:shd w:val="clear" w:color="auto" w:fill="auto"/>
          </w:tcPr>
          <w:p w:rsidR="00910074" w:rsidRPr="00D17FF5" w:rsidRDefault="00910074" w:rsidP="00910074">
            <w:pPr>
              <w:jc w:val="right"/>
              <w:rPr>
                <w:rFonts w:eastAsia="Times New Roman" w:cs="Times New Roman"/>
                <w:lang w:eastAsia="cs-CZ"/>
              </w:rPr>
            </w:pPr>
            <w:r w:rsidRPr="00D17FF5">
              <w:rPr>
                <w:rFonts w:eastAsia="Times New Roman" w:cs="Times New Roman"/>
                <w:lang w:eastAsia="cs-CZ"/>
              </w:rPr>
              <w:t>13 843</w:t>
            </w:r>
          </w:p>
        </w:tc>
        <w:tc>
          <w:tcPr>
            <w:tcW w:w="992" w:type="dxa"/>
            <w:tcBorders>
              <w:top w:val="single" w:sz="4" w:space="0" w:color="7F7F7F" w:themeColor="text1" w:themeTint="80"/>
              <w:bottom w:val="nil"/>
            </w:tcBorders>
            <w:shd w:val="clear" w:color="auto" w:fill="auto"/>
          </w:tcPr>
          <w:p w:rsidR="00910074" w:rsidRPr="00D17FF5" w:rsidRDefault="00910074" w:rsidP="00910074">
            <w:pPr>
              <w:jc w:val="right"/>
              <w:rPr>
                <w:rFonts w:eastAsia="Times New Roman" w:cs="Times New Roman"/>
                <w:lang w:eastAsia="cs-CZ"/>
              </w:rPr>
            </w:pPr>
            <w:r w:rsidRPr="00D17FF5">
              <w:rPr>
                <w:rFonts w:eastAsia="Times New Roman" w:cs="Times New Roman"/>
                <w:lang w:eastAsia="cs-CZ"/>
              </w:rPr>
              <w:t>100,00</w:t>
            </w:r>
          </w:p>
        </w:tc>
      </w:tr>
      <w:tr w:rsidR="00910074" w:rsidRPr="00D17FF5" w:rsidTr="00910074">
        <w:tc>
          <w:tcPr>
            <w:tcW w:w="4320" w:type="dxa"/>
            <w:tcBorders>
              <w:top w:val="nil"/>
              <w:bottom w:val="single" w:sz="4" w:space="0" w:color="auto"/>
            </w:tcBorders>
            <w:shd w:val="clear" w:color="auto" w:fill="auto"/>
          </w:tcPr>
          <w:p w:rsidR="00910074" w:rsidRPr="00D17FF5" w:rsidRDefault="00910074" w:rsidP="005974F4">
            <w:pPr>
              <w:jc w:val="left"/>
              <w:rPr>
                <w:rFonts w:eastAsia="Times New Roman" w:cs="Times New Roman"/>
                <w:i/>
                <w:lang w:eastAsia="cs-CZ"/>
              </w:rPr>
            </w:pPr>
            <w:r w:rsidRPr="00D17FF5">
              <w:rPr>
                <w:rFonts w:eastAsia="Times New Roman" w:cs="Times New Roman"/>
                <w:i/>
                <w:lang w:eastAsia="cs-CZ"/>
              </w:rPr>
              <w:t>z toho: programové financování (EDS/SMVS)</w:t>
            </w:r>
          </w:p>
        </w:tc>
        <w:tc>
          <w:tcPr>
            <w:tcW w:w="1340" w:type="dxa"/>
            <w:tcBorders>
              <w:top w:val="nil"/>
              <w:bottom w:val="single" w:sz="4" w:space="0" w:color="auto"/>
            </w:tcBorders>
            <w:shd w:val="clear" w:color="auto" w:fill="auto"/>
            <w:vAlign w:val="center"/>
          </w:tcPr>
          <w:p w:rsidR="00910074" w:rsidRPr="00D17FF5" w:rsidRDefault="00910074" w:rsidP="00910074">
            <w:pPr>
              <w:jc w:val="right"/>
              <w:rPr>
                <w:rFonts w:eastAsia="Times New Roman" w:cs="Times New Roman"/>
                <w:i/>
                <w:lang w:eastAsia="cs-CZ"/>
              </w:rPr>
            </w:pPr>
            <w:r w:rsidRPr="00D17FF5">
              <w:rPr>
                <w:rFonts w:eastAsia="Times New Roman" w:cs="Times New Roman"/>
                <w:i/>
                <w:lang w:eastAsia="cs-CZ"/>
              </w:rPr>
              <w:t>0</w:t>
            </w:r>
          </w:p>
        </w:tc>
        <w:tc>
          <w:tcPr>
            <w:tcW w:w="1276" w:type="dxa"/>
            <w:tcBorders>
              <w:top w:val="nil"/>
              <w:bottom w:val="single" w:sz="4" w:space="0" w:color="auto"/>
            </w:tcBorders>
            <w:shd w:val="clear" w:color="auto" w:fill="auto"/>
            <w:vAlign w:val="center"/>
          </w:tcPr>
          <w:p w:rsidR="00910074" w:rsidRPr="00D17FF5" w:rsidRDefault="00910074" w:rsidP="00910074">
            <w:pPr>
              <w:jc w:val="right"/>
              <w:rPr>
                <w:rFonts w:eastAsia="Times New Roman" w:cs="Times New Roman"/>
                <w:i/>
                <w:lang w:eastAsia="cs-CZ"/>
              </w:rPr>
            </w:pPr>
            <w:r w:rsidRPr="00D17FF5">
              <w:rPr>
                <w:rFonts w:eastAsia="Times New Roman" w:cs="Times New Roman"/>
                <w:i/>
                <w:lang w:eastAsia="cs-CZ"/>
              </w:rPr>
              <w:t>0</w:t>
            </w:r>
          </w:p>
        </w:tc>
        <w:tc>
          <w:tcPr>
            <w:tcW w:w="1134" w:type="dxa"/>
            <w:tcBorders>
              <w:top w:val="nil"/>
              <w:bottom w:val="single" w:sz="4" w:space="0" w:color="auto"/>
            </w:tcBorders>
            <w:shd w:val="clear" w:color="auto" w:fill="auto"/>
            <w:vAlign w:val="center"/>
          </w:tcPr>
          <w:p w:rsidR="00910074" w:rsidRPr="00D17FF5" w:rsidRDefault="00910074" w:rsidP="00910074">
            <w:pPr>
              <w:jc w:val="right"/>
              <w:rPr>
                <w:rFonts w:eastAsia="Times New Roman" w:cs="Times New Roman"/>
                <w:i/>
                <w:lang w:eastAsia="cs-CZ"/>
              </w:rPr>
            </w:pPr>
            <w:r w:rsidRPr="00D17FF5">
              <w:rPr>
                <w:rFonts w:eastAsia="Times New Roman" w:cs="Times New Roman"/>
                <w:i/>
                <w:lang w:eastAsia="cs-CZ"/>
              </w:rPr>
              <w:t>0</w:t>
            </w:r>
          </w:p>
        </w:tc>
        <w:tc>
          <w:tcPr>
            <w:tcW w:w="992" w:type="dxa"/>
            <w:tcBorders>
              <w:top w:val="nil"/>
              <w:bottom w:val="single" w:sz="4" w:space="0" w:color="auto"/>
            </w:tcBorders>
            <w:shd w:val="clear" w:color="auto" w:fill="auto"/>
            <w:vAlign w:val="center"/>
          </w:tcPr>
          <w:p w:rsidR="00910074" w:rsidRPr="00D17FF5" w:rsidRDefault="00910074" w:rsidP="00910074">
            <w:pPr>
              <w:jc w:val="right"/>
              <w:rPr>
                <w:rFonts w:eastAsia="Times New Roman" w:cs="Times New Roman"/>
                <w:lang w:eastAsia="cs-CZ"/>
              </w:rPr>
            </w:pPr>
            <w:r w:rsidRPr="00D17FF5">
              <w:rPr>
                <w:rFonts w:eastAsia="Times New Roman" w:cs="Times New Roman"/>
                <w:lang w:eastAsia="cs-CZ"/>
              </w:rPr>
              <w:t>x</w:t>
            </w:r>
          </w:p>
        </w:tc>
      </w:tr>
    </w:tbl>
    <w:p w:rsidR="00910074" w:rsidRPr="00D17FF5" w:rsidRDefault="00910074" w:rsidP="00910074">
      <w:pPr>
        <w:keepLines/>
        <w:spacing w:before="240" w:after="240" w:line="276" w:lineRule="auto"/>
        <w:rPr>
          <w:rFonts w:eastAsia="Times New Roman" w:cs="Times New Roman"/>
          <w:iCs/>
          <w:szCs w:val="24"/>
          <w:lang w:eastAsia="cs-CZ"/>
        </w:rPr>
      </w:pPr>
      <w:r w:rsidRPr="00D17FF5">
        <w:rPr>
          <w:rFonts w:eastAsia="Times New Roman" w:cs="Times New Roman"/>
          <w:iCs/>
          <w:szCs w:val="24"/>
          <w:lang w:eastAsia="cs-CZ"/>
        </w:rPr>
        <w:t xml:space="preserve">Navrhovaný objem běžných výdajů pro rok 2021 je ve stejné výši jako v roce  2020. </w:t>
      </w:r>
    </w:p>
    <w:p w:rsidR="00910074" w:rsidRPr="00D17FF5" w:rsidRDefault="00910074" w:rsidP="00910074">
      <w:pPr>
        <w:keepLines/>
        <w:spacing w:before="240" w:after="240" w:line="276" w:lineRule="auto"/>
        <w:rPr>
          <w:rFonts w:eastAsia="Times New Roman" w:cs="Times New Roman"/>
          <w:iCs/>
          <w:szCs w:val="24"/>
          <w:lang w:eastAsia="cs-CZ"/>
        </w:rPr>
      </w:pPr>
      <w:r w:rsidRPr="00D17FF5">
        <w:rPr>
          <w:rFonts w:eastAsia="Times New Roman" w:cs="Times New Roman"/>
          <w:iCs/>
          <w:szCs w:val="24"/>
          <w:lang w:eastAsia="cs-CZ"/>
        </w:rPr>
        <w:t>Výdaje na platy včetně příslušenství jsou na stejné úrovni jako v roce 2020. Počet zaměstnanců organizace pro rok 2021 je navržen ve výši 15 zaměstnanců, v tom 15 zaměstnanců v pracovním poměru. Ve srovnání s rokem 2020 nedochází ke změně.</w:t>
      </w:r>
    </w:p>
    <w:p w:rsidR="00EC0900" w:rsidRPr="00E24034" w:rsidRDefault="00910074" w:rsidP="00910074">
      <w:pPr>
        <w:pStyle w:val="Styl1"/>
        <w:rPr>
          <w:color w:val="FF0000"/>
        </w:rPr>
      </w:pPr>
      <w:r w:rsidRPr="00D17FF5">
        <w:t xml:space="preserve">Objem ostatních běžných výdajů je navrhován ve stejné výši jako v roce 2020, </w:t>
      </w:r>
      <w:r w:rsidRPr="00D17FF5">
        <w:br/>
        <w:t xml:space="preserve">tj. 13 843 tis. Kč. V rámci ostatních běžných výdajů největší podíl činí výdaje na nájemné (pronajaté pozemky v přístavu Hamburk v SRN), na nákup ostatních služeb, zejména služeb pro zajištění provozu říčních přístavů. Další významné výdaje jsou výdaje na právní </w:t>
      </w:r>
      <w:r w:rsidRPr="00D17FF5">
        <w:br/>
        <w:t xml:space="preserve">a poradenské služby, které souvisejí s řešením právních sporů vznikajících při přípravě </w:t>
      </w:r>
      <w:r w:rsidRPr="00D17FF5">
        <w:br/>
        <w:t>a realizaci staveb nutných pro provoz na vodních cestách, výdaje na cestovné a na pohonné hmoty související s realizací staveb na vodních cestách.</w:t>
      </w:r>
      <w:r w:rsidR="00EC0900" w:rsidRPr="00E24034">
        <w:rPr>
          <w:color w:val="FF0000"/>
        </w:rPr>
        <w:t xml:space="preserve"> </w:t>
      </w:r>
    </w:p>
    <w:p w:rsidR="0057450B" w:rsidRPr="00CF4BB2" w:rsidRDefault="0057450B" w:rsidP="008C1678">
      <w:pPr>
        <w:spacing w:before="240" w:after="80" w:line="240" w:lineRule="auto"/>
        <w:rPr>
          <w:rFonts w:eastAsia="Times New Roman" w:cs="Times New Roman"/>
          <w:b/>
          <w:szCs w:val="24"/>
          <w:u w:val="single"/>
          <w:lang w:eastAsia="cs-CZ"/>
        </w:rPr>
      </w:pPr>
      <w:r w:rsidRPr="00CF4BB2">
        <w:rPr>
          <w:rFonts w:eastAsia="Times New Roman" w:cs="Times New Roman"/>
          <w:b/>
          <w:szCs w:val="24"/>
          <w:u w:val="single"/>
          <w:lang w:eastAsia="cs-CZ"/>
        </w:rPr>
        <w:lastRenderedPageBreak/>
        <w:t>Ústav pro odborné zjišťování příčin leteckých nehod</w:t>
      </w:r>
    </w:p>
    <w:p w:rsidR="008C1678" w:rsidRPr="00CF4BB2" w:rsidRDefault="008C1678" w:rsidP="008C1678">
      <w:pPr>
        <w:pStyle w:val="Styl1"/>
      </w:pPr>
      <w:r w:rsidRPr="00CF4BB2">
        <w:t>Organizační složka státu vznikla k 1. 1. 2003 na základě novely zákona č. 49/1997 Sb., o civilním letectví. Hlavní činností je shromažďování a analýza informací o leteckých nehodách včetně určování příčin leteckých nehod a vypracování závěrů a bezpečnostních doporučení k jejich předcházení.</w:t>
      </w:r>
    </w:p>
    <w:p w:rsidR="0057450B" w:rsidRPr="00CF4BB2" w:rsidRDefault="0057450B" w:rsidP="0057450B">
      <w:pPr>
        <w:pStyle w:val="Titulek"/>
        <w:keepNext/>
      </w:pPr>
      <w:r w:rsidRPr="00CF4BB2">
        <w:t xml:space="preserve">Tabulka č. </w:t>
      </w:r>
      <w:r w:rsidR="0001421C" w:rsidRPr="00CF4BB2">
        <w:rPr>
          <w:noProof/>
        </w:rPr>
        <w:fldChar w:fldCharType="begin"/>
      </w:r>
      <w:r w:rsidR="0001421C" w:rsidRPr="00CF4BB2">
        <w:rPr>
          <w:noProof/>
        </w:rPr>
        <w:instrText xml:space="preserve"> SEQ Tabulka \* ARABIC </w:instrText>
      </w:r>
      <w:r w:rsidR="0001421C" w:rsidRPr="00CF4BB2">
        <w:rPr>
          <w:noProof/>
        </w:rPr>
        <w:fldChar w:fldCharType="separate"/>
      </w:r>
      <w:r w:rsidR="006076E7">
        <w:rPr>
          <w:noProof/>
        </w:rPr>
        <w:t>15</w:t>
      </w:r>
      <w:r w:rsidR="0001421C" w:rsidRPr="00CF4BB2">
        <w:rPr>
          <w:noProof/>
        </w:rPr>
        <w:fldChar w:fldCharType="end"/>
      </w:r>
      <w:r w:rsidRPr="00CF4BB2">
        <w:rPr>
          <w:noProof/>
        </w:rPr>
        <w:t xml:space="preserve"> Ústav pro odborné zjišťování příčin leteckých nehod – běžné výdaje (v tis. Kč)</w:t>
      </w:r>
    </w:p>
    <w:tbl>
      <w:tblPr>
        <w:tblStyle w:val="Svtltabulkasmkou1zvraznn5"/>
        <w:tblW w:w="913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20"/>
        <w:gridCol w:w="1340"/>
        <w:gridCol w:w="1418"/>
        <w:gridCol w:w="1134"/>
        <w:gridCol w:w="927"/>
      </w:tblGrid>
      <w:tr w:rsidR="00CF4BB2" w:rsidRPr="00576843" w:rsidTr="00CF4BB2">
        <w:tc>
          <w:tcPr>
            <w:tcW w:w="432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F4BB2" w:rsidRPr="00796745" w:rsidRDefault="00CF4BB2" w:rsidP="00CF4BB2">
            <w:pPr>
              <w:jc w:val="center"/>
              <w:rPr>
                <w:rFonts w:eastAsia="Times New Roman" w:cs="Times New Roman"/>
                <w:b/>
                <w:szCs w:val="24"/>
                <w:lang w:eastAsia="cs-CZ"/>
              </w:rPr>
            </w:pPr>
            <w:r w:rsidRPr="00796745">
              <w:rPr>
                <w:rFonts w:eastAsia="Times New Roman" w:cs="Times New Roman"/>
                <w:b/>
                <w:szCs w:val="24"/>
                <w:lang w:eastAsia="cs-CZ"/>
              </w:rPr>
              <w:t>Ukazatel</w:t>
            </w:r>
          </w:p>
        </w:tc>
        <w:tc>
          <w:tcPr>
            <w:tcW w:w="13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F4BB2" w:rsidRPr="00796745" w:rsidRDefault="00CF4BB2" w:rsidP="00CF4BB2">
            <w:pPr>
              <w:jc w:val="center"/>
              <w:rPr>
                <w:rFonts w:eastAsia="Times New Roman" w:cs="Times New Roman"/>
                <w:b/>
                <w:szCs w:val="24"/>
                <w:lang w:eastAsia="cs-CZ"/>
              </w:rPr>
            </w:pPr>
            <w:r w:rsidRPr="00796745">
              <w:rPr>
                <w:rFonts w:eastAsia="Times New Roman" w:cs="Times New Roman"/>
                <w:b/>
                <w:szCs w:val="24"/>
                <w:lang w:eastAsia="cs-CZ"/>
              </w:rPr>
              <w:t>Skutečnost</w:t>
            </w:r>
          </w:p>
          <w:p w:rsidR="00CF4BB2" w:rsidRPr="00796745" w:rsidRDefault="00CF4BB2" w:rsidP="00CF4BB2">
            <w:pPr>
              <w:jc w:val="center"/>
              <w:rPr>
                <w:rFonts w:eastAsia="Times New Roman" w:cs="Times New Roman"/>
                <w:b/>
                <w:szCs w:val="24"/>
                <w:lang w:eastAsia="cs-CZ"/>
              </w:rPr>
            </w:pPr>
            <w:r w:rsidRPr="00796745">
              <w:rPr>
                <w:rFonts w:eastAsia="Times New Roman" w:cs="Times New Roman"/>
                <w:b/>
                <w:szCs w:val="24"/>
                <w:lang w:eastAsia="cs-CZ"/>
              </w:rPr>
              <w:t>2019</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F4BB2" w:rsidRPr="00796745" w:rsidRDefault="00CF4BB2" w:rsidP="00CF4BB2">
            <w:pPr>
              <w:jc w:val="center"/>
              <w:rPr>
                <w:rFonts w:eastAsia="Times New Roman" w:cs="Times New Roman"/>
                <w:b/>
                <w:szCs w:val="24"/>
                <w:lang w:eastAsia="cs-CZ"/>
              </w:rPr>
            </w:pPr>
            <w:r w:rsidRPr="00796745">
              <w:rPr>
                <w:rFonts w:eastAsia="Times New Roman" w:cs="Times New Roman"/>
                <w:b/>
                <w:szCs w:val="24"/>
                <w:lang w:eastAsia="cs-CZ"/>
              </w:rPr>
              <w:t>Schválený</w:t>
            </w:r>
          </w:p>
          <w:p w:rsidR="00CF4BB2" w:rsidRPr="00796745" w:rsidRDefault="00CF4BB2" w:rsidP="00CF4BB2">
            <w:pPr>
              <w:jc w:val="center"/>
              <w:rPr>
                <w:rFonts w:eastAsia="Times New Roman" w:cs="Times New Roman"/>
                <w:b/>
                <w:szCs w:val="24"/>
                <w:lang w:eastAsia="cs-CZ"/>
              </w:rPr>
            </w:pPr>
            <w:r w:rsidRPr="00796745">
              <w:rPr>
                <w:rFonts w:eastAsia="Times New Roman" w:cs="Times New Roman"/>
                <w:b/>
                <w:szCs w:val="24"/>
                <w:lang w:eastAsia="cs-CZ"/>
              </w:rPr>
              <w:t>rozpočet</w:t>
            </w:r>
          </w:p>
          <w:p w:rsidR="00CF4BB2" w:rsidRPr="00796745" w:rsidRDefault="00CF4BB2" w:rsidP="00CF4BB2">
            <w:pPr>
              <w:jc w:val="center"/>
              <w:rPr>
                <w:rFonts w:eastAsia="Times New Roman" w:cs="Times New Roman"/>
                <w:b/>
                <w:szCs w:val="24"/>
                <w:lang w:eastAsia="cs-CZ"/>
              </w:rPr>
            </w:pPr>
            <w:r w:rsidRPr="00796745">
              <w:rPr>
                <w:rFonts w:eastAsia="Times New Roman" w:cs="Times New Roman"/>
                <w:b/>
                <w:szCs w:val="24"/>
                <w:lang w:eastAsia="cs-CZ"/>
              </w:rPr>
              <w:t>2020</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F4BB2" w:rsidRPr="00796745" w:rsidRDefault="00CF4BB2" w:rsidP="00CF4BB2">
            <w:pPr>
              <w:jc w:val="center"/>
              <w:rPr>
                <w:rFonts w:eastAsia="Times New Roman" w:cs="Times New Roman"/>
                <w:b/>
                <w:szCs w:val="24"/>
                <w:lang w:eastAsia="cs-CZ"/>
              </w:rPr>
            </w:pPr>
            <w:r w:rsidRPr="00796745">
              <w:rPr>
                <w:rFonts w:eastAsia="Times New Roman" w:cs="Times New Roman"/>
                <w:b/>
                <w:szCs w:val="24"/>
                <w:lang w:eastAsia="cs-CZ"/>
              </w:rPr>
              <w:t>Návrh</w:t>
            </w:r>
          </w:p>
          <w:p w:rsidR="00CF4BB2" w:rsidRPr="00796745" w:rsidRDefault="00CF4BB2" w:rsidP="00CF4BB2">
            <w:pPr>
              <w:jc w:val="center"/>
              <w:rPr>
                <w:rFonts w:eastAsia="Times New Roman" w:cs="Times New Roman"/>
                <w:b/>
                <w:szCs w:val="24"/>
                <w:lang w:eastAsia="cs-CZ"/>
              </w:rPr>
            </w:pPr>
            <w:r w:rsidRPr="00796745">
              <w:rPr>
                <w:rFonts w:eastAsia="Times New Roman" w:cs="Times New Roman"/>
                <w:b/>
                <w:szCs w:val="24"/>
                <w:lang w:eastAsia="cs-CZ"/>
              </w:rPr>
              <w:t>rozpočtu</w:t>
            </w:r>
          </w:p>
          <w:p w:rsidR="00CF4BB2" w:rsidRPr="00796745" w:rsidRDefault="00CF4BB2" w:rsidP="00CF4BB2">
            <w:pPr>
              <w:jc w:val="center"/>
              <w:rPr>
                <w:rFonts w:eastAsia="Times New Roman" w:cs="Times New Roman"/>
                <w:b/>
                <w:szCs w:val="24"/>
                <w:lang w:eastAsia="cs-CZ"/>
              </w:rPr>
            </w:pPr>
            <w:r w:rsidRPr="00796745">
              <w:rPr>
                <w:rFonts w:eastAsia="Times New Roman" w:cs="Times New Roman"/>
                <w:b/>
                <w:szCs w:val="24"/>
                <w:lang w:eastAsia="cs-CZ"/>
              </w:rPr>
              <w:t>2021</w:t>
            </w:r>
          </w:p>
        </w:tc>
        <w:tc>
          <w:tcPr>
            <w:tcW w:w="92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F4BB2" w:rsidRPr="00796745" w:rsidRDefault="00CF4BB2" w:rsidP="00CF4BB2">
            <w:pPr>
              <w:jc w:val="center"/>
              <w:rPr>
                <w:rFonts w:eastAsia="Times New Roman" w:cs="Times New Roman"/>
                <w:b/>
                <w:szCs w:val="24"/>
                <w:lang w:eastAsia="cs-CZ"/>
              </w:rPr>
            </w:pPr>
            <w:r w:rsidRPr="00796745">
              <w:rPr>
                <w:rFonts w:eastAsia="Times New Roman" w:cs="Times New Roman"/>
                <w:b/>
                <w:szCs w:val="24"/>
                <w:lang w:eastAsia="cs-CZ"/>
              </w:rPr>
              <w:t>Index</w:t>
            </w:r>
          </w:p>
          <w:p w:rsidR="00CF4BB2" w:rsidRPr="00796745" w:rsidRDefault="00CF4BB2" w:rsidP="00CF4BB2">
            <w:pPr>
              <w:jc w:val="center"/>
              <w:rPr>
                <w:rFonts w:eastAsia="Times New Roman" w:cs="Times New Roman"/>
                <w:b/>
                <w:szCs w:val="24"/>
                <w:lang w:eastAsia="cs-CZ"/>
              </w:rPr>
            </w:pPr>
            <w:r w:rsidRPr="00796745">
              <w:rPr>
                <w:rFonts w:eastAsia="Times New Roman" w:cs="Times New Roman"/>
                <w:b/>
                <w:szCs w:val="24"/>
                <w:lang w:eastAsia="cs-CZ"/>
              </w:rPr>
              <w:t>2021/</w:t>
            </w:r>
            <w:r w:rsidRPr="00796745">
              <w:rPr>
                <w:rFonts w:eastAsia="Times New Roman" w:cs="Times New Roman"/>
                <w:b/>
                <w:szCs w:val="24"/>
                <w:lang w:eastAsia="cs-CZ"/>
              </w:rPr>
              <w:br/>
              <w:t xml:space="preserve">2020 </w:t>
            </w:r>
            <w:r w:rsidRPr="00796745">
              <w:rPr>
                <w:rFonts w:eastAsia="Times New Roman" w:cs="Times New Roman"/>
                <w:b/>
                <w:szCs w:val="24"/>
                <w:lang w:eastAsia="cs-CZ"/>
              </w:rPr>
              <w:br/>
              <w:t>(v %)</w:t>
            </w:r>
          </w:p>
        </w:tc>
      </w:tr>
      <w:tr w:rsidR="00CF4BB2" w:rsidRPr="00576843" w:rsidTr="00CF4BB2">
        <w:tc>
          <w:tcPr>
            <w:tcW w:w="4320" w:type="dxa"/>
            <w:tcBorders>
              <w:top w:val="single" w:sz="4" w:space="0" w:color="7F7F7F" w:themeColor="text1" w:themeTint="80"/>
              <w:bottom w:val="single" w:sz="8" w:space="0" w:color="7F7F7F" w:themeColor="text1" w:themeTint="80"/>
            </w:tcBorders>
            <w:shd w:val="clear" w:color="auto" w:fill="auto"/>
          </w:tcPr>
          <w:p w:rsidR="00CF4BB2" w:rsidRPr="00796745" w:rsidRDefault="00CF4BB2" w:rsidP="00CF4BB2">
            <w:pPr>
              <w:jc w:val="center"/>
              <w:rPr>
                <w:rFonts w:eastAsia="Times New Roman" w:cs="Times New Roman"/>
                <w:szCs w:val="24"/>
                <w:lang w:eastAsia="cs-CZ"/>
              </w:rPr>
            </w:pPr>
            <w:r w:rsidRPr="00796745">
              <w:rPr>
                <w:rFonts w:eastAsia="Times New Roman" w:cs="Times New Roman"/>
                <w:szCs w:val="24"/>
                <w:lang w:eastAsia="cs-CZ"/>
              </w:rPr>
              <w:t>a</w:t>
            </w:r>
          </w:p>
        </w:tc>
        <w:tc>
          <w:tcPr>
            <w:tcW w:w="1340" w:type="dxa"/>
            <w:tcBorders>
              <w:top w:val="single" w:sz="4" w:space="0" w:color="7F7F7F" w:themeColor="text1" w:themeTint="80"/>
              <w:bottom w:val="single" w:sz="8" w:space="0" w:color="7F7F7F" w:themeColor="text1" w:themeTint="80"/>
            </w:tcBorders>
            <w:shd w:val="clear" w:color="auto" w:fill="auto"/>
          </w:tcPr>
          <w:p w:rsidR="00CF4BB2" w:rsidRPr="00796745" w:rsidRDefault="00CF4BB2" w:rsidP="00CF4BB2">
            <w:pPr>
              <w:jc w:val="center"/>
              <w:rPr>
                <w:rFonts w:eastAsia="Times New Roman" w:cs="Times New Roman"/>
                <w:szCs w:val="24"/>
                <w:lang w:eastAsia="cs-CZ"/>
              </w:rPr>
            </w:pPr>
            <w:r w:rsidRPr="00796745">
              <w:rPr>
                <w:rFonts w:eastAsia="Times New Roman" w:cs="Times New Roman"/>
                <w:szCs w:val="24"/>
                <w:lang w:eastAsia="cs-CZ"/>
              </w:rPr>
              <w:t>1</w:t>
            </w:r>
          </w:p>
        </w:tc>
        <w:tc>
          <w:tcPr>
            <w:tcW w:w="1418" w:type="dxa"/>
            <w:tcBorders>
              <w:top w:val="single" w:sz="4" w:space="0" w:color="7F7F7F" w:themeColor="text1" w:themeTint="80"/>
              <w:bottom w:val="single" w:sz="8" w:space="0" w:color="7F7F7F" w:themeColor="text1" w:themeTint="80"/>
            </w:tcBorders>
            <w:shd w:val="clear" w:color="auto" w:fill="auto"/>
          </w:tcPr>
          <w:p w:rsidR="00CF4BB2" w:rsidRPr="00796745" w:rsidRDefault="00CF4BB2" w:rsidP="00CF4BB2">
            <w:pPr>
              <w:jc w:val="center"/>
              <w:rPr>
                <w:rFonts w:eastAsia="Times New Roman" w:cs="Times New Roman"/>
                <w:szCs w:val="24"/>
                <w:lang w:eastAsia="cs-CZ"/>
              </w:rPr>
            </w:pPr>
            <w:r w:rsidRPr="00796745">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rsidR="00CF4BB2" w:rsidRPr="00796745" w:rsidRDefault="00CF4BB2" w:rsidP="00CF4BB2">
            <w:pPr>
              <w:jc w:val="center"/>
              <w:rPr>
                <w:rFonts w:eastAsia="Times New Roman" w:cs="Times New Roman"/>
                <w:szCs w:val="24"/>
                <w:lang w:eastAsia="cs-CZ"/>
              </w:rPr>
            </w:pPr>
            <w:r w:rsidRPr="00796745">
              <w:rPr>
                <w:rFonts w:eastAsia="Times New Roman" w:cs="Times New Roman"/>
                <w:szCs w:val="24"/>
                <w:lang w:eastAsia="cs-CZ"/>
              </w:rPr>
              <w:t>3</w:t>
            </w:r>
          </w:p>
        </w:tc>
        <w:tc>
          <w:tcPr>
            <w:tcW w:w="927" w:type="dxa"/>
            <w:tcBorders>
              <w:top w:val="single" w:sz="4" w:space="0" w:color="7F7F7F" w:themeColor="text1" w:themeTint="80"/>
              <w:bottom w:val="single" w:sz="8" w:space="0" w:color="7F7F7F" w:themeColor="text1" w:themeTint="80"/>
            </w:tcBorders>
            <w:shd w:val="clear" w:color="auto" w:fill="auto"/>
          </w:tcPr>
          <w:p w:rsidR="00CF4BB2" w:rsidRPr="00796745" w:rsidRDefault="00CF4BB2" w:rsidP="00CF4BB2">
            <w:pPr>
              <w:jc w:val="center"/>
              <w:rPr>
                <w:rFonts w:eastAsia="Times New Roman" w:cs="Times New Roman"/>
                <w:szCs w:val="24"/>
                <w:lang w:eastAsia="cs-CZ"/>
              </w:rPr>
            </w:pPr>
            <w:r w:rsidRPr="00796745">
              <w:rPr>
                <w:rFonts w:eastAsia="Times New Roman" w:cs="Times New Roman"/>
                <w:szCs w:val="24"/>
                <w:lang w:eastAsia="cs-CZ"/>
              </w:rPr>
              <w:t>4</w:t>
            </w:r>
          </w:p>
        </w:tc>
      </w:tr>
      <w:tr w:rsidR="00CF4BB2" w:rsidRPr="00576843" w:rsidTr="00CF4BB2">
        <w:trPr>
          <w:trHeight w:val="475"/>
        </w:trPr>
        <w:tc>
          <w:tcPr>
            <w:tcW w:w="4320" w:type="dxa"/>
            <w:tcBorders>
              <w:top w:val="single" w:sz="8" w:space="0" w:color="7F7F7F" w:themeColor="text1" w:themeTint="80"/>
              <w:bottom w:val="single" w:sz="8" w:space="0" w:color="7F7F7F" w:themeColor="text1" w:themeTint="80"/>
            </w:tcBorders>
            <w:shd w:val="clear" w:color="auto" w:fill="auto"/>
          </w:tcPr>
          <w:p w:rsidR="00CF4BB2" w:rsidRPr="00796745" w:rsidRDefault="00CF4BB2" w:rsidP="00CF4BB2">
            <w:pPr>
              <w:spacing w:before="120"/>
              <w:rPr>
                <w:rFonts w:eastAsia="Times New Roman" w:cs="Times New Roman"/>
                <w:lang w:eastAsia="cs-CZ"/>
              </w:rPr>
            </w:pPr>
            <w:r w:rsidRPr="00796745">
              <w:rPr>
                <w:rFonts w:eastAsia="Times New Roman" w:cs="Times New Roman"/>
                <w:b/>
                <w:iCs/>
                <w:lang w:eastAsia="cs-CZ"/>
              </w:rPr>
              <w:t xml:space="preserve">Běžné výdaje </w:t>
            </w:r>
            <w:r w:rsidRPr="00796745">
              <w:rPr>
                <w:rFonts w:eastAsia="Times New Roman" w:cs="Times New Roman"/>
                <w:iCs/>
                <w:lang w:eastAsia="cs-CZ"/>
              </w:rPr>
              <w:t>v tom:</w:t>
            </w:r>
          </w:p>
        </w:tc>
        <w:tc>
          <w:tcPr>
            <w:tcW w:w="1340" w:type="dxa"/>
            <w:tcBorders>
              <w:top w:val="single" w:sz="8" w:space="0" w:color="7F7F7F" w:themeColor="text1" w:themeTint="80"/>
              <w:bottom w:val="single" w:sz="8" w:space="0" w:color="7F7F7F" w:themeColor="text1" w:themeTint="80"/>
            </w:tcBorders>
            <w:shd w:val="clear" w:color="auto" w:fill="auto"/>
            <w:vAlign w:val="center"/>
          </w:tcPr>
          <w:p w:rsidR="00CF4BB2" w:rsidRPr="00576843" w:rsidRDefault="00CF4BB2" w:rsidP="00CF4BB2">
            <w:pPr>
              <w:jc w:val="right"/>
              <w:rPr>
                <w:rFonts w:eastAsia="Times New Roman" w:cs="Times New Roman"/>
                <w:b/>
                <w:bCs/>
                <w:color w:val="FF0000"/>
                <w:lang w:eastAsia="cs-CZ"/>
              </w:rPr>
            </w:pPr>
            <w:r w:rsidRPr="00796745">
              <w:rPr>
                <w:rFonts w:eastAsia="Times New Roman" w:cs="Times New Roman"/>
                <w:b/>
                <w:bCs/>
                <w:lang w:eastAsia="cs-CZ"/>
              </w:rPr>
              <w:t>17 681</w:t>
            </w:r>
          </w:p>
        </w:tc>
        <w:tc>
          <w:tcPr>
            <w:tcW w:w="1418" w:type="dxa"/>
            <w:tcBorders>
              <w:top w:val="single" w:sz="8" w:space="0" w:color="7F7F7F" w:themeColor="text1" w:themeTint="80"/>
              <w:bottom w:val="single" w:sz="8" w:space="0" w:color="7F7F7F" w:themeColor="text1" w:themeTint="80"/>
            </w:tcBorders>
            <w:shd w:val="clear" w:color="auto" w:fill="auto"/>
            <w:vAlign w:val="center"/>
          </w:tcPr>
          <w:p w:rsidR="00CF4BB2" w:rsidRPr="00576843" w:rsidRDefault="00CF4BB2" w:rsidP="00CF4BB2">
            <w:pPr>
              <w:jc w:val="right"/>
              <w:rPr>
                <w:rFonts w:eastAsia="Times New Roman" w:cs="Times New Roman"/>
                <w:b/>
                <w:bCs/>
                <w:color w:val="FF0000"/>
                <w:lang w:eastAsia="cs-CZ"/>
              </w:rPr>
            </w:pPr>
            <w:r w:rsidRPr="005B1BBA">
              <w:rPr>
                <w:rFonts w:eastAsia="Times New Roman" w:cs="Times New Roman"/>
                <w:b/>
                <w:bCs/>
                <w:lang w:eastAsia="cs-CZ"/>
              </w:rPr>
              <w:t>17 968</w:t>
            </w:r>
          </w:p>
        </w:tc>
        <w:tc>
          <w:tcPr>
            <w:tcW w:w="1134" w:type="dxa"/>
            <w:tcBorders>
              <w:top w:val="single" w:sz="8" w:space="0" w:color="7F7F7F" w:themeColor="text1" w:themeTint="80"/>
              <w:bottom w:val="single" w:sz="8" w:space="0" w:color="7F7F7F" w:themeColor="text1" w:themeTint="80"/>
            </w:tcBorders>
            <w:shd w:val="clear" w:color="auto" w:fill="auto"/>
            <w:vAlign w:val="center"/>
          </w:tcPr>
          <w:p w:rsidR="00CF4BB2" w:rsidRPr="00B74C2C" w:rsidRDefault="00CF4BB2" w:rsidP="00CF4BB2">
            <w:pPr>
              <w:jc w:val="right"/>
              <w:rPr>
                <w:rFonts w:eastAsia="Times New Roman" w:cs="Times New Roman"/>
                <w:b/>
                <w:bCs/>
                <w:lang w:eastAsia="cs-CZ"/>
              </w:rPr>
            </w:pPr>
            <w:r w:rsidRPr="00B74C2C">
              <w:rPr>
                <w:rFonts w:eastAsia="Times New Roman" w:cs="Times New Roman"/>
                <w:b/>
                <w:bCs/>
                <w:lang w:eastAsia="cs-CZ"/>
              </w:rPr>
              <w:t>17 968</w:t>
            </w:r>
          </w:p>
        </w:tc>
        <w:tc>
          <w:tcPr>
            <w:tcW w:w="927" w:type="dxa"/>
            <w:tcBorders>
              <w:top w:val="single" w:sz="8" w:space="0" w:color="7F7F7F" w:themeColor="text1" w:themeTint="80"/>
              <w:bottom w:val="single" w:sz="8" w:space="0" w:color="7F7F7F" w:themeColor="text1" w:themeTint="80"/>
            </w:tcBorders>
            <w:shd w:val="clear" w:color="auto" w:fill="auto"/>
            <w:vAlign w:val="center"/>
          </w:tcPr>
          <w:p w:rsidR="00CF4BB2" w:rsidRPr="00B74C2C" w:rsidRDefault="00CF4BB2" w:rsidP="00CF4BB2">
            <w:pPr>
              <w:jc w:val="right"/>
              <w:rPr>
                <w:rFonts w:eastAsia="Times New Roman" w:cs="Times New Roman"/>
                <w:b/>
                <w:bCs/>
                <w:lang w:eastAsia="cs-CZ"/>
              </w:rPr>
            </w:pPr>
            <w:r w:rsidRPr="00B74C2C">
              <w:rPr>
                <w:rFonts w:eastAsia="Times New Roman" w:cs="Times New Roman"/>
                <w:b/>
                <w:bCs/>
                <w:lang w:eastAsia="cs-CZ"/>
              </w:rPr>
              <w:t>100,00</w:t>
            </w:r>
          </w:p>
        </w:tc>
      </w:tr>
      <w:tr w:rsidR="00CF4BB2" w:rsidRPr="00576843" w:rsidTr="00CF4BB2">
        <w:tc>
          <w:tcPr>
            <w:tcW w:w="4320" w:type="dxa"/>
            <w:tcBorders>
              <w:top w:val="single" w:sz="8" w:space="0" w:color="7F7F7F" w:themeColor="text1" w:themeTint="80"/>
            </w:tcBorders>
            <w:shd w:val="clear" w:color="auto" w:fill="auto"/>
          </w:tcPr>
          <w:p w:rsidR="00CF4BB2" w:rsidRPr="00796745" w:rsidRDefault="00CF4BB2" w:rsidP="00CF4BB2">
            <w:pPr>
              <w:rPr>
                <w:rFonts w:eastAsia="Times New Roman" w:cs="Times New Roman"/>
                <w:lang w:eastAsia="cs-CZ"/>
              </w:rPr>
            </w:pPr>
            <w:r w:rsidRPr="00796745">
              <w:rPr>
                <w:rFonts w:eastAsia="Times New Roman" w:cs="Times New Roman"/>
                <w:lang w:eastAsia="cs-CZ"/>
              </w:rPr>
              <w:t>platy zaměstnanců a ostatní platby</w:t>
            </w:r>
          </w:p>
          <w:p w:rsidR="00CF4BB2" w:rsidRPr="00796745" w:rsidRDefault="00CF4BB2" w:rsidP="00CF4BB2">
            <w:pPr>
              <w:rPr>
                <w:rFonts w:eastAsia="Times New Roman" w:cs="Times New Roman"/>
                <w:lang w:eastAsia="cs-CZ"/>
              </w:rPr>
            </w:pPr>
            <w:r w:rsidRPr="00796745">
              <w:rPr>
                <w:rFonts w:eastAsia="Times New Roman" w:cs="Times New Roman"/>
                <w:lang w:eastAsia="cs-CZ"/>
              </w:rPr>
              <w:t>za provedenou práci</w:t>
            </w:r>
          </w:p>
        </w:tc>
        <w:tc>
          <w:tcPr>
            <w:tcW w:w="1340" w:type="dxa"/>
            <w:tcBorders>
              <w:top w:val="single" w:sz="8" w:space="0" w:color="7F7F7F" w:themeColor="text1" w:themeTint="80"/>
            </w:tcBorders>
            <w:shd w:val="clear" w:color="auto" w:fill="auto"/>
            <w:vAlign w:val="center"/>
          </w:tcPr>
          <w:p w:rsidR="00CF4BB2" w:rsidRPr="00576843" w:rsidRDefault="00CF4BB2" w:rsidP="00CF4BB2">
            <w:pPr>
              <w:jc w:val="right"/>
              <w:rPr>
                <w:rFonts w:eastAsia="Times New Roman" w:cs="Times New Roman"/>
                <w:color w:val="FF0000"/>
                <w:lang w:eastAsia="cs-CZ"/>
              </w:rPr>
            </w:pPr>
            <w:r w:rsidRPr="00796745">
              <w:rPr>
                <w:rFonts w:eastAsia="Times New Roman" w:cs="Times New Roman"/>
                <w:lang w:eastAsia="cs-CZ"/>
              </w:rPr>
              <w:t>8 390</w:t>
            </w:r>
          </w:p>
        </w:tc>
        <w:tc>
          <w:tcPr>
            <w:tcW w:w="1418" w:type="dxa"/>
            <w:tcBorders>
              <w:top w:val="single" w:sz="8" w:space="0" w:color="7F7F7F" w:themeColor="text1" w:themeTint="80"/>
            </w:tcBorders>
            <w:shd w:val="clear" w:color="auto" w:fill="auto"/>
            <w:vAlign w:val="center"/>
          </w:tcPr>
          <w:p w:rsidR="00CF4BB2" w:rsidRPr="005B1BBA" w:rsidRDefault="00CF4BB2" w:rsidP="00CF4BB2">
            <w:pPr>
              <w:jc w:val="right"/>
              <w:rPr>
                <w:rFonts w:eastAsia="Times New Roman" w:cs="Times New Roman"/>
                <w:lang w:eastAsia="cs-CZ"/>
              </w:rPr>
            </w:pPr>
            <w:r w:rsidRPr="005B1BBA">
              <w:rPr>
                <w:rFonts w:eastAsia="Times New Roman" w:cs="Times New Roman"/>
                <w:lang w:eastAsia="cs-CZ"/>
              </w:rPr>
              <w:t>8 501</w:t>
            </w:r>
          </w:p>
        </w:tc>
        <w:tc>
          <w:tcPr>
            <w:tcW w:w="1134" w:type="dxa"/>
            <w:tcBorders>
              <w:top w:val="single" w:sz="8" w:space="0" w:color="7F7F7F" w:themeColor="text1" w:themeTint="80"/>
            </w:tcBorders>
            <w:shd w:val="clear" w:color="auto" w:fill="auto"/>
            <w:vAlign w:val="center"/>
          </w:tcPr>
          <w:p w:rsidR="00CF4BB2" w:rsidRPr="00576843" w:rsidRDefault="00CF4BB2" w:rsidP="00CF4BB2">
            <w:pPr>
              <w:jc w:val="right"/>
              <w:rPr>
                <w:rFonts w:eastAsia="Times New Roman" w:cs="Times New Roman"/>
                <w:color w:val="FF0000"/>
                <w:lang w:eastAsia="cs-CZ"/>
              </w:rPr>
            </w:pPr>
            <w:r w:rsidRPr="00B74C2C">
              <w:rPr>
                <w:rFonts w:eastAsia="Times New Roman" w:cs="Times New Roman"/>
                <w:lang w:eastAsia="cs-CZ"/>
              </w:rPr>
              <w:t>8 501</w:t>
            </w:r>
          </w:p>
        </w:tc>
        <w:tc>
          <w:tcPr>
            <w:tcW w:w="927" w:type="dxa"/>
            <w:tcBorders>
              <w:top w:val="single" w:sz="8" w:space="0" w:color="7F7F7F" w:themeColor="text1" w:themeTint="80"/>
            </w:tcBorders>
            <w:shd w:val="clear" w:color="auto" w:fill="auto"/>
            <w:vAlign w:val="center"/>
          </w:tcPr>
          <w:p w:rsidR="00CF4BB2" w:rsidRPr="00B74C2C" w:rsidRDefault="00CF4BB2" w:rsidP="00CF4BB2">
            <w:pPr>
              <w:jc w:val="right"/>
              <w:rPr>
                <w:rFonts w:eastAsia="Times New Roman" w:cs="Times New Roman"/>
                <w:lang w:eastAsia="cs-CZ"/>
              </w:rPr>
            </w:pPr>
            <w:r w:rsidRPr="00B74C2C">
              <w:rPr>
                <w:rFonts w:eastAsia="Times New Roman" w:cs="Times New Roman"/>
                <w:lang w:eastAsia="cs-CZ"/>
              </w:rPr>
              <w:t>100,00</w:t>
            </w:r>
          </w:p>
        </w:tc>
      </w:tr>
      <w:tr w:rsidR="00CF4BB2" w:rsidRPr="00576843" w:rsidTr="00CF4BB2">
        <w:tc>
          <w:tcPr>
            <w:tcW w:w="4320" w:type="dxa"/>
            <w:shd w:val="clear" w:color="auto" w:fill="auto"/>
          </w:tcPr>
          <w:p w:rsidR="00CF4BB2" w:rsidRPr="00796745" w:rsidRDefault="00CF4BB2" w:rsidP="00CF4BB2">
            <w:pPr>
              <w:rPr>
                <w:rFonts w:eastAsia="Times New Roman" w:cs="Times New Roman"/>
                <w:lang w:eastAsia="cs-CZ"/>
              </w:rPr>
            </w:pPr>
            <w:r w:rsidRPr="00796745">
              <w:rPr>
                <w:rFonts w:eastAsia="Times New Roman" w:cs="Times New Roman"/>
                <w:lang w:eastAsia="cs-CZ"/>
              </w:rPr>
              <w:t>povinné pojistné placené zaměstnavatelem</w:t>
            </w:r>
          </w:p>
        </w:tc>
        <w:tc>
          <w:tcPr>
            <w:tcW w:w="1340" w:type="dxa"/>
            <w:shd w:val="clear" w:color="auto" w:fill="auto"/>
            <w:vAlign w:val="center"/>
          </w:tcPr>
          <w:p w:rsidR="00CF4BB2" w:rsidRPr="00576843" w:rsidRDefault="00CF4BB2" w:rsidP="00CF4BB2">
            <w:pPr>
              <w:jc w:val="right"/>
              <w:rPr>
                <w:rFonts w:cs="Times New Roman"/>
                <w:color w:val="FF0000"/>
              </w:rPr>
            </w:pPr>
            <w:r w:rsidRPr="00796745">
              <w:rPr>
                <w:rFonts w:cs="Times New Roman"/>
              </w:rPr>
              <w:t>2 853</w:t>
            </w:r>
          </w:p>
        </w:tc>
        <w:tc>
          <w:tcPr>
            <w:tcW w:w="1418" w:type="dxa"/>
            <w:shd w:val="clear" w:color="auto" w:fill="auto"/>
            <w:vAlign w:val="center"/>
          </w:tcPr>
          <w:p w:rsidR="00CF4BB2" w:rsidRPr="005B1BBA" w:rsidRDefault="00CF4BB2" w:rsidP="00CF4BB2">
            <w:pPr>
              <w:jc w:val="right"/>
              <w:rPr>
                <w:rFonts w:eastAsia="Times New Roman" w:cs="Times New Roman"/>
                <w:lang w:eastAsia="cs-CZ"/>
              </w:rPr>
            </w:pPr>
            <w:r w:rsidRPr="005B1BBA">
              <w:rPr>
                <w:rFonts w:eastAsia="Times New Roman" w:cs="Times New Roman"/>
                <w:lang w:eastAsia="cs-CZ"/>
              </w:rPr>
              <w:t>2 873</w:t>
            </w:r>
          </w:p>
        </w:tc>
        <w:tc>
          <w:tcPr>
            <w:tcW w:w="1134" w:type="dxa"/>
            <w:shd w:val="clear" w:color="auto" w:fill="auto"/>
            <w:vAlign w:val="center"/>
          </w:tcPr>
          <w:p w:rsidR="00CF4BB2" w:rsidRPr="00576843" w:rsidRDefault="00CF4BB2" w:rsidP="00CF4BB2">
            <w:pPr>
              <w:jc w:val="right"/>
              <w:rPr>
                <w:rFonts w:eastAsia="Times New Roman" w:cs="Times New Roman"/>
                <w:color w:val="FF0000"/>
                <w:lang w:eastAsia="cs-CZ"/>
              </w:rPr>
            </w:pPr>
            <w:r w:rsidRPr="00B74C2C">
              <w:rPr>
                <w:rFonts w:eastAsia="Times New Roman" w:cs="Times New Roman"/>
                <w:lang w:eastAsia="cs-CZ"/>
              </w:rPr>
              <w:t>2 873</w:t>
            </w:r>
          </w:p>
        </w:tc>
        <w:tc>
          <w:tcPr>
            <w:tcW w:w="927" w:type="dxa"/>
            <w:shd w:val="clear" w:color="auto" w:fill="auto"/>
            <w:vAlign w:val="center"/>
          </w:tcPr>
          <w:p w:rsidR="00CF4BB2" w:rsidRPr="00B74C2C" w:rsidRDefault="00CF4BB2" w:rsidP="00CF4BB2">
            <w:pPr>
              <w:jc w:val="right"/>
              <w:rPr>
                <w:rFonts w:eastAsia="Times New Roman" w:cs="Times New Roman"/>
                <w:lang w:eastAsia="cs-CZ"/>
              </w:rPr>
            </w:pPr>
            <w:r w:rsidRPr="00B74C2C">
              <w:rPr>
                <w:rFonts w:eastAsia="Times New Roman" w:cs="Times New Roman"/>
                <w:lang w:eastAsia="cs-CZ"/>
              </w:rPr>
              <w:t>100,00</w:t>
            </w:r>
          </w:p>
        </w:tc>
      </w:tr>
      <w:tr w:rsidR="00CF4BB2" w:rsidRPr="00576843" w:rsidTr="00CF4BB2">
        <w:tc>
          <w:tcPr>
            <w:tcW w:w="4320" w:type="dxa"/>
            <w:shd w:val="clear" w:color="auto" w:fill="auto"/>
          </w:tcPr>
          <w:p w:rsidR="00CF4BB2" w:rsidRPr="00796745" w:rsidRDefault="00CF4BB2" w:rsidP="00CF4BB2">
            <w:pPr>
              <w:rPr>
                <w:rFonts w:eastAsia="Times New Roman" w:cs="Times New Roman"/>
                <w:lang w:eastAsia="cs-CZ"/>
              </w:rPr>
            </w:pPr>
            <w:r w:rsidRPr="00796745">
              <w:rPr>
                <w:rFonts w:eastAsia="Times New Roman" w:cs="Times New Roman"/>
                <w:lang w:eastAsia="cs-CZ"/>
              </w:rPr>
              <w:t>příděl FKSP</w:t>
            </w:r>
          </w:p>
        </w:tc>
        <w:tc>
          <w:tcPr>
            <w:tcW w:w="1340" w:type="dxa"/>
            <w:shd w:val="clear" w:color="auto" w:fill="auto"/>
            <w:vAlign w:val="center"/>
          </w:tcPr>
          <w:p w:rsidR="00CF4BB2" w:rsidRPr="00576843" w:rsidRDefault="00CF4BB2" w:rsidP="00CF4BB2">
            <w:pPr>
              <w:jc w:val="right"/>
              <w:rPr>
                <w:rFonts w:cs="Times New Roman"/>
                <w:color w:val="FF0000"/>
              </w:rPr>
            </w:pPr>
            <w:r w:rsidRPr="00796745">
              <w:rPr>
                <w:rFonts w:cs="Times New Roman"/>
              </w:rPr>
              <w:t>168</w:t>
            </w:r>
          </w:p>
        </w:tc>
        <w:tc>
          <w:tcPr>
            <w:tcW w:w="1418" w:type="dxa"/>
            <w:shd w:val="clear" w:color="auto" w:fill="auto"/>
            <w:vAlign w:val="center"/>
          </w:tcPr>
          <w:p w:rsidR="00CF4BB2" w:rsidRPr="005B1BBA" w:rsidRDefault="00CF4BB2" w:rsidP="00CF4BB2">
            <w:pPr>
              <w:jc w:val="right"/>
              <w:rPr>
                <w:rFonts w:eastAsia="Times New Roman" w:cs="Times New Roman"/>
                <w:lang w:eastAsia="cs-CZ"/>
              </w:rPr>
            </w:pPr>
            <w:r w:rsidRPr="005B1BBA">
              <w:rPr>
                <w:rFonts w:eastAsia="Times New Roman" w:cs="Times New Roman"/>
                <w:lang w:eastAsia="cs-CZ"/>
              </w:rPr>
              <w:t>169</w:t>
            </w:r>
          </w:p>
        </w:tc>
        <w:tc>
          <w:tcPr>
            <w:tcW w:w="1134" w:type="dxa"/>
            <w:shd w:val="clear" w:color="auto" w:fill="auto"/>
            <w:vAlign w:val="center"/>
          </w:tcPr>
          <w:p w:rsidR="00CF4BB2" w:rsidRPr="00576843" w:rsidRDefault="00CF4BB2" w:rsidP="00CF4BB2">
            <w:pPr>
              <w:jc w:val="right"/>
              <w:rPr>
                <w:rFonts w:eastAsia="Times New Roman" w:cs="Times New Roman"/>
                <w:color w:val="FF0000"/>
                <w:lang w:eastAsia="cs-CZ"/>
              </w:rPr>
            </w:pPr>
            <w:r w:rsidRPr="00B74C2C">
              <w:rPr>
                <w:rFonts w:eastAsia="Times New Roman" w:cs="Times New Roman"/>
                <w:lang w:eastAsia="cs-CZ"/>
              </w:rPr>
              <w:t>169</w:t>
            </w:r>
          </w:p>
        </w:tc>
        <w:tc>
          <w:tcPr>
            <w:tcW w:w="927" w:type="dxa"/>
            <w:shd w:val="clear" w:color="auto" w:fill="auto"/>
            <w:vAlign w:val="center"/>
          </w:tcPr>
          <w:p w:rsidR="00CF4BB2" w:rsidRPr="00B74C2C" w:rsidRDefault="00CF4BB2" w:rsidP="00CF4BB2">
            <w:pPr>
              <w:jc w:val="right"/>
              <w:rPr>
                <w:rFonts w:eastAsia="Times New Roman" w:cs="Times New Roman"/>
                <w:lang w:eastAsia="cs-CZ"/>
              </w:rPr>
            </w:pPr>
            <w:r w:rsidRPr="00B74C2C">
              <w:rPr>
                <w:rFonts w:eastAsia="Times New Roman" w:cs="Times New Roman"/>
                <w:lang w:eastAsia="cs-CZ"/>
              </w:rPr>
              <w:t>100,00</w:t>
            </w:r>
          </w:p>
        </w:tc>
      </w:tr>
      <w:tr w:rsidR="00CF4BB2" w:rsidRPr="00576843" w:rsidTr="00CF4BB2">
        <w:tc>
          <w:tcPr>
            <w:tcW w:w="4320" w:type="dxa"/>
            <w:tcBorders>
              <w:bottom w:val="nil"/>
            </w:tcBorders>
            <w:shd w:val="clear" w:color="auto" w:fill="auto"/>
          </w:tcPr>
          <w:p w:rsidR="00CF4BB2" w:rsidRPr="00796745" w:rsidRDefault="00CF4BB2" w:rsidP="00CF4BB2">
            <w:pPr>
              <w:rPr>
                <w:rFonts w:eastAsia="Times New Roman" w:cs="Times New Roman"/>
                <w:lang w:eastAsia="cs-CZ"/>
              </w:rPr>
            </w:pPr>
            <w:r w:rsidRPr="00796745">
              <w:rPr>
                <w:rFonts w:eastAsia="Times New Roman" w:cs="Times New Roman"/>
                <w:lang w:eastAsia="cs-CZ"/>
              </w:rPr>
              <w:t>ostatní neinvest. nákupy a související výdaje</w:t>
            </w:r>
          </w:p>
        </w:tc>
        <w:tc>
          <w:tcPr>
            <w:tcW w:w="1340" w:type="dxa"/>
            <w:tcBorders>
              <w:bottom w:val="nil"/>
            </w:tcBorders>
            <w:shd w:val="clear" w:color="auto" w:fill="auto"/>
            <w:vAlign w:val="center"/>
          </w:tcPr>
          <w:p w:rsidR="00CF4BB2" w:rsidRPr="00796745" w:rsidRDefault="00CF4BB2" w:rsidP="00CF4BB2">
            <w:pPr>
              <w:jc w:val="right"/>
              <w:rPr>
                <w:rFonts w:cs="Times New Roman"/>
              </w:rPr>
            </w:pPr>
            <w:r w:rsidRPr="00796745">
              <w:rPr>
                <w:rFonts w:cs="Times New Roman"/>
              </w:rPr>
              <w:t>6 271</w:t>
            </w:r>
          </w:p>
        </w:tc>
        <w:tc>
          <w:tcPr>
            <w:tcW w:w="1418" w:type="dxa"/>
            <w:tcBorders>
              <w:bottom w:val="nil"/>
            </w:tcBorders>
            <w:shd w:val="clear" w:color="auto" w:fill="auto"/>
            <w:vAlign w:val="center"/>
          </w:tcPr>
          <w:p w:rsidR="00CF4BB2" w:rsidRPr="005B1BBA" w:rsidRDefault="00CF4BB2" w:rsidP="00CF4BB2">
            <w:pPr>
              <w:jc w:val="right"/>
              <w:rPr>
                <w:rFonts w:eastAsia="Times New Roman" w:cs="Times New Roman"/>
                <w:lang w:eastAsia="cs-CZ"/>
              </w:rPr>
            </w:pPr>
            <w:r w:rsidRPr="005B1BBA">
              <w:rPr>
                <w:rFonts w:eastAsia="Times New Roman" w:cs="Times New Roman"/>
                <w:lang w:eastAsia="cs-CZ"/>
              </w:rPr>
              <w:t>6 424</w:t>
            </w:r>
          </w:p>
        </w:tc>
        <w:tc>
          <w:tcPr>
            <w:tcW w:w="1134" w:type="dxa"/>
            <w:tcBorders>
              <w:bottom w:val="nil"/>
            </w:tcBorders>
            <w:shd w:val="clear" w:color="auto" w:fill="auto"/>
            <w:vAlign w:val="center"/>
          </w:tcPr>
          <w:p w:rsidR="00CF4BB2" w:rsidRPr="00B74C2C" w:rsidRDefault="00CF4BB2" w:rsidP="00CF4BB2">
            <w:pPr>
              <w:jc w:val="right"/>
              <w:rPr>
                <w:rFonts w:eastAsia="Times New Roman" w:cs="Times New Roman"/>
                <w:lang w:eastAsia="cs-CZ"/>
              </w:rPr>
            </w:pPr>
            <w:r>
              <w:rPr>
                <w:rFonts w:eastAsia="Times New Roman" w:cs="Times New Roman"/>
                <w:lang w:eastAsia="cs-CZ"/>
              </w:rPr>
              <w:t>6 424</w:t>
            </w:r>
          </w:p>
        </w:tc>
        <w:tc>
          <w:tcPr>
            <w:tcW w:w="927" w:type="dxa"/>
            <w:tcBorders>
              <w:bottom w:val="nil"/>
            </w:tcBorders>
            <w:shd w:val="clear" w:color="auto" w:fill="auto"/>
            <w:vAlign w:val="center"/>
          </w:tcPr>
          <w:p w:rsidR="00CF4BB2" w:rsidRPr="00B74C2C" w:rsidRDefault="00CF4BB2" w:rsidP="00CF4BB2">
            <w:pPr>
              <w:jc w:val="right"/>
              <w:rPr>
                <w:rFonts w:eastAsia="Times New Roman" w:cs="Times New Roman"/>
                <w:lang w:eastAsia="cs-CZ"/>
              </w:rPr>
            </w:pPr>
            <w:r w:rsidRPr="00B74C2C">
              <w:rPr>
                <w:rFonts w:eastAsia="Times New Roman" w:cs="Times New Roman"/>
                <w:lang w:eastAsia="cs-CZ"/>
              </w:rPr>
              <w:t>100,00</w:t>
            </w:r>
          </w:p>
        </w:tc>
      </w:tr>
      <w:tr w:rsidR="00CF4BB2" w:rsidRPr="00576843" w:rsidTr="00CF4BB2">
        <w:tc>
          <w:tcPr>
            <w:tcW w:w="4320" w:type="dxa"/>
            <w:tcBorders>
              <w:top w:val="nil"/>
              <w:bottom w:val="single" w:sz="8" w:space="0" w:color="7F7F7F" w:themeColor="text1" w:themeTint="80"/>
            </w:tcBorders>
            <w:shd w:val="clear" w:color="auto" w:fill="auto"/>
          </w:tcPr>
          <w:p w:rsidR="00CF4BB2" w:rsidRPr="00796745" w:rsidRDefault="00CF4BB2" w:rsidP="005974F4">
            <w:pPr>
              <w:jc w:val="left"/>
              <w:rPr>
                <w:rFonts w:eastAsia="Times New Roman" w:cs="Times New Roman"/>
                <w:i/>
                <w:lang w:eastAsia="cs-CZ"/>
              </w:rPr>
            </w:pPr>
            <w:r w:rsidRPr="00796745">
              <w:rPr>
                <w:rFonts w:eastAsia="Times New Roman" w:cs="Times New Roman"/>
                <w:i/>
                <w:lang w:eastAsia="cs-CZ"/>
              </w:rPr>
              <w:t>z toho: programové financování (EDS/SMVS)</w:t>
            </w:r>
          </w:p>
        </w:tc>
        <w:tc>
          <w:tcPr>
            <w:tcW w:w="1340" w:type="dxa"/>
            <w:tcBorders>
              <w:top w:val="nil"/>
              <w:bottom w:val="single" w:sz="8" w:space="0" w:color="7F7F7F" w:themeColor="text1" w:themeTint="80"/>
            </w:tcBorders>
            <w:shd w:val="clear" w:color="auto" w:fill="auto"/>
            <w:vAlign w:val="center"/>
          </w:tcPr>
          <w:p w:rsidR="00CF4BB2" w:rsidRPr="00796745" w:rsidRDefault="00CF4BB2" w:rsidP="00CF4BB2">
            <w:pPr>
              <w:jc w:val="right"/>
              <w:rPr>
                <w:rFonts w:cs="Times New Roman"/>
              </w:rPr>
            </w:pPr>
            <w:r w:rsidRPr="00796745">
              <w:rPr>
                <w:rFonts w:cs="Times New Roman"/>
              </w:rPr>
              <w:t>0</w:t>
            </w:r>
          </w:p>
        </w:tc>
        <w:tc>
          <w:tcPr>
            <w:tcW w:w="1418" w:type="dxa"/>
            <w:tcBorders>
              <w:top w:val="nil"/>
              <w:bottom w:val="single" w:sz="8" w:space="0" w:color="7F7F7F" w:themeColor="text1" w:themeTint="80"/>
            </w:tcBorders>
            <w:shd w:val="clear" w:color="auto" w:fill="auto"/>
            <w:vAlign w:val="center"/>
          </w:tcPr>
          <w:p w:rsidR="00CF4BB2" w:rsidRPr="005B1BBA" w:rsidRDefault="00CF4BB2" w:rsidP="00CF4BB2">
            <w:pPr>
              <w:jc w:val="right"/>
              <w:rPr>
                <w:rFonts w:eastAsia="Times New Roman" w:cs="Times New Roman"/>
                <w:i/>
                <w:lang w:eastAsia="cs-CZ"/>
              </w:rPr>
            </w:pPr>
            <w:r w:rsidRPr="005B1BBA">
              <w:rPr>
                <w:rFonts w:eastAsia="Times New Roman" w:cs="Times New Roman"/>
                <w:i/>
                <w:lang w:eastAsia="cs-CZ"/>
              </w:rPr>
              <w:t>0</w:t>
            </w:r>
          </w:p>
        </w:tc>
        <w:tc>
          <w:tcPr>
            <w:tcW w:w="1134" w:type="dxa"/>
            <w:tcBorders>
              <w:top w:val="nil"/>
              <w:bottom w:val="single" w:sz="8" w:space="0" w:color="7F7F7F" w:themeColor="text1" w:themeTint="80"/>
            </w:tcBorders>
            <w:shd w:val="clear" w:color="auto" w:fill="auto"/>
            <w:vAlign w:val="center"/>
          </w:tcPr>
          <w:p w:rsidR="00CF4BB2" w:rsidRPr="00B74C2C" w:rsidRDefault="00CF4BB2" w:rsidP="00CF4BB2">
            <w:pPr>
              <w:jc w:val="right"/>
              <w:rPr>
                <w:rFonts w:eastAsia="Times New Roman" w:cs="Times New Roman"/>
                <w:i/>
                <w:lang w:eastAsia="cs-CZ"/>
              </w:rPr>
            </w:pPr>
            <w:r w:rsidRPr="00B74C2C">
              <w:rPr>
                <w:rFonts w:eastAsia="Times New Roman" w:cs="Times New Roman"/>
                <w:i/>
                <w:lang w:eastAsia="cs-CZ"/>
              </w:rPr>
              <w:t>0</w:t>
            </w:r>
          </w:p>
        </w:tc>
        <w:tc>
          <w:tcPr>
            <w:tcW w:w="927" w:type="dxa"/>
            <w:tcBorders>
              <w:top w:val="nil"/>
              <w:bottom w:val="single" w:sz="8" w:space="0" w:color="7F7F7F" w:themeColor="text1" w:themeTint="80"/>
            </w:tcBorders>
            <w:shd w:val="clear" w:color="auto" w:fill="auto"/>
            <w:vAlign w:val="center"/>
          </w:tcPr>
          <w:p w:rsidR="00CF4BB2" w:rsidRPr="00B74C2C" w:rsidRDefault="00CF4BB2" w:rsidP="00CF4BB2">
            <w:pPr>
              <w:jc w:val="right"/>
              <w:rPr>
                <w:rFonts w:eastAsia="Times New Roman" w:cs="Times New Roman"/>
                <w:i/>
                <w:lang w:eastAsia="cs-CZ"/>
              </w:rPr>
            </w:pPr>
            <w:r w:rsidRPr="00B74C2C">
              <w:rPr>
                <w:rFonts w:eastAsia="Times New Roman" w:cs="Times New Roman"/>
                <w:i/>
                <w:lang w:eastAsia="cs-CZ"/>
              </w:rPr>
              <w:t>x</w:t>
            </w:r>
          </w:p>
        </w:tc>
      </w:tr>
    </w:tbl>
    <w:p w:rsidR="00CF4BB2" w:rsidRPr="00576843" w:rsidRDefault="00CF4BB2" w:rsidP="00CF4BB2">
      <w:pPr>
        <w:pStyle w:val="Styl1"/>
        <w:rPr>
          <w:color w:val="FF0000"/>
        </w:rPr>
      </w:pPr>
      <w:r w:rsidRPr="00862CD8">
        <w:t>Navrhovaný o</w:t>
      </w:r>
      <w:r>
        <w:t>bjem běžných výdajů pro rok 2021</w:t>
      </w:r>
      <w:r w:rsidRPr="00862CD8">
        <w:t xml:space="preserve"> je totožný s</w:t>
      </w:r>
      <w:r>
        <w:t>e schváleným rozpočtem roku</w:t>
      </w:r>
      <w:r w:rsidRPr="00862CD8">
        <w:t xml:space="preserve"> 2020. </w:t>
      </w:r>
    </w:p>
    <w:p w:rsidR="00CF4BB2" w:rsidRPr="00B74C2C" w:rsidRDefault="00CF4BB2" w:rsidP="00CF4BB2">
      <w:pPr>
        <w:pStyle w:val="Styl1"/>
      </w:pPr>
      <w:r w:rsidRPr="00B74C2C">
        <w:t xml:space="preserve">Počet zaměstnanců organizace pro </w:t>
      </w:r>
      <w:r>
        <w:t>rok 2021</w:t>
      </w:r>
      <w:r w:rsidRPr="00B74C2C">
        <w:t xml:space="preserve"> je navržen ve výši 15, v tom 15 zaměstnanců v pracovním poměru. </w:t>
      </w:r>
    </w:p>
    <w:p w:rsidR="00B510CB" w:rsidRPr="005974F4" w:rsidRDefault="00CF4BB2" w:rsidP="00B510CB">
      <w:pPr>
        <w:pStyle w:val="Styl1"/>
      </w:pPr>
      <w:r w:rsidRPr="00CB66B2">
        <w:t>Objem ostat</w:t>
      </w:r>
      <w:r>
        <w:t>ních běžných výdajů pro rok 2021</w:t>
      </w:r>
      <w:r w:rsidRPr="00CB66B2">
        <w:t xml:space="preserve"> je navrhován ve stejné výši</w:t>
      </w:r>
      <w:r>
        <w:t xml:space="preserve"> jako v roce 2020</w:t>
      </w:r>
      <w:r w:rsidRPr="00CB66B2">
        <w:t>. V rámci ostatních běžných výdajů největší podíl tvoří výdaje na nájemné a na nákup ostatních služeb. Dalšími významnými položkami jsou výdaje na cestovné a</w:t>
      </w:r>
      <w:r>
        <w:t xml:space="preserve"> pohonné hmoty,</w:t>
      </w:r>
      <w:r w:rsidRPr="00CB66B2">
        <w:t xml:space="preserve"> výdaje </w:t>
      </w:r>
      <w:r w:rsidRPr="00CB66B2">
        <w:br/>
        <w:t xml:space="preserve">na poradenské služby či služby školení a vzdělávání, tj. výdaje přímo související s šetřením leteckých nehod, dále pak výdaje na zahraniční cestovné v rámci spolupráce s mezinárodními organizacemi v oblasti letecké dopravy.    </w:t>
      </w:r>
      <w:r w:rsidR="00B73030" w:rsidRPr="00E24034">
        <w:rPr>
          <w:color w:val="FF0000"/>
        </w:rPr>
        <w:t xml:space="preserve"> </w:t>
      </w:r>
    </w:p>
    <w:p w:rsidR="002B4A5E" w:rsidRPr="00910074" w:rsidRDefault="002B4A5E" w:rsidP="007B2F4B">
      <w:pPr>
        <w:pStyle w:val="Nadpis3"/>
      </w:pPr>
      <w:bookmarkStart w:id="53" w:name="_Toc53750570"/>
      <w:r w:rsidRPr="00910074">
        <w:t>Příspěvkové organizace</w:t>
      </w:r>
      <w:bookmarkEnd w:id="52"/>
      <w:bookmarkEnd w:id="53"/>
    </w:p>
    <w:p w:rsidR="00BD28A7" w:rsidRPr="00910074" w:rsidRDefault="002B4A5E" w:rsidP="001D1C48">
      <w:pPr>
        <w:tabs>
          <w:tab w:val="left" w:pos="708"/>
        </w:tabs>
        <w:spacing w:before="240" w:after="60" w:line="240" w:lineRule="auto"/>
        <w:outlineLvl w:val="5"/>
        <w:rPr>
          <w:rFonts w:eastAsia="Times New Roman" w:cs="Times New Roman"/>
          <w:b/>
          <w:bCs/>
          <w:lang w:eastAsia="cs-CZ"/>
        </w:rPr>
      </w:pPr>
      <w:r w:rsidRPr="00910074">
        <w:rPr>
          <w:rFonts w:eastAsia="Times New Roman" w:cs="Times New Roman"/>
          <w:b/>
          <w:bCs/>
          <w:lang w:eastAsia="cs-CZ"/>
        </w:rPr>
        <w:t>Celkem: CSPSD,  ŘSD ČR</w:t>
      </w:r>
      <w:bookmarkStart w:id="54" w:name="_Toc304375441"/>
      <w:r w:rsidR="00BD28A7" w:rsidRPr="00910074">
        <w:rPr>
          <w:rFonts w:eastAsia="Times New Roman" w:cs="Times New Roman"/>
          <w:lang w:eastAsia="cs-CZ"/>
        </w:rPr>
        <w:t xml:space="preserve">                                                                                                                                                                                                                                                                               </w:t>
      </w:r>
    </w:p>
    <w:p w:rsidR="00886FD2" w:rsidRPr="00910074" w:rsidRDefault="00886FD2" w:rsidP="00886FD2">
      <w:pPr>
        <w:pStyle w:val="Titulek"/>
        <w:keepNext/>
      </w:pPr>
      <w:r w:rsidRPr="00910074">
        <w:t xml:space="preserve">Tabulka č. </w:t>
      </w:r>
      <w:r w:rsidRPr="00910074">
        <w:rPr>
          <w:noProof/>
        </w:rPr>
        <w:fldChar w:fldCharType="begin"/>
      </w:r>
      <w:r w:rsidRPr="00910074">
        <w:rPr>
          <w:noProof/>
        </w:rPr>
        <w:instrText xml:space="preserve"> SEQ Tabulka \* ARABIC </w:instrText>
      </w:r>
      <w:r w:rsidRPr="00910074">
        <w:rPr>
          <w:noProof/>
        </w:rPr>
        <w:fldChar w:fldCharType="separate"/>
      </w:r>
      <w:r w:rsidR="006076E7">
        <w:rPr>
          <w:noProof/>
        </w:rPr>
        <w:t>16</w:t>
      </w:r>
      <w:r w:rsidRPr="00910074">
        <w:rPr>
          <w:noProof/>
        </w:rPr>
        <w:fldChar w:fldCharType="end"/>
      </w:r>
      <w:r w:rsidRPr="00910074">
        <w:rPr>
          <w:noProof/>
        </w:rPr>
        <w:t xml:space="preserve"> Příspěvkové organizace celkem (v tis. Kč)</w:t>
      </w:r>
    </w:p>
    <w:tbl>
      <w:tblPr>
        <w:tblStyle w:val="Svtltabulkasmkou1zvraznn5"/>
        <w:tblW w:w="5089" w:type="pct"/>
        <w:tblInd w:w="-1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99"/>
        <w:gridCol w:w="1416"/>
        <w:gridCol w:w="1273"/>
        <w:gridCol w:w="1133"/>
        <w:gridCol w:w="991"/>
      </w:tblGrid>
      <w:tr w:rsidR="00910074" w:rsidRPr="00D17FF5" w:rsidTr="00910074">
        <w:trPr>
          <w:trHeight w:val="831"/>
        </w:trPr>
        <w:tc>
          <w:tcPr>
            <w:tcW w:w="238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D17FF5" w:rsidRDefault="00910074" w:rsidP="00910074">
            <w:pPr>
              <w:jc w:val="center"/>
              <w:rPr>
                <w:rFonts w:eastAsia="Times New Roman" w:cs="Times New Roman"/>
                <w:b/>
                <w:lang w:eastAsia="cs-CZ"/>
              </w:rPr>
            </w:pPr>
            <w:r w:rsidRPr="00D17FF5">
              <w:rPr>
                <w:rFonts w:eastAsia="Times New Roman" w:cs="Times New Roman"/>
                <w:b/>
                <w:lang w:eastAsia="cs-CZ"/>
              </w:rPr>
              <w:t>Ukazatel</w:t>
            </w:r>
          </w:p>
        </w:tc>
        <w:tc>
          <w:tcPr>
            <w:tcW w:w="76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D17FF5" w:rsidRDefault="00910074" w:rsidP="00910074">
            <w:pPr>
              <w:jc w:val="center"/>
              <w:rPr>
                <w:rFonts w:eastAsia="Times New Roman" w:cs="Times New Roman"/>
                <w:b/>
                <w:lang w:eastAsia="cs-CZ"/>
              </w:rPr>
            </w:pPr>
            <w:r w:rsidRPr="00D17FF5">
              <w:rPr>
                <w:rFonts w:eastAsia="Times New Roman" w:cs="Times New Roman"/>
                <w:b/>
                <w:lang w:eastAsia="cs-CZ"/>
              </w:rPr>
              <w:t>Skutečnost</w:t>
            </w:r>
          </w:p>
          <w:p w:rsidR="00910074" w:rsidRPr="00D17FF5" w:rsidRDefault="00910074" w:rsidP="00910074">
            <w:pPr>
              <w:ind w:right="-70"/>
              <w:jc w:val="center"/>
              <w:rPr>
                <w:rFonts w:eastAsia="Times New Roman" w:cs="Times New Roman"/>
                <w:b/>
                <w:lang w:eastAsia="cs-CZ"/>
              </w:rPr>
            </w:pPr>
            <w:r w:rsidRPr="00D17FF5">
              <w:rPr>
                <w:rFonts w:eastAsia="Times New Roman" w:cs="Times New Roman"/>
                <w:b/>
                <w:lang w:eastAsia="cs-CZ"/>
              </w:rPr>
              <w:t>2019</w:t>
            </w:r>
          </w:p>
        </w:tc>
        <w:tc>
          <w:tcPr>
            <w:tcW w:w="69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D17FF5" w:rsidRDefault="00910074" w:rsidP="00910074">
            <w:pPr>
              <w:jc w:val="center"/>
              <w:rPr>
                <w:rFonts w:eastAsia="Times New Roman" w:cs="Times New Roman"/>
                <w:b/>
                <w:lang w:eastAsia="cs-CZ"/>
              </w:rPr>
            </w:pPr>
            <w:r w:rsidRPr="00D17FF5">
              <w:rPr>
                <w:rFonts w:eastAsia="Times New Roman" w:cs="Times New Roman"/>
                <w:b/>
                <w:lang w:eastAsia="cs-CZ"/>
              </w:rPr>
              <w:t>Schválený</w:t>
            </w:r>
          </w:p>
          <w:p w:rsidR="00910074" w:rsidRPr="00D17FF5" w:rsidRDefault="00910074" w:rsidP="00910074">
            <w:pPr>
              <w:jc w:val="center"/>
              <w:rPr>
                <w:rFonts w:eastAsia="Times New Roman" w:cs="Times New Roman"/>
                <w:b/>
                <w:lang w:eastAsia="cs-CZ"/>
              </w:rPr>
            </w:pPr>
            <w:r w:rsidRPr="00D17FF5">
              <w:rPr>
                <w:rFonts w:eastAsia="Times New Roman" w:cs="Times New Roman"/>
                <w:b/>
                <w:lang w:eastAsia="cs-CZ"/>
              </w:rPr>
              <w:t>rozpočet</w:t>
            </w:r>
          </w:p>
          <w:p w:rsidR="00910074" w:rsidRPr="00D17FF5" w:rsidRDefault="00910074" w:rsidP="00910074">
            <w:pPr>
              <w:jc w:val="center"/>
              <w:rPr>
                <w:rFonts w:eastAsia="Times New Roman" w:cs="Times New Roman"/>
                <w:b/>
                <w:lang w:eastAsia="cs-CZ"/>
              </w:rPr>
            </w:pPr>
            <w:r w:rsidRPr="00D17FF5">
              <w:rPr>
                <w:rFonts w:eastAsia="Times New Roman" w:cs="Times New Roman"/>
                <w:b/>
                <w:lang w:eastAsia="cs-CZ"/>
              </w:rPr>
              <w:t>2020</w:t>
            </w:r>
          </w:p>
        </w:tc>
        <w:tc>
          <w:tcPr>
            <w:tcW w:w="61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D17FF5" w:rsidRDefault="00910074" w:rsidP="00910074">
            <w:pPr>
              <w:jc w:val="center"/>
              <w:rPr>
                <w:rFonts w:eastAsia="Times New Roman" w:cs="Times New Roman"/>
                <w:b/>
                <w:lang w:eastAsia="cs-CZ"/>
              </w:rPr>
            </w:pPr>
            <w:r w:rsidRPr="00D17FF5">
              <w:rPr>
                <w:rFonts w:eastAsia="Times New Roman" w:cs="Times New Roman"/>
                <w:b/>
                <w:lang w:eastAsia="cs-CZ"/>
              </w:rPr>
              <w:t>Návrh</w:t>
            </w:r>
          </w:p>
          <w:p w:rsidR="00910074" w:rsidRPr="00D17FF5" w:rsidRDefault="00910074" w:rsidP="00910074">
            <w:pPr>
              <w:jc w:val="center"/>
              <w:rPr>
                <w:rFonts w:eastAsia="Times New Roman" w:cs="Times New Roman"/>
                <w:b/>
                <w:lang w:eastAsia="cs-CZ"/>
              </w:rPr>
            </w:pPr>
            <w:r w:rsidRPr="00D17FF5">
              <w:rPr>
                <w:rFonts w:eastAsia="Times New Roman" w:cs="Times New Roman"/>
                <w:b/>
                <w:lang w:eastAsia="cs-CZ"/>
              </w:rPr>
              <w:t>rozpočtu</w:t>
            </w:r>
          </w:p>
          <w:p w:rsidR="00910074" w:rsidRPr="00D17FF5" w:rsidRDefault="00910074" w:rsidP="00910074">
            <w:pPr>
              <w:jc w:val="center"/>
              <w:rPr>
                <w:rFonts w:eastAsia="Times New Roman" w:cs="Times New Roman"/>
                <w:b/>
                <w:lang w:eastAsia="cs-CZ"/>
              </w:rPr>
            </w:pPr>
            <w:r w:rsidRPr="00D17FF5">
              <w:rPr>
                <w:rFonts w:eastAsia="Times New Roman" w:cs="Times New Roman"/>
                <w:b/>
                <w:lang w:eastAsia="cs-CZ"/>
              </w:rPr>
              <w:t>2021</w:t>
            </w:r>
          </w:p>
        </w:tc>
        <w:tc>
          <w:tcPr>
            <w:tcW w:w="53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D17FF5" w:rsidRDefault="00910074" w:rsidP="00910074">
            <w:pPr>
              <w:jc w:val="center"/>
              <w:rPr>
                <w:rFonts w:eastAsia="Times New Roman" w:cs="Times New Roman"/>
                <w:b/>
                <w:lang w:eastAsia="cs-CZ"/>
              </w:rPr>
            </w:pPr>
            <w:r w:rsidRPr="00D17FF5">
              <w:rPr>
                <w:rFonts w:eastAsia="Times New Roman" w:cs="Times New Roman"/>
                <w:b/>
                <w:lang w:eastAsia="cs-CZ"/>
              </w:rPr>
              <w:t>Index</w:t>
            </w:r>
          </w:p>
          <w:p w:rsidR="00910074" w:rsidRPr="00D17FF5" w:rsidRDefault="00910074" w:rsidP="00910074">
            <w:pPr>
              <w:jc w:val="center"/>
              <w:rPr>
                <w:rFonts w:eastAsia="Times New Roman" w:cs="Times New Roman"/>
                <w:b/>
                <w:lang w:eastAsia="cs-CZ"/>
              </w:rPr>
            </w:pPr>
            <w:r w:rsidRPr="00D17FF5">
              <w:rPr>
                <w:rFonts w:eastAsia="Times New Roman" w:cs="Times New Roman"/>
                <w:b/>
                <w:lang w:eastAsia="cs-CZ"/>
              </w:rPr>
              <w:t>2021/</w:t>
            </w:r>
            <w:r w:rsidRPr="00D17FF5">
              <w:rPr>
                <w:rFonts w:eastAsia="Times New Roman" w:cs="Times New Roman"/>
                <w:b/>
                <w:lang w:eastAsia="cs-CZ"/>
              </w:rPr>
              <w:br/>
              <w:t>2020</w:t>
            </w:r>
          </w:p>
          <w:p w:rsidR="00910074" w:rsidRPr="00D17FF5" w:rsidRDefault="00910074" w:rsidP="00910074">
            <w:pPr>
              <w:jc w:val="center"/>
              <w:rPr>
                <w:rFonts w:eastAsia="Times New Roman" w:cs="Times New Roman"/>
                <w:b/>
                <w:lang w:eastAsia="cs-CZ"/>
              </w:rPr>
            </w:pPr>
            <w:r w:rsidRPr="00D17FF5">
              <w:rPr>
                <w:rFonts w:eastAsia="Times New Roman" w:cs="Times New Roman"/>
                <w:b/>
                <w:lang w:eastAsia="cs-CZ"/>
              </w:rPr>
              <w:t>(v %)</w:t>
            </w:r>
          </w:p>
        </w:tc>
      </w:tr>
      <w:tr w:rsidR="00910074" w:rsidRPr="00D17FF5" w:rsidTr="00910074">
        <w:trPr>
          <w:trHeight w:val="184"/>
        </w:trPr>
        <w:tc>
          <w:tcPr>
            <w:tcW w:w="2387" w:type="pct"/>
            <w:tcBorders>
              <w:top w:val="single" w:sz="4" w:space="0" w:color="7F7F7F" w:themeColor="text1" w:themeTint="80"/>
              <w:bottom w:val="single" w:sz="8" w:space="0" w:color="7F7F7F" w:themeColor="text1" w:themeTint="80"/>
            </w:tcBorders>
            <w:shd w:val="clear" w:color="auto" w:fill="auto"/>
          </w:tcPr>
          <w:p w:rsidR="00910074" w:rsidRPr="00D17FF5" w:rsidRDefault="00910074" w:rsidP="00910074">
            <w:pPr>
              <w:jc w:val="center"/>
              <w:rPr>
                <w:rFonts w:eastAsia="Times New Roman" w:cs="Times New Roman"/>
                <w:lang w:eastAsia="cs-CZ"/>
              </w:rPr>
            </w:pPr>
            <w:r w:rsidRPr="00D17FF5">
              <w:rPr>
                <w:rFonts w:eastAsia="Times New Roman" w:cs="Times New Roman"/>
                <w:lang w:eastAsia="cs-CZ"/>
              </w:rPr>
              <w:t>a</w:t>
            </w:r>
          </w:p>
        </w:tc>
        <w:tc>
          <w:tcPr>
            <w:tcW w:w="768" w:type="pct"/>
            <w:tcBorders>
              <w:top w:val="single" w:sz="4" w:space="0" w:color="7F7F7F" w:themeColor="text1" w:themeTint="80"/>
              <w:bottom w:val="single" w:sz="8" w:space="0" w:color="7F7F7F" w:themeColor="text1" w:themeTint="80"/>
            </w:tcBorders>
            <w:shd w:val="clear" w:color="auto" w:fill="auto"/>
          </w:tcPr>
          <w:p w:rsidR="00910074" w:rsidRPr="00D17FF5" w:rsidRDefault="00910074" w:rsidP="00910074">
            <w:pPr>
              <w:jc w:val="center"/>
              <w:rPr>
                <w:rFonts w:eastAsia="Times New Roman" w:cs="Times New Roman"/>
                <w:lang w:eastAsia="cs-CZ"/>
              </w:rPr>
            </w:pPr>
            <w:r w:rsidRPr="00D17FF5">
              <w:rPr>
                <w:rFonts w:eastAsia="Times New Roman" w:cs="Times New Roman"/>
                <w:lang w:eastAsia="cs-CZ"/>
              </w:rPr>
              <w:t>1</w:t>
            </w:r>
          </w:p>
        </w:tc>
        <w:tc>
          <w:tcPr>
            <w:tcW w:w="691" w:type="pct"/>
            <w:tcBorders>
              <w:top w:val="single" w:sz="4" w:space="0" w:color="7F7F7F" w:themeColor="text1" w:themeTint="80"/>
              <w:bottom w:val="single" w:sz="8" w:space="0" w:color="7F7F7F" w:themeColor="text1" w:themeTint="80"/>
            </w:tcBorders>
            <w:shd w:val="clear" w:color="auto" w:fill="auto"/>
          </w:tcPr>
          <w:p w:rsidR="00910074" w:rsidRPr="00D17FF5" w:rsidRDefault="00910074" w:rsidP="00910074">
            <w:pPr>
              <w:jc w:val="center"/>
              <w:rPr>
                <w:rFonts w:eastAsia="Times New Roman" w:cs="Times New Roman"/>
                <w:lang w:eastAsia="cs-CZ"/>
              </w:rPr>
            </w:pPr>
            <w:r w:rsidRPr="00D17FF5">
              <w:rPr>
                <w:rFonts w:eastAsia="Times New Roman" w:cs="Times New Roman"/>
                <w:lang w:eastAsia="cs-CZ"/>
              </w:rPr>
              <w:t>2</w:t>
            </w:r>
          </w:p>
        </w:tc>
        <w:tc>
          <w:tcPr>
            <w:tcW w:w="615" w:type="pct"/>
            <w:tcBorders>
              <w:top w:val="single" w:sz="4" w:space="0" w:color="7F7F7F" w:themeColor="text1" w:themeTint="80"/>
              <w:bottom w:val="single" w:sz="8" w:space="0" w:color="7F7F7F" w:themeColor="text1" w:themeTint="80"/>
            </w:tcBorders>
            <w:shd w:val="clear" w:color="auto" w:fill="auto"/>
          </w:tcPr>
          <w:p w:rsidR="00910074" w:rsidRPr="00D17FF5" w:rsidRDefault="00910074" w:rsidP="00910074">
            <w:pPr>
              <w:jc w:val="center"/>
              <w:rPr>
                <w:rFonts w:eastAsia="Times New Roman" w:cs="Times New Roman"/>
                <w:lang w:eastAsia="cs-CZ"/>
              </w:rPr>
            </w:pPr>
            <w:r w:rsidRPr="00D17FF5">
              <w:rPr>
                <w:rFonts w:eastAsia="Times New Roman" w:cs="Times New Roman"/>
                <w:lang w:eastAsia="cs-CZ"/>
              </w:rPr>
              <w:t>3</w:t>
            </w:r>
          </w:p>
        </w:tc>
        <w:tc>
          <w:tcPr>
            <w:tcW w:w="538" w:type="pct"/>
            <w:tcBorders>
              <w:top w:val="single" w:sz="4" w:space="0" w:color="7F7F7F" w:themeColor="text1" w:themeTint="80"/>
              <w:bottom w:val="single" w:sz="8" w:space="0" w:color="7F7F7F" w:themeColor="text1" w:themeTint="80"/>
            </w:tcBorders>
            <w:shd w:val="clear" w:color="auto" w:fill="auto"/>
          </w:tcPr>
          <w:p w:rsidR="00910074" w:rsidRPr="00D17FF5" w:rsidRDefault="00910074" w:rsidP="00910074">
            <w:pPr>
              <w:jc w:val="center"/>
              <w:rPr>
                <w:rFonts w:eastAsia="Times New Roman" w:cs="Times New Roman"/>
                <w:lang w:eastAsia="cs-CZ"/>
              </w:rPr>
            </w:pPr>
            <w:r w:rsidRPr="00D17FF5">
              <w:rPr>
                <w:rFonts w:eastAsia="Times New Roman" w:cs="Times New Roman"/>
                <w:lang w:eastAsia="cs-CZ"/>
              </w:rPr>
              <w:t>4</w:t>
            </w:r>
          </w:p>
        </w:tc>
      </w:tr>
      <w:tr w:rsidR="00910074" w:rsidRPr="00D17FF5" w:rsidTr="00910074">
        <w:trPr>
          <w:trHeight w:val="255"/>
        </w:trPr>
        <w:tc>
          <w:tcPr>
            <w:tcW w:w="2387" w:type="pct"/>
            <w:tcBorders>
              <w:top w:val="single" w:sz="8" w:space="0" w:color="7F7F7F" w:themeColor="text1" w:themeTint="80"/>
              <w:bottom w:val="single" w:sz="8" w:space="0" w:color="7F7F7F" w:themeColor="text1" w:themeTint="80"/>
            </w:tcBorders>
            <w:shd w:val="clear" w:color="auto" w:fill="auto"/>
          </w:tcPr>
          <w:p w:rsidR="00910074" w:rsidRPr="00D17FF5" w:rsidRDefault="00910074" w:rsidP="00910074">
            <w:pPr>
              <w:rPr>
                <w:rFonts w:eastAsia="Times New Roman" w:cs="Times New Roman"/>
                <w:bCs/>
                <w:lang w:eastAsia="cs-CZ"/>
              </w:rPr>
            </w:pPr>
            <w:r w:rsidRPr="00D17FF5">
              <w:rPr>
                <w:rFonts w:eastAsia="Times New Roman" w:cs="Times New Roman"/>
                <w:b/>
                <w:bCs/>
                <w:lang w:eastAsia="cs-CZ"/>
              </w:rPr>
              <w:t xml:space="preserve">Neinvestiční příspěvek a transfery zřízeným PO </w:t>
            </w:r>
            <w:r w:rsidRPr="00D17FF5">
              <w:rPr>
                <w:rFonts w:eastAsia="Times New Roman" w:cs="Times New Roman"/>
                <w:bCs/>
                <w:lang w:eastAsia="cs-CZ"/>
              </w:rPr>
              <w:t>z toho:</w:t>
            </w:r>
          </w:p>
        </w:tc>
        <w:tc>
          <w:tcPr>
            <w:tcW w:w="768" w:type="pct"/>
            <w:tcBorders>
              <w:top w:val="single" w:sz="8" w:space="0" w:color="7F7F7F" w:themeColor="text1" w:themeTint="80"/>
              <w:bottom w:val="single" w:sz="8" w:space="0" w:color="7F7F7F" w:themeColor="text1" w:themeTint="80"/>
            </w:tcBorders>
            <w:shd w:val="clear" w:color="auto" w:fill="auto"/>
            <w:vAlign w:val="center"/>
          </w:tcPr>
          <w:p w:rsidR="00910074" w:rsidRPr="00BA5BDC" w:rsidRDefault="00910074" w:rsidP="00910074">
            <w:pPr>
              <w:spacing w:before="120"/>
              <w:jc w:val="right"/>
              <w:rPr>
                <w:rFonts w:eastAsia="Times New Roman" w:cs="Times New Roman"/>
                <w:b/>
                <w:lang w:eastAsia="cs-CZ"/>
              </w:rPr>
            </w:pPr>
            <w:r w:rsidRPr="00BA5BDC">
              <w:rPr>
                <w:rFonts w:eastAsia="Times New Roman" w:cs="Times New Roman"/>
                <w:b/>
                <w:lang w:eastAsia="cs-CZ"/>
              </w:rPr>
              <w:t>49</w:t>
            </w:r>
            <w:r>
              <w:rPr>
                <w:rFonts w:eastAsia="Times New Roman" w:cs="Times New Roman"/>
                <w:b/>
                <w:lang w:eastAsia="cs-CZ"/>
              </w:rPr>
              <w:t>7</w:t>
            </w:r>
            <w:r w:rsidRPr="00BA5BDC">
              <w:rPr>
                <w:rFonts w:eastAsia="Times New Roman" w:cs="Times New Roman"/>
                <w:b/>
                <w:lang w:eastAsia="cs-CZ"/>
              </w:rPr>
              <w:t xml:space="preserve"> 298</w:t>
            </w:r>
          </w:p>
        </w:tc>
        <w:tc>
          <w:tcPr>
            <w:tcW w:w="691" w:type="pct"/>
            <w:tcBorders>
              <w:top w:val="single" w:sz="8" w:space="0" w:color="7F7F7F" w:themeColor="text1" w:themeTint="80"/>
              <w:bottom w:val="single" w:sz="8" w:space="0" w:color="7F7F7F" w:themeColor="text1" w:themeTint="80"/>
            </w:tcBorders>
            <w:shd w:val="clear" w:color="auto" w:fill="auto"/>
            <w:vAlign w:val="center"/>
          </w:tcPr>
          <w:p w:rsidR="00910074" w:rsidRPr="00BA5BDC" w:rsidRDefault="00910074" w:rsidP="00910074">
            <w:pPr>
              <w:spacing w:before="120"/>
              <w:jc w:val="right"/>
              <w:rPr>
                <w:rFonts w:eastAsia="Times New Roman" w:cs="Times New Roman"/>
                <w:b/>
                <w:lang w:eastAsia="cs-CZ"/>
              </w:rPr>
            </w:pPr>
            <w:r w:rsidRPr="00BA5BDC">
              <w:rPr>
                <w:rFonts w:eastAsia="Times New Roman" w:cs="Times New Roman"/>
                <w:b/>
                <w:lang w:eastAsia="cs-CZ"/>
              </w:rPr>
              <w:t>249 065</w:t>
            </w:r>
          </w:p>
        </w:tc>
        <w:tc>
          <w:tcPr>
            <w:tcW w:w="615" w:type="pct"/>
            <w:tcBorders>
              <w:top w:val="single" w:sz="8" w:space="0" w:color="7F7F7F" w:themeColor="text1" w:themeTint="80"/>
              <w:bottom w:val="single" w:sz="8" w:space="0" w:color="7F7F7F" w:themeColor="text1" w:themeTint="80"/>
            </w:tcBorders>
            <w:shd w:val="clear" w:color="auto" w:fill="auto"/>
            <w:vAlign w:val="center"/>
          </w:tcPr>
          <w:p w:rsidR="00910074" w:rsidRPr="00BA5BDC" w:rsidRDefault="00910074" w:rsidP="00910074">
            <w:pPr>
              <w:spacing w:before="120"/>
              <w:jc w:val="right"/>
              <w:rPr>
                <w:rFonts w:eastAsia="Times New Roman" w:cs="Times New Roman"/>
                <w:b/>
                <w:lang w:eastAsia="cs-CZ"/>
              </w:rPr>
            </w:pPr>
            <w:r w:rsidRPr="00BA5BDC">
              <w:rPr>
                <w:rFonts w:eastAsia="Times New Roman" w:cs="Times New Roman"/>
                <w:b/>
                <w:lang w:eastAsia="cs-CZ"/>
              </w:rPr>
              <w:t>154 065</w:t>
            </w:r>
          </w:p>
        </w:tc>
        <w:tc>
          <w:tcPr>
            <w:tcW w:w="538" w:type="pct"/>
            <w:tcBorders>
              <w:top w:val="single" w:sz="8" w:space="0" w:color="7F7F7F" w:themeColor="text1" w:themeTint="80"/>
              <w:bottom w:val="single" w:sz="8" w:space="0" w:color="7F7F7F" w:themeColor="text1" w:themeTint="80"/>
            </w:tcBorders>
            <w:shd w:val="clear" w:color="auto" w:fill="auto"/>
            <w:vAlign w:val="center"/>
          </w:tcPr>
          <w:p w:rsidR="00910074" w:rsidRPr="00BA5BDC" w:rsidRDefault="00910074" w:rsidP="00910074">
            <w:pPr>
              <w:spacing w:before="120"/>
              <w:jc w:val="right"/>
              <w:rPr>
                <w:rFonts w:eastAsia="Times New Roman" w:cs="Times New Roman"/>
                <w:b/>
                <w:lang w:eastAsia="cs-CZ"/>
              </w:rPr>
            </w:pPr>
            <w:r w:rsidRPr="00BA5BDC">
              <w:rPr>
                <w:rFonts w:eastAsia="Times New Roman" w:cs="Times New Roman"/>
                <w:b/>
                <w:lang w:eastAsia="cs-CZ"/>
              </w:rPr>
              <w:t>61,86</w:t>
            </w:r>
          </w:p>
        </w:tc>
      </w:tr>
      <w:tr w:rsidR="00910074" w:rsidRPr="00D17FF5" w:rsidTr="00910074">
        <w:trPr>
          <w:trHeight w:val="294"/>
        </w:trPr>
        <w:tc>
          <w:tcPr>
            <w:tcW w:w="2387" w:type="pct"/>
            <w:tcBorders>
              <w:top w:val="single" w:sz="8" w:space="0" w:color="7F7F7F" w:themeColor="text1" w:themeTint="80"/>
            </w:tcBorders>
            <w:shd w:val="clear" w:color="auto" w:fill="auto"/>
            <w:vAlign w:val="center"/>
          </w:tcPr>
          <w:p w:rsidR="00910074" w:rsidRPr="00D17FF5" w:rsidRDefault="00910074" w:rsidP="00910074">
            <w:pPr>
              <w:rPr>
                <w:rFonts w:eastAsia="Times New Roman" w:cs="Times New Roman"/>
                <w:lang w:eastAsia="cs-CZ"/>
              </w:rPr>
            </w:pPr>
            <w:r w:rsidRPr="00D17FF5">
              <w:rPr>
                <w:rFonts w:eastAsia="Times New Roman" w:cs="Times New Roman"/>
                <w:lang w:eastAsia="cs-CZ"/>
              </w:rPr>
              <w:t>platy zaměstnanců a ostatní osobní náklady</w:t>
            </w:r>
          </w:p>
        </w:tc>
        <w:tc>
          <w:tcPr>
            <w:tcW w:w="768" w:type="pct"/>
            <w:tcBorders>
              <w:top w:val="single" w:sz="8" w:space="0" w:color="7F7F7F" w:themeColor="text1" w:themeTint="80"/>
            </w:tcBorders>
            <w:shd w:val="clear" w:color="auto" w:fill="auto"/>
            <w:vAlign w:val="center"/>
          </w:tcPr>
          <w:p w:rsidR="00910074" w:rsidRPr="00BA5BDC" w:rsidRDefault="00910074" w:rsidP="00910074">
            <w:pPr>
              <w:spacing w:before="120"/>
              <w:jc w:val="right"/>
              <w:rPr>
                <w:rFonts w:eastAsia="Times New Roman" w:cs="Times New Roman"/>
                <w:lang w:eastAsia="cs-CZ"/>
              </w:rPr>
            </w:pPr>
            <w:r w:rsidRPr="00BA5BDC">
              <w:rPr>
                <w:rFonts w:eastAsia="Times New Roman" w:cs="Times New Roman"/>
                <w:lang w:eastAsia="cs-CZ"/>
              </w:rPr>
              <w:t>31 302</w:t>
            </w:r>
          </w:p>
        </w:tc>
        <w:tc>
          <w:tcPr>
            <w:tcW w:w="691" w:type="pct"/>
            <w:tcBorders>
              <w:top w:val="single" w:sz="8" w:space="0" w:color="7F7F7F" w:themeColor="text1" w:themeTint="80"/>
            </w:tcBorders>
            <w:shd w:val="clear" w:color="auto" w:fill="auto"/>
            <w:vAlign w:val="center"/>
          </w:tcPr>
          <w:p w:rsidR="00910074" w:rsidRPr="00BA5BDC" w:rsidRDefault="00910074" w:rsidP="00910074">
            <w:pPr>
              <w:spacing w:before="120"/>
              <w:jc w:val="right"/>
              <w:rPr>
                <w:rFonts w:eastAsia="Times New Roman" w:cs="Times New Roman"/>
                <w:lang w:eastAsia="cs-CZ"/>
              </w:rPr>
            </w:pPr>
            <w:r w:rsidRPr="00BA5BDC">
              <w:rPr>
                <w:rFonts w:eastAsia="Times New Roman" w:cs="Times New Roman"/>
                <w:lang w:eastAsia="cs-CZ"/>
              </w:rPr>
              <w:t>34 286</w:t>
            </w:r>
          </w:p>
        </w:tc>
        <w:tc>
          <w:tcPr>
            <w:tcW w:w="615" w:type="pct"/>
            <w:tcBorders>
              <w:top w:val="single" w:sz="8" w:space="0" w:color="7F7F7F" w:themeColor="text1" w:themeTint="80"/>
            </w:tcBorders>
            <w:shd w:val="clear" w:color="auto" w:fill="auto"/>
            <w:vAlign w:val="center"/>
          </w:tcPr>
          <w:p w:rsidR="00910074" w:rsidRPr="00BA5BDC" w:rsidRDefault="00910074" w:rsidP="00910074">
            <w:pPr>
              <w:spacing w:before="120"/>
              <w:jc w:val="right"/>
              <w:rPr>
                <w:rFonts w:eastAsia="Times New Roman" w:cs="Times New Roman"/>
                <w:lang w:eastAsia="cs-CZ"/>
              </w:rPr>
            </w:pPr>
            <w:r w:rsidRPr="00BA5BDC">
              <w:rPr>
                <w:rFonts w:eastAsia="Times New Roman" w:cs="Times New Roman"/>
                <w:lang w:eastAsia="cs-CZ"/>
              </w:rPr>
              <w:t>34 286</w:t>
            </w:r>
          </w:p>
        </w:tc>
        <w:tc>
          <w:tcPr>
            <w:tcW w:w="538" w:type="pct"/>
            <w:tcBorders>
              <w:top w:val="single" w:sz="8" w:space="0" w:color="7F7F7F" w:themeColor="text1" w:themeTint="80"/>
            </w:tcBorders>
            <w:shd w:val="clear" w:color="auto" w:fill="auto"/>
            <w:vAlign w:val="center"/>
          </w:tcPr>
          <w:p w:rsidR="00910074" w:rsidRPr="00BA5BDC" w:rsidRDefault="00910074" w:rsidP="00910074">
            <w:pPr>
              <w:spacing w:before="120"/>
              <w:jc w:val="right"/>
              <w:rPr>
                <w:rFonts w:eastAsia="Times New Roman" w:cs="Times New Roman"/>
                <w:lang w:eastAsia="cs-CZ"/>
              </w:rPr>
            </w:pPr>
            <w:r w:rsidRPr="00BA5BDC">
              <w:rPr>
                <w:rFonts w:eastAsia="Times New Roman" w:cs="Times New Roman"/>
                <w:lang w:eastAsia="cs-CZ"/>
              </w:rPr>
              <w:t>100,00</w:t>
            </w:r>
          </w:p>
        </w:tc>
      </w:tr>
      <w:tr w:rsidR="00910074" w:rsidRPr="00D17FF5" w:rsidTr="00910074">
        <w:trPr>
          <w:trHeight w:val="158"/>
        </w:trPr>
        <w:tc>
          <w:tcPr>
            <w:tcW w:w="2387" w:type="pct"/>
            <w:tcBorders>
              <w:top w:val="single" w:sz="4" w:space="0" w:color="7F7F7F" w:themeColor="text1" w:themeTint="80"/>
            </w:tcBorders>
            <w:shd w:val="clear" w:color="auto" w:fill="auto"/>
          </w:tcPr>
          <w:p w:rsidR="00910074" w:rsidRPr="00D17FF5" w:rsidRDefault="00910074" w:rsidP="00910074">
            <w:pPr>
              <w:rPr>
                <w:rFonts w:eastAsia="Times New Roman" w:cs="Times New Roman"/>
                <w:lang w:eastAsia="cs-CZ"/>
              </w:rPr>
            </w:pPr>
            <w:r w:rsidRPr="00D17FF5">
              <w:rPr>
                <w:rFonts w:eastAsia="Times New Roman" w:cs="Times New Roman"/>
                <w:lang w:eastAsia="cs-CZ"/>
              </w:rPr>
              <w:lastRenderedPageBreak/>
              <w:t>povinné pojistné placené zaměstnavatelem</w:t>
            </w:r>
          </w:p>
        </w:tc>
        <w:tc>
          <w:tcPr>
            <w:tcW w:w="768" w:type="pct"/>
            <w:tcBorders>
              <w:top w:val="single" w:sz="4" w:space="0" w:color="7F7F7F" w:themeColor="text1" w:themeTint="80"/>
            </w:tcBorders>
            <w:shd w:val="clear" w:color="auto" w:fill="auto"/>
            <w:vAlign w:val="center"/>
          </w:tcPr>
          <w:p w:rsidR="00910074" w:rsidRPr="00BA5BDC" w:rsidRDefault="00910074" w:rsidP="00910074">
            <w:pPr>
              <w:autoSpaceDE w:val="0"/>
              <w:autoSpaceDN w:val="0"/>
              <w:adjustRightInd w:val="0"/>
              <w:jc w:val="right"/>
              <w:rPr>
                <w:rFonts w:eastAsia="Times New Roman" w:cs="Times New Roman"/>
                <w:lang w:eastAsia="cs-CZ"/>
              </w:rPr>
            </w:pPr>
            <w:r w:rsidRPr="00BA5BDC">
              <w:rPr>
                <w:rFonts w:eastAsia="Times New Roman" w:cs="Times New Roman"/>
                <w:lang w:eastAsia="cs-CZ"/>
              </w:rPr>
              <w:t>10 643</w:t>
            </w:r>
          </w:p>
        </w:tc>
        <w:tc>
          <w:tcPr>
            <w:tcW w:w="691" w:type="pct"/>
            <w:tcBorders>
              <w:top w:val="single" w:sz="4" w:space="0" w:color="7F7F7F" w:themeColor="text1" w:themeTint="80"/>
            </w:tcBorders>
            <w:shd w:val="clear" w:color="auto" w:fill="auto"/>
            <w:vAlign w:val="center"/>
          </w:tcPr>
          <w:p w:rsidR="00910074" w:rsidRPr="00BA5BDC" w:rsidRDefault="00910074" w:rsidP="00910074">
            <w:pPr>
              <w:jc w:val="right"/>
              <w:rPr>
                <w:rFonts w:eastAsia="Times New Roman" w:cs="Times New Roman"/>
                <w:lang w:eastAsia="cs-CZ"/>
              </w:rPr>
            </w:pPr>
            <w:r w:rsidRPr="00BA5BDC">
              <w:rPr>
                <w:rFonts w:eastAsia="Times New Roman" w:cs="Times New Roman"/>
                <w:lang w:eastAsia="cs-CZ"/>
              </w:rPr>
              <w:t>11 589</w:t>
            </w:r>
          </w:p>
        </w:tc>
        <w:tc>
          <w:tcPr>
            <w:tcW w:w="615" w:type="pct"/>
            <w:tcBorders>
              <w:top w:val="single" w:sz="4" w:space="0" w:color="7F7F7F" w:themeColor="text1" w:themeTint="80"/>
            </w:tcBorders>
            <w:shd w:val="clear" w:color="auto" w:fill="auto"/>
            <w:vAlign w:val="center"/>
          </w:tcPr>
          <w:p w:rsidR="00910074" w:rsidRPr="00BA5BDC" w:rsidRDefault="00910074" w:rsidP="00910074">
            <w:pPr>
              <w:jc w:val="right"/>
              <w:rPr>
                <w:rFonts w:eastAsia="Times New Roman" w:cs="Times New Roman"/>
                <w:lang w:eastAsia="cs-CZ"/>
              </w:rPr>
            </w:pPr>
            <w:r w:rsidRPr="00BA5BDC">
              <w:rPr>
                <w:rFonts w:eastAsia="Times New Roman" w:cs="Times New Roman"/>
                <w:lang w:eastAsia="cs-CZ"/>
              </w:rPr>
              <w:t>11 589</w:t>
            </w:r>
          </w:p>
        </w:tc>
        <w:tc>
          <w:tcPr>
            <w:tcW w:w="538" w:type="pct"/>
            <w:tcBorders>
              <w:top w:val="single" w:sz="4" w:space="0" w:color="7F7F7F" w:themeColor="text1" w:themeTint="80"/>
            </w:tcBorders>
            <w:shd w:val="clear" w:color="auto" w:fill="auto"/>
            <w:vAlign w:val="center"/>
          </w:tcPr>
          <w:p w:rsidR="00910074" w:rsidRPr="00BA5BDC" w:rsidRDefault="00910074" w:rsidP="00910074">
            <w:pPr>
              <w:jc w:val="right"/>
              <w:rPr>
                <w:rFonts w:eastAsia="Times New Roman" w:cs="Times New Roman"/>
                <w:lang w:eastAsia="cs-CZ"/>
              </w:rPr>
            </w:pPr>
            <w:r w:rsidRPr="00BA5BDC">
              <w:rPr>
                <w:rFonts w:eastAsia="Times New Roman" w:cs="Times New Roman"/>
                <w:lang w:eastAsia="cs-CZ"/>
              </w:rPr>
              <w:t>100,00</w:t>
            </w:r>
          </w:p>
        </w:tc>
      </w:tr>
      <w:tr w:rsidR="00910074" w:rsidRPr="00D17FF5" w:rsidTr="00910074">
        <w:trPr>
          <w:trHeight w:val="255"/>
        </w:trPr>
        <w:tc>
          <w:tcPr>
            <w:tcW w:w="2387" w:type="pct"/>
            <w:shd w:val="clear" w:color="auto" w:fill="auto"/>
          </w:tcPr>
          <w:p w:rsidR="00910074" w:rsidRPr="00D17FF5" w:rsidRDefault="00910074" w:rsidP="00910074">
            <w:pPr>
              <w:rPr>
                <w:rFonts w:eastAsia="Times New Roman" w:cs="Times New Roman"/>
                <w:lang w:eastAsia="cs-CZ"/>
              </w:rPr>
            </w:pPr>
            <w:r w:rsidRPr="00D17FF5">
              <w:rPr>
                <w:rFonts w:eastAsia="Times New Roman" w:cs="Times New Roman"/>
                <w:lang w:eastAsia="cs-CZ"/>
              </w:rPr>
              <w:t>příděl FKSP</w:t>
            </w:r>
          </w:p>
        </w:tc>
        <w:tc>
          <w:tcPr>
            <w:tcW w:w="768" w:type="pct"/>
            <w:tcBorders>
              <w:bottom w:val="single" w:sz="4" w:space="0" w:color="7F7F7F" w:themeColor="text1" w:themeTint="80"/>
            </w:tcBorders>
            <w:shd w:val="clear" w:color="auto" w:fill="auto"/>
            <w:vAlign w:val="center"/>
          </w:tcPr>
          <w:p w:rsidR="00910074" w:rsidRPr="00BA5BDC" w:rsidRDefault="00910074" w:rsidP="00910074">
            <w:pPr>
              <w:tabs>
                <w:tab w:val="left" w:pos="720"/>
              </w:tabs>
              <w:jc w:val="right"/>
              <w:rPr>
                <w:rFonts w:eastAsia="Times New Roman" w:cs="Times New Roman"/>
                <w:lang w:eastAsia="cs-CZ"/>
              </w:rPr>
            </w:pPr>
            <w:r w:rsidRPr="00BA5BDC">
              <w:rPr>
                <w:rFonts w:eastAsia="Times New Roman" w:cs="Times New Roman"/>
                <w:lang w:eastAsia="cs-CZ"/>
              </w:rPr>
              <w:t>608</w:t>
            </w:r>
          </w:p>
        </w:tc>
        <w:tc>
          <w:tcPr>
            <w:tcW w:w="691" w:type="pct"/>
            <w:tcBorders>
              <w:bottom w:val="single" w:sz="4" w:space="0" w:color="7F7F7F" w:themeColor="text1" w:themeTint="80"/>
            </w:tcBorders>
            <w:shd w:val="clear" w:color="auto" w:fill="auto"/>
            <w:vAlign w:val="center"/>
          </w:tcPr>
          <w:p w:rsidR="00910074" w:rsidRPr="00BA5BDC" w:rsidRDefault="00910074" w:rsidP="00910074">
            <w:pPr>
              <w:jc w:val="right"/>
              <w:rPr>
                <w:rFonts w:eastAsia="Times New Roman" w:cs="Times New Roman"/>
                <w:lang w:eastAsia="cs-CZ"/>
              </w:rPr>
            </w:pPr>
            <w:r w:rsidRPr="00BA5BDC">
              <w:rPr>
                <w:rFonts w:eastAsia="Times New Roman" w:cs="Times New Roman"/>
                <w:lang w:eastAsia="cs-CZ"/>
              </w:rPr>
              <w:t>657</w:t>
            </w:r>
          </w:p>
        </w:tc>
        <w:tc>
          <w:tcPr>
            <w:tcW w:w="615" w:type="pct"/>
            <w:tcBorders>
              <w:bottom w:val="single" w:sz="4" w:space="0" w:color="7F7F7F" w:themeColor="text1" w:themeTint="80"/>
            </w:tcBorders>
            <w:shd w:val="clear" w:color="auto" w:fill="auto"/>
            <w:vAlign w:val="center"/>
          </w:tcPr>
          <w:p w:rsidR="00910074" w:rsidRPr="00BA5BDC" w:rsidRDefault="00910074" w:rsidP="00910074">
            <w:pPr>
              <w:jc w:val="right"/>
              <w:rPr>
                <w:rFonts w:eastAsia="Times New Roman" w:cs="Times New Roman"/>
                <w:lang w:eastAsia="cs-CZ"/>
              </w:rPr>
            </w:pPr>
            <w:r w:rsidRPr="00BA5BDC">
              <w:rPr>
                <w:rFonts w:eastAsia="Times New Roman" w:cs="Times New Roman"/>
                <w:lang w:eastAsia="cs-CZ"/>
              </w:rPr>
              <w:t>657</w:t>
            </w:r>
          </w:p>
        </w:tc>
        <w:tc>
          <w:tcPr>
            <w:tcW w:w="538" w:type="pct"/>
            <w:tcBorders>
              <w:bottom w:val="single" w:sz="4" w:space="0" w:color="7F7F7F" w:themeColor="text1" w:themeTint="80"/>
            </w:tcBorders>
            <w:shd w:val="clear" w:color="auto" w:fill="auto"/>
            <w:vAlign w:val="center"/>
          </w:tcPr>
          <w:p w:rsidR="00910074" w:rsidRPr="00BA5BDC" w:rsidRDefault="00910074" w:rsidP="00910074">
            <w:pPr>
              <w:jc w:val="right"/>
              <w:rPr>
                <w:rFonts w:eastAsia="Times New Roman" w:cs="Times New Roman"/>
                <w:lang w:eastAsia="cs-CZ"/>
              </w:rPr>
            </w:pPr>
            <w:r w:rsidRPr="00BA5BDC">
              <w:rPr>
                <w:rFonts w:eastAsia="Times New Roman" w:cs="Times New Roman"/>
                <w:lang w:eastAsia="cs-CZ"/>
              </w:rPr>
              <w:t>100,00</w:t>
            </w:r>
          </w:p>
        </w:tc>
      </w:tr>
      <w:tr w:rsidR="00910074" w:rsidRPr="00D17FF5" w:rsidTr="00910074">
        <w:trPr>
          <w:trHeight w:val="455"/>
        </w:trPr>
        <w:tc>
          <w:tcPr>
            <w:tcW w:w="2387" w:type="pct"/>
            <w:shd w:val="clear" w:color="auto" w:fill="auto"/>
          </w:tcPr>
          <w:p w:rsidR="00910074" w:rsidRPr="00D17FF5" w:rsidRDefault="00910074" w:rsidP="005974F4">
            <w:pPr>
              <w:jc w:val="left"/>
              <w:rPr>
                <w:rFonts w:eastAsia="Times New Roman" w:cs="Times New Roman"/>
                <w:lang w:eastAsia="cs-CZ"/>
              </w:rPr>
            </w:pPr>
            <w:r w:rsidRPr="00D17FF5">
              <w:rPr>
                <w:rFonts w:eastAsia="Times New Roman" w:cs="Times New Roman"/>
                <w:lang w:eastAsia="cs-CZ"/>
              </w:rPr>
              <w:t>dotace na neinvestiční náklady související s financ. programů evidovaných v EDS/SMVS</w:t>
            </w:r>
          </w:p>
        </w:tc>
        <w:tc>
          <w:tcPr>
            <w:tcW w:w="768" w:type="pct"/>
            <w:tcBorders>
              <w:top w:val="single" w:sz="4" w:space="0" w:color="7F7F7F" w:themeColor="text1" w:themeTint="80"/>
              <w:bottom w:val="single" w:sz="4" w:space="0" w:color="auto"/>
            </w:tcBorders>
            <w:shd w:val="clear" w:color="auto" w:fill="auto"/>
            <w:vAlign w:val="center"/>
          </w:tcPr>
          <w:p w:rsidR="00910074" w:rsidRPr="00BA5BDC" w:rsidRDefault="00910074" w:rsidP="00910074">
            <w:pPr>
              <w:spacing w:before="120"/>
              <w:jc w:val="right"/>
              <w:rPr>
                <w:rFonts w:eastAsia="Times New Roman" w:cs="Times New Roman"/>
                <w:lang w:eastAsia="cs-CZ"/>
              </w:rPr>
            </w:pPr>
            <w:r w:rsidRPr="00BA5BDC">
              <w:rPr>
                <w:rFonts w:eastAsia="Times New Roman" w:cs="Times New Roman"/>
                <w:lang w:eastAsia="cs-CZ"/>
              </w:rPr>
              <w:t>0</w:t>
            </w:r>
          </w:p>
        </w:tc>
        <w:tc>
          <w:tcPr>
            <w:tcW w:w="691" w:type="pct"/>
            <w:tcBorders>
              <w:top w:val="single" w:sz="4" w:space="0" w:color="7F7F7F" w:themeColor="text1" w:themeTint="80"/>
              <w:bottom w:val="single" w:sz="4" w:space="0" w:color="auto"/>
            </w:tcBorders>
            <w:shd w:val="clear" w:color="auto" w:fill="auto"/>
            <w:vAlign w:val="center"/>
          </w:tcPr>
          <w:p w:rsidR="00910074" w:rsidRPr="00BA5BDC" w:rsidRDefault="00910074" w:rsidP="00910074">
            <w:pPr>
              <w:spacing w:before="120"/>
              <w:jc w:val="right"/>
              <w:rPr>
                <w:rFonts w:eastAsia="Times New Roman" w:cs="Times New Roman"/>
                <w:lang w:eastAsia="cs-CZ"/>
              </w:rPr>
            </w:pPr>
            <w:r w:rsidRPr="00BA5BDC">
              <w:rPr>
                <w:rFonts w:eastAsia="Times New Roman" w:cs="Times New Roman"/>
                <w:lang w:eastAsia="cs-CZ"/>
              </w:rPr>
              <w:t>4 000</w:t>
            </w:r>
          </w:p>
        </w:tc>
        <w:tc>
          <w:tcPr>
            <w:tcW w:w="615" w:type="pct"/>
            <w:tcBorders>
              <w:top w:val="single" w:sz="4" w:space="0" w:color="7F7F7F" w:themeColor="text1" w:themeTint="80"/>
              <w:bottom w:val="single" w:sz="4" w:space="0" w:color="auto"/>
            </w:tcBorders>
            <w:shd w:val="clear" w:color="auto" w:fill="auto"/>
            <w:vAlign w:val="center"/>
          </w:tcPr>
          <w:p w:rsidR="00910074" w:rsidRPr="00BA5BDC" w:rsidRDefault="00910074" w:rsidP="00910074">
            <w:pPr>
              <w:spacing w:before="120"/>
              <w:jc w:val="right"/>
              <w:rPr>
                <w:rFonts w:eastAsia="Times New Roman" w:cs="Times New Roman"/>
                <w:lang w:eastAsia="cs-CZ"/>
              </w:rPr>
            </w:pPr>
            <w:r w:rsidRPr="00BA5BDC">
              <w:rPr>
                <w:rFonts w:eastAsia="Times New Roman" w:cs="Times New Roman"/>
                <w:lang w:eastAsia="cs-CZ"/>
              </w:rPr>
              <w:t>0</w:t>
            </w:r>
          </w:p>
        </w:tc>
        <w:tc>
          <w:tcPr>
            <w:tcW w:w="538" w:type="pct"/>
            <w:tcBorders>
              <w:top w:val="single" w:sz="4" w:space="0" w:color="7F7F7F" w:themeColor="text1" w:themeTint="80"/>
              <w:bottom w:val="single" w:sz="4" w:space="0" w:color="auto"/>
            </w:tcBorders>
            <w:shd w:val="clear" w:color="auto" w:fill="auto"/>
            <w:vAlign w:val="center"/>
          </w:tcPr>
          <w:p w:rsidR="00910074" w:rsidRPr="00BA5BDC" w:rsidRDefault="00910074" w:rsidP="00910074">
            <w:pPr>
              <w:spacing w:before="120"/>
              <w:jc w:val="right"/>
              <w:rPr>
                <w:rFonts w:eastAsia="Times New Roman" w:cs="Times New Roman"/>
                <w:lang w:eastAsia="cs-CZ"/>
              </w:rPr>
            </w:pPr>
            <w:r w:rsidRPr="00BA5BDC">
              <w:rPr>
                <w:rFonts w:eastAsia="Times New Roman" w:cs="Times New Roman"/>
                <w:lang w:eastAsia="cs-CZ"/>
              </w:rPr>
              <w:t>0</w:t>
            </w:r>
            <w:r>
              <w:rPr>
                <w:rFonts w:eastAsia="Times New Roman" w:cs="Times New Roman"/>
                <w:lang w:eastAsia="cs-CZ"/>
              </w:rPr>
              <w:t>,00</w:t>
            </w:r>
          </w:p>
        </w:tc>
      </w:tr>
    </w:tbl>
    <w:p w:rsidR="00BD28A7" w:rsidRPr="00BE6537" w:rsidRDefault="00BD28A7" w:rsidP="00B510CB">
      <w:pPr>
        <w:spacing w:before="240" w:after="120" w:line="240" w:lineRule="auto"/>
        <w:rPr>
          <w:rFonts w:eastAsia="Times New Roman" w:cs="Times New Roman"/>
          <w:b/>
          <w:bCs/>
          <w:szCs w:val="24"/>
          <w:u w:val="single"/>
          <w:lang w:eastAsia="cs-CZ"/>
        </w:rPr>
      </w:pPr>
      <w:r w:rsidRPr="00BE6537">
        <w:rPr>
          <w:rFonts w:eastAsia="Times New Roman" w:cs="Times New Roman"/>
          <w:b/>
          <w:bCs/>
          <w:szCs w:val="24"/>
          <w:u w:val="single"/>
          <w:lang w:eastAsia="cs-CZ"/>
        </w:rPr>
        <w:t>Centrum služeb pro silniční dopravu</w:t>
      </w:r>
    </w:p>
    <w:p w:rsidR="00BE6537" w:rsidRPr="00F765CF" w:rsidRDefault="00BE6537" w:rsidP="00BE6537">
      <w:pPr>
        <w:keepLines/>
        <w:spacing w:before="240" w:after="240" w:line="276" w:lineRule="auto"/>
        <w:rPr>
          <w:rFonts w:eastAsia="Times New Roman" w:cs="Times New Roman"/>
          <w:iCs/>
          <w:szCs w:val="24"/>
          <w:lang w:eastAsia="cs-CZ"/>
        </w:rPr>
      </w:pPr>
      <w:r w:rsidRPr="00F765CF">
        <w:rPr>
          <w:rFonts w:eastAsia="Times New Roman" w:cs="Times New Roman"/>
          <w:iCs/>
          <w:szCs w:val="24"/>
          <w:lang w:eastAsia="cs-CZ"/>
        </w:rPr>
        <w:t xml:space="preserve">Centrum služeb pro silniční dopravu je státní příspěvkovou organizací rezortu Ministerstva dopravy, která zabezpečuje zejména profesní vzdělávání pracovníků státní správy v oboru silniční dopravy, školení techniků stanic technické kontroly, kontrolních mechaniků měření emisí, zabezpečuje distribuci tiskopisů pro potřeby dopravně správních činností, distribuci registračních značek a logistiku na úseku centralizované výroby řidičského průkazu vzoru EU. Dále zabezpečuje systém kontrolního vážení vozidel, dodržování právního řádu </w:t>
      </w:r>
      <w:r w:rsidRPr="00F765CF">
        <w:rPr>
          <w:rFonts w:eastAsia="Times New Roman" w:cs="Times New Roman"/>
          <w:iCs/>
          <w:szCs w:val="24"/>
          <w:lang w:eastAsia="cs-CZ"/>
        </w:rPr>
        <w:br/>
        <w:t>a mezinárodních smluv, kterými je vázána Česká republika v oblasti práce osádek silniční dopravy (AETR) a přepravy nebezpečných věcí (ADR), a delegované činnosti na úseku BESIP.</w:t>
      </w:r>
    </w:p>
    <w:p w:rsidR="00BE6537" w:rsidRPr="00F765CF" w:rsidRDefault="00BE6537" w:rsidP="00BE6537">
      <w:pPr>
        <w:keepNext/>
        <w:spacing w:before="120" w:after="120" w:line="240" w:lineRule="auto"/>
        <w:rPr>
          <w:rFonts w:eastAsia="Times New Roman" w:cs="Times New Roman"/>
          <w:b/>
          <w:bCs/>
          <w:sz w:val="20"/>
          <w:szCs w:val="20"/>
          <w:lang w:eastAsia="cs-CZ"/>
        </w:rPr>
      </w:pPr>
      <w:r w:rsidRPr="00F765CF">
        <w:rPr>
          <w:rFonts w:eastAsia="Times New Roman" w:cs="Times New Roman"/>
          <w:b/>
          <w:bCs/>
          <w:sz w:val="20"/>
          <w:szCs w:val="20"/>
          <w:lang w:eastAsia="cs-CZ"/>
        </w:rPr>
        <w:t xml:space="preserve">Tabulka č. </w:t>
      </w:r>
      <w:r w:rsidRPr="00F765CF">
        <w:rPr>
          <w:rFonts w:eastAsia="Times New Roman" w:cs="Times New Roman"/>
          <w:b/>
          <w:bCs/>
          <w:sz w:val="20"/>
          <w:szCs w:val="20"/>
          <w:lang w:eastAsia="cs-CZ"/>
        </w:rPr>
        <w:fldChar w:fldCharType="begin"/>
      </w:r>
      <w:r w:rsidRPr="00F765CF">
        <w:rPr>
          <w:rFonts w:eastAsia="Times New Roman" w:cs="Times New Roman"/>
          <w:b/>
          <w:bCs/>
          <w:sz w:val="20"/>
          <w:szCs w:val="20"/>
          <w:lang w:eastAsia="cs-CZ"/>
        </w:rPr>
        <w:instrText xml:space="preserve"> SEQ Tabulka \* ARABIC </w:instrText>
      </w:r>
      <w:r w:rsidRPr="00F765CF">
        <w:rPr>
          <w:rFonts w:eastAsia="Times New Roman" w:cs="Times New Roman"/>
          <w:b/>
          <w:bCs/>
          <w:sz w:val="20"/>
          <w:szCs w:val="20"/>
          <w:lang w:eastAsia="cs-CZ"/>
        </w:rPr>
        <w:fldChar w:fldCharType="separate"/>
      </w:r>
      <w:r w:rsidR="006076E7">
        <w:rPr>
          <w:rFonts w:eastAsia="Times New Roman" w:cs="Times New Roman"/>
          <w:b/>
          <w:bCs/>
          <w:noProof/>
          <w:sz w:val="20"/>
          <w:szCs w:val="20"/>
          <w:lang w:eastAsia="cs-CZ"/>
        </w:rPr>
        <w:t>17</w:t>
      </w:r>
      <w:r w:rsidRPr="00F765CF">
        <w:rPr>
          <w:rFonts w:eastAsia="Times New Roman" w:cs="Times New Roman"/>
          <w:b/>
          <w:bCs/>
          <w:noProof/>
          <w:sz w:val="20"/>
          <w:szCs w:val="20"/>
          <w:lang w:eastAsia="cs-CZ"/>
        </w:rPr>
        <w:fldChar w:fldCharType="end"/>
      </w:r>
      <w:r w:rsidRPr="00F765CF">
        <w:rPr>
          <w:rFonts w:eastAsia="Times New Roman" w:cs="Times New Roman"/>
          <w:b/>
          <w:bCs/>
          <w:noProof/>
          <w:sz w:val="20"/>
          <w:szCs w:val="20"/>
          <w:lang w:eastAsia="cs-CZ"/>
        </w:rPr>
        <w:t xml:space="preserve"> Centrum služeb pro silniční dopravu (v tis. Kč)</w:t>
      </w:r>
    </w:p>
    <w:tbl>
      <w:tblPr>
        <w:tblStyle w:val="Svtltabulkasmkou1zvraznn5"/>
        <w:tblW w:w="9168" w:type="dxa"/>
        <w:tblInd w:w="-10" w:type="dxa"/>
        <w:tblLayout w:type="fixed"/>
        <w:tblLook w:val="0000" w:firstRow="0" w:lastRow="0" w:firstColumn="0" w:lastColumn="0" w:noHBand="0" w:noVBand="0"/>
      </w:tblPr>
      <w:tblGrid>
        <w:gridCol w:w="4422"/>
        <w:gridCol w:w="1344"/>
        <w:gridCol w:w="1332"/>
        <w:gridCol w:w="1134"/>
        <w:gridCol w:w="936"/>
      </w:tblGrid>
      <w:tr w:rsidR="00BE6537" w:rsidRPr="00F765CF" w:rsidTr="005974F4">
        <w:trPr>
          <w:trHeight w:val="270"/>
        </w:trPr>
        <w:tc>
          <w:tcPr>
            <w:tcW w:w="4422" w:type="dxa"/>
            <w:tcBorders>
              <w:top w:val="single" w:sz="8"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BE6537" w:rsidRPr="00F765CF" w:rsidRDefault="00BE6537" w:rsidP="00910074">
            <w:pPr>
              <w:autoSpaceDE w:val="0"/>
              <w:autoSpaceDN w:val="0"/>
              <w:adjustRightInd w:val="0"/>
              <w:jc w:val="center"/>
              <w:rPr>
                <w:rFonts w:eastAsia="Times New Roman" w:cs="Times New Roman"/>
                <w:b/>
                <w:lang w:eastAsia="cs-CZ"/>
              </w:rPr>
            </w:pPr>
            <w:r w:rsidRPr="00F765CF">
              <w:rPr>
                <w:rFonts w:eastAsia="Times New Roman" w:cs="Times New Roman"/>
                <w:b/>
                <w:lang w:eastAsia="cs-CZ"/>
              </w:rPr>
              <w:t>Ukazatel</w:t>
            </w:r>
          </w:p>
        </w:tc>
        <w:tc>
          <w:tcPr>
            <w:tcW w:w="134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BE6537" w:rsidRPr="00F765CF" w:rsidRDefault="00BE6537" w:rsidP="00910074">
            <w:pPr>
              <w:jc w:val="center"/>
              <w:rPr>
                <w:rFonts w:eastAsia="Times New Roman" w:cs="Times New Roman"/>
                <w:b/>
                <w:szCs w:val="24"/>
                <w:lang w:eastAsia="cs-CZ"/>
              </w:rPr>
            </w:pPr>
            <w:r w:rsidRPr="00F765CF">
              <w:rPr>
                <w:rFonts w:eastAsia="Times New Roman" w:cs="Times New Roman"/>
                <w:b/>
                <w:szCs w:val="24"/>
                <w:lang w:eastAsia="cs-CZ"/>
              </w:rPr>
              <w:t>Skutečnost</w:t>
            </w:r>
          </w:p>
          <w:p w:rsidR="00BE6537" w:rsidRPr="00F765CF" w:rsidRDefault="00BE6537" w:rsidP="00910074">
            <w:pPr>
              <w:jc w:val="center"/>
              <w:rPr>
                <w:rFonts w:eastAsia="Times New Roman" w:cs="Times New Roman"/>
                <w:b/>
                <w:szCs w:val="24"/>
                <w:lang w:eastAsia="cs-CZ"/>
              </w:rPr>
            </w:pPr>
            <w:r w:rsidRPr="00F765CF">
              <w:rPr>
                <w:rFonts w:eastAsia="Times New Roman" w:cs="Times New Roman"/>
                <w:b/>
                <w:szCs w:val="24"/>
                <w:lang w:eastAsia="cs-CZ"/>
              </w:rPr>
              <w:t>2019</w:t>
            </w:r>
          </w:p>
        </w:tc>
        <w:tc>
          <w:tcPr>
            <w:tcW w:w="1332"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BE6537" w:rsidRPr="00F765CF" w:rsidRDefault="00BE6537" w:rsidP="00910074">
            <w:pPr>
              <w:jc w:val="center"/>
              <w:rPr>
                <w:rFonts w:eastAsia="Times New Roman" w:cs="Times New Roman"/>
                <w:b/>
                <w:szCs w:val="24"/>
                <w:lang w:eastAsia="cs-CZ"/>
              </w:rPr>
            </w:pPr>
            <w:r w:rsidRPr="00F765CF">
              <w:rPr>
                <w:rFonts w:eastAsia="Times New Roman" w:cs="Times New Roman"/>
                <w:b/>
                <w:szCs w:val="24"/>
                <w:lang w:eastAsia="cs-CZ"/>
              </w:rPr>
              <w:t>Schválený</w:t>
            </w:r>
          </w:p>
          <w:p w:rsidR="00BE6537" w:rsidRPr="00F765CF" w:rsidRDefault="00BE6537" w:rsidP="00910074">
            <w:pPr>
              <w:jc w:val="center"/>
              <w:rPr>
                <w:rFonts w:eastAsia="Times New Roman" w:cs="Times New Roman"/>
                <w:b/>
                <w:szCs w:val="24"/>
                <w:lang w:eastAsia="cs-CZ"/>
              </w:rPr>
            </w:pPr>
            <w:r w:rsidRPr="00F765CF">
              <w:rPr>
                <w:rFonts w:eastAsia="Times New Roman" w:cs="Times New Roman"/>
                <w:b/>
                <w:szCs w:val="24"/>
                <w:lang w:eastAsia="cs-CZ"/>
              </w:rPr>
              <w:t>rozpočet</w:t>
            </w:r>
          </w:p>
          <w:p w:rsidR="00BE6537" w:rsidRPr="00F765CF" w:rsidRDefault="00BE6537" w:rsidP="00910074">
            <w:pPr>
              <w:jc w:val="center"/>
              <w:rPr>
                <w:rFonts w:eastAsia="Times New Roman" w:cs="Times New Roman"/>
                <w:b/>
                <w:szCs w:val="24"/>
                <w:lang w:eastAsia="cs-CZ"/>
              </w:rPr>
            </w:pPr>
            <w:r w:rsidRPr="00F765CF">
              <w:rPr>
                <w:rFonts w:eastAsia="Times New Roman" w:cs="Times New Roman"/>
                <w:b/>
                <w:szCs w:val="24"/>
                <w:lang w:eastAsia="cs-CZ"/>
              </w:rPr>
              <w:t>2020</w:t>
            </w:r>
          </w:p>
        </w:tc>
        <w:tc>
          <w:tcPr>
            <w:tcW w:w="113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BE6537" w:rsidRPr="00F765CF" w:rsidRDefault="00BE6537" w:rsidP="00910074">
            <w:pPr>
              <w:jc w:val="center"/>
              <w:rPr>
                <w:rFonts w:eastAsia="Times New Roman" w:cs="Times New Roman"/>
                <w:b/>
                <w:szCs w:val="24"/>
                <w:lang w:eastAsia="cs-CZ"/>
              </w:rPr>
            </w:pPr>
            <w:r w:rsidRPr="00F765CF">
              <w:rPr>
                <w:rFonts w:eastAsia="Times New Roman" w:cs="Times New Roman"/>
                <w:b/>
                <w:szCs w:val="24"/>
                <w:lang w:eastAsia="cs-CZ"/>
              </w:rPr>
              <w:t>Návrh</w:t>
            </w:r>
          </w:p>
          <w:p w:rsidR="00BE6537" w:rsidRPr="00F765CF" w:rsidRDefault="00BE6537" w:rsidP="00910074">
            <w:pPr>
              <w:jc w:val="center"/>
              <w:rPr>
                <w:rFonts w:eastAsia="Times New Roman" w:cs="Times New Roman"/>
                <w:b/>
                <w:szCs w:val="24"/>
                <w:lang w:eastAsia="cs-CZ"/>
              </w:rPr>
            </w:pPr>
            <w:r w:rsidRPr="00F765CF">
              <w:rPr>
                <w:rFonts w:eastAsia="Times New Roman" w:cs="Times New Roman"/>
                <w:b/>
                <w:szCs w:val="24"/>
                <w:lang w:eastAsia="cs-CZ"/>
              </w:rPr>
              <w:t>rozpočtu</w:t>
            </w:r>
          </w:p>
          <w:p w:rsidR="00BE6537" w:rsidRPr="00F765CF" w:rsidRDefault="00BE6537" w:rsidP="00910074">
            <w:pPr>
              <w:jc w:val="center"/>
              <w:rPr>
                <w:rFonts w:eastAsia="Times New Roman" w:cs="Times New Roman"/>
                <w:b/>
                <w:szCs w:val="24"/>
                <w:lang w:eastAsia="cs-CZ"/>
              </w:rPr>
            </w:pPr>
            <w:r w:rsidRPr="00F765CF">
              <w:rPr>
                <w:rFonts w:eastAsia="Times New Roman" w:cs="Times New Roman"/>
                <w:b/>
                <w:szCs w:val="24"/>
                <w:lang w:eastAsia="cs-CZ"/>
              </w:rPr>
              <w:t>2021</w:t>
            </w:r>
          </w:p>
        </w:tc>
        <w:tc>
          <w:tcPr>
            <w:tcW w:w="936" w:type="dxa"/>
            <w:tcBorders>
              <w:top w:val="single" w:sz="8"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thinReverseDiagStripe" w:color="D9D9D9" w:themeColor="background1" w:themeShade="D9" w:fill="FFFFFF" w:themeFill="background1"/>
            <w:vAlign w:val="center"/>
          </w:tcPr>
          <w:p w:rsidR="00BE6537" w:rsidRPr="00F765CF" w:rsidRDefault="00BE6537" w:rsidP="00910074">
            <w:pPr>
              <w:jc w:val="center"/>
              <w:rPr>
                <w:rFonts w:eastAsia="Times New Roman" w:cs="Times New Roman"/>
                <w:b/>
                <w:szCs w:val="24"/>
                <w:lang w:eastAsia="cs-CZ"/>
              </w:rPr>
            </w:pPr>
            <w:r w:rsidRPr="00F765CF">
              <w:rPr>
                <w:rFonts w:eastAsia="Times New Roman" w:cs="Times New Roman"/>
                <w:b/>
                <w:szCs w:val="24"/>
                <w:lang w:eastAsia="cs-CZ"/>
              </w:rPr>
              <w:t>Index</w:t>
            </w:r>
          </w:p>
          <w:p w:rsidR="00BE6537" w:rsidRPr="00F765CF" w:rsidRDefault="00BE6537" w:rsidP="00910074">
            <w:pPr>
              <w:jc w:val="center"/>
              <w:rPr>
                <w:rFonts w:eastAsia="Times New Roman" w:cs="Times New Roman"/>
                <w:b/>
                <w:szCs w:val="24"/>
                <w:lang w:eastAsia="cs-CZ"/>
              </w:rPr>
            </w:pPr>
            <w:r w:rsidRPr="00F765CF">
              <w:rPr>
                <w:rFonts w:eastAsia="Times New Roman" w:cs="Times New Roman"/>
                <w:b/>
                <w:szCs w:val="24"/>
                <w:lang w:eastAsia="cs-CZ"/>
              </w:rPr>
              <w:t>2021/</w:t>
            </w:r>
            <w:r w:rsidRPr="00F765CF">
              <w:rPr>
                <w:rFonts w:eastAsia="Times New Roman" w:cs="Times New Roman"/>
                <w:b/>
                <w:szCs w:val="24"/>
                <w:lang w:eastAsia="cs-CZ"/>
              </w:rPr>
              <w:br/>
              <w:t xml:space="preserve">2020 </w:t>
            </w:r>
            <w:r w:rsidRPr="00F765CF">
              <w:rPr>
                <w:rFonts w:eastAsia="Times New Roman" w:cs="Times New Roman"/>
                <w:b/>
                <w:szCs w:val="24"/>
                <w:lang w:eastAsia="cs-CZ"/>
              </w:rPr>
              <w:br/>
              <w:t>(v %)</w:t>
            </w:r>
          </w:p>
        </w:tc>
      </w:tr>
      <w:tr w:rsidR="00BE6537" w:rsidRPr="00F765CF" w:rsidTr="005974F4">
        <w:trPr>
          <w:trHeight w:val="270"/>
        </w:trPr>
        <w:tc>
          <w:tcPr>
            <w:tcW w:w="4422" w:type="dxa"/>
            <w:tcBorders>
              <w:top w:val="single" w:sz="4"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BE6537" w:rsidRPr="00F765CF" w:rsidRDefault="00BE6537" w:rsidP="00910074">
            <w:pPr>
              <w:autoSpaceDE w:val="0"/>
              <w:autoSpaceDN w:val="0"/>
              <w:adjustRightInd w:val="0"/>
              <w:jc w:val="center"/>
              <w:rPr>
                <w:rFonts w:eastAsia="Times New Roman" w:cs="Times New Roman"/>
                <w:lang w:eastAsia="cs-CZ"/>
              </w:rPr>
            </w:pPr>
            <w:r w:rsidRPr="00F765CF">
              <w:rPr>
                <w:rFonts w:eastAsia="Times New Roman" w:cs="Times New Roman"/>
                <w:lang w:eastAsia="cs-CZ"/>
              </w:rPr>
              <w:t>a</w:t>
            </w:r>
          </w:p>
        </w:tc>
        <w:tc>
          <w:tcPr>
            <w:tcW w:w="1344"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BE6537" w:rsidRPr="00F765CF" w:rsidRDefault="00BE6537" w:rsidP="00910074">
            <w:pPr>
              <w:jc w:val="center"/>
              <w:rPr>
                <w:rFonts w:eastAsia="Times New Roman" w:cs="Times New Roman"/>
                <w:lang w:eastAsia="cs-CZ"/>
              </w:rPr>
            </w:pPr>
            <w:r w:rsidRPr="00F765CF">
              <w:rPr>
                <w:rFonts w:eastAsia="Times New Roman" w:cs="Times New Roman"/>
                <w:lang w:eastAsia="cs-CZ"/>
              </w:rPr>
              <w:t>1</w:t>
            </w:r>
          </w:p>
        </w:tc>
        <w:tc>
          <w:tcPr>
            <w:tcW w:w="1332"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BE6537" w:rsidRPr="00F765CF" w:rsidRDefault="00BE6537" w:rsidP="00910074">
            <w:pPr>
              <w:jc w:val="center"/>
              <w:rPr>
                <w:rFonts w:eastAsia="Times New Roman" w:cs="Times New Roman"/>
                <w:lang w:eastAsia="cs-CZ"/>
              </w:rPr>
            </w:pPr>
            <w:r w:rsidRPr="00F765CF">
              <w:rPr>
                <w:rFonts w:eastAsia="Times New Roman" w:cs="Times New Roman"/>
                <w:lang w:eastAsia="cs-CZ"/>
              </w:rPr>
              <w:t>2</w:t>
            </w:r>
          </w:p>
        </w:tc>
        <w:tc>
          <w:tcPr>
            <w:tcW w:w="1134"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BE6537" w:rsidRPr="00F765CF" w:rsidRDefault="00BE6537" w:rsidP="00910074">
            <w:pPr>
              <w:jc w:val="center"/>
              <w:rPr>
                <w:rFonts w:eastAsia="Times New Roman" w:cs="Times New Roman"/>
                <w:lang w:eastAsia="cs-CZ"/>
              </w:rPr>
            </w:pPr>
            <w:r w:rsidRPr="00F765CF">
              <w:rPr>
                <w:rFonts w:eastAsia="Times New Roman" w:cs="Times New Roman"/>
                <w:lang w:eastAsia="cs-CZ"/>
              </w:rPr>
              <w:t>3</w:t>
            </w:r>
          </w:p>
        </w:tc>
        <w:tc>
          <w:tcPr>
            <w:tcW w:w="936" w:type="dxa"/>
            <w:tcBorders>
              <w:top w:val="single" w:sz="4"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rsidR="00BE6537" w:rsidRPr="00F765CF" w:rsidRDefault="00BE6537" w:rsidP="00910074">
            <w:pPr>
              <w:jc w:val="center"/>
              <w:rPr>
                <w:rFonts w:eastAsia="Times New Roman" w:cs="Times New Roman"/>
                <w:lang w:eastAsia="cs-CZ"/>
              </w:rPr>
            </w:pPr>
            <w:r w:rsidRPr="00F765CF">
              <w:rPr>
                <w:rFonts w:eastAsia="Times New Roman" w:cs="Times New Roman"/>
                <w:lang w:eastAsia="cs-CZ"/>
              </w:rPr>
              <w:t>4</w:t>
            </w:r>
          </w:p>
        </w:tc>
      </w:tr>
      <w:tr w:rsidR="00BE6537" w:rsidRPr="00F765CF" w:rsidTr="005974F4">
        <w:trPr>
          <w:trHeight w:val="270"/>
        </w:trPr>
        <w:tc>
          <w:tcPr>
            <w:tcW w:w="4422"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BE6537" w:rsidRPr="00F765CF" w:rsidRDefault="00BE6537" w:rsidP="005974F4">
            <w:pPr>
              <w:autoSpaceDE w:val="0"/>
              <w:autoSpaceDN w:val="0"/>
              <w:adjustRightInd w:val="0"/>
              <w:rPr>
                <w:rFonts w:eastAsia="Times New Roman" w:cs="Times New Roman"/>
                <w:b/>
                <w:bCs/>
                <w:lang w:eastAsia="cs-CZ"/>
              </w:rPr>
            </w:pPr>
            <w:r w:rsidRPr="00F765CF">
              <w:rPr>
                <w:rFonts w:eastAsia="Times New Roman" w:cs="Times New Roman"/>
                <w:b/>
                <w:bCs/>
                <w:lang w:eastAsia="cs-CZ"/>
              </w:rPr>
              <w:t>Neinvestiční příspěvek a transfer zřízeným PO</w:t>
            </w:r>
          </w:p>
          <w:p w:rsidR="00BE6537" w:rsidRPr="00F765CF" w:rsidRDefault="00BE6537" w:rsidP="00910074">
            <w:pPr>
              <w:autoSpaceDE w:val="0"/>
              <w:autoSpaceDN w:val="0"/>
              <w:adjustRightInd w:val="0"/>
              <w:rPr>
                <w:rFonts w:eastAsia="Times New Roman" w:cs="Times New Roman"/>
                <w:bCs/>
                <w:lang w:eastAsia="cs-CZ"/>
              </w:rPr>
            </w:pPr>
            <w:r w:rsidRPr="00F765CF">
              <w:rPr>
                <w:rFonts w:eastAsia="Times New Roman" w:cs="Times New Roman"/>
                <w:b/>
                <w:bCs/>
                <w:lang w:eastAsia="cs-CZ"/>
              </w:rPr>
              <w:t xml:space="preserve"> </w:t>
            </w:r>
            <w:r w:rsidRPr="00F765CF">
              <w:rPr>
                <w:rFonts w:eastAsia="Times New Roman" w:cs="Times New Roman"/>
                <w:bCs/>
                <w:lang w:eastAsia="cs-CZ"/>
              </w:rPr>
              <w:t>z toho:</w:t>
            </w:r>
          </w:p>
        </w:tc>
        <w:tc>
          <w:tcPr>
            <w:tcW w:w="1344"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b/>
                <w:bCs/>
                <w:lang w:eastAsia="cs-CZ"/>
              </w:rPr>
            </w:pPr>
            <w:r w:rsidRPr="00F765CF">
              <w:rPr>
                <w:rFonts w:eastAsia="Times New Roman" w:cs="Times New Roman"/>
                <w:b/>
                <w:bCs/>
                <w:lang w:eastAsia="cs-CZ"/>
              </w:rPr>
              <w:t>101 618</w:t>
            </w:r>
          </w:p>
        </w:tc>
        <w:tc>
          <w:tcPr>
            <w:tcW w:w="1332"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b/>
                <w:bCs/>
                <w:lang w:eastAsia="cs-CZ"/>
              </w:rPr>
            </w:pPr>
            <w:r w:rsidRPr="00F765CF">
              <w:rPr>
                <w:rFonts w:eastAsia="Times New Roman" w:cs="Times New Roman"/>
                <w:b/>
                <w:bCs/>
                <w:lang w:eastAsia="cs-CZ"/>
              </w:rPr>
              <w:t>110 565</w:t>
            </w:r>
          </w:p>
        </w:tc>
        <w:tc>
          <w:tcPr>
            <w:tcW w:w="1134"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b/>
                <w:bCs/>
                <w:lang w:eastAsia="cs-CZ"/>
              </w:rPr>
            </w:pPr>
            <w:r w:rsidRPr="00F765CF">
              <w:rPr>
                <w:rFonts w:eastAsia="Times New Roman" w:cs="Times New Roman"/>
                <w:b/>
                <w:bCs/>
                <w:lang w:eastAsia="cs-CZ"/>
              </w:rPr>
              <w:t>110 565</w:t>
            </w:r>
          </w:p>
        </w:tc>
        <w:tc>
          <w:tcPr>
            <w:tcW w:w="936"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rsidR="00BE6537" w:rsidRPr="00F765CF" w:rsidRDefault="006C0F37" w:rsidP="00910074">
            <w:pPr>
              <w:autoSpaceDE w:val="0"/>
              <w:autoSpaceDN w:val="0"/>
              <w:adjustRightInd w:val="0"/>
              <w:jc w:val="right"/>
              <w:rPr>
                <w:rFonts w:eastAsia="Times New Roman" w:cs="Times New Roman"/>
                <w:b/>
                <w:bCs/>
                <w:lang w:eastAsia="cs-CZ"/>
              </w:rPr>
            </w:pPr>
            <w:r>
              <w:rPr>
                <w:rFonts w:eastAsia="Times New Roman" w:cs="Times New Roman"/>
                <w:b/>
                <w:bCs/>
                <w:lang w:eastAsia="cs-CZ"/>
              </w:rPr>
              <w:t>100,00</w:t>
            </w:r>
          </w:p>
        </w:tc>
      </w:tr>
      <w:tr w:rsidR="00BE6537" w:rsidRPr="00F765CF" w:rsidTr="005974F4">
        <w:trPr>
          <w:trHeight w:val="270"/>
        </w:trPr>
        <w:tc>
          <w:tcPr>
            <w:tcW w:w="4422" w:type="dxa"/>
            <w:tcBorders>
              <w:top w:val="single" w:sz="8"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rsidR="00BE6537" w:rsidRPr="00F765CF" w:rsidRDefault="00BE6537" w:rsidP="005974F4">
            <w:pPr>
              <w:autoSpaceDE w:val="0"/>
              <w:autoSpaceDN w:val="0"/>
              <w:adjustRightInd w:val="0"/>
              <w:jc w:val="left"/>
              <w:rPr>
                <w:rFonts w:eastAsia="Times New Roman" w:cs="Times New Roman"/>
                <w:lang w:eastAsia="cs-CZ"/>
              </w:rPr>
            </w:pPr>
            <w:r w:rsidRPr="00F765CF">
              <w:rPr>
                <w:rFonts w:eastAsia="Times New Roman" w:cs="Times New Roman"/>
                <w:lang w:eastAsia="cs-CZ"/>
              </w:rPr>
              <w:t xml:space="preserve">platy zaměstnanců a ostatní platby </w:t>
            </w:r>
            <w:r w:rsidRPr="00F765CF">
              <w:rPr>
                <w:rFonts w:eastAsia="Times New Roman" w:cs="Times New Roman"/>
                <w:lang w:eastAsia="cs-CZ"/>
              </w:rPr>
              <w:br/>
              <w:t>za provedenou práci</w:t>
            </w:r>
          </w:p>
        </w:tc>
        <w:tc>
          <w:tcPr>
            <w:tcW w:w="134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lang w:eastAsia="cs-CZ"/>
              </w:rPr>
            </w:pPr>
            <w:r w:rsidRPr="00F765CF">
              <w:rPr>
                <w:rFonts w:eastAsia="Times New Roman" w:cs="Times New Roman"/>
                <w:lang w:eastAsia="cs-CZ"/>
              </w:rPr>
              <w:t>31 302</w:t>
            </w:r>
          </w:p>
        </w:tc>
        <w:tc>
          <w:tcPr>
            <w:tcW w:w="1332"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lang w:eastAsia="cs-CZ"/>
              </w:rPr>
            </w:pPr>
            <w:r w:rsidRPr="00F765CF">
              <w:rPr>
                <w:rFonts w:eastAsia="Times New Roman" w:cs="Times New Roman"/>
                <w:lang w:eastAsia="cs-CZ"/>
              </w:rPr>
              <w:t xml:space="preserve">34 286 </w:t>
            </w:r>
          </w:p>
        </w:tc>
        <w:tc>
          <w:tcPr>
            <w:tcW w:w="113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lang w:eastAsia="cs-CZ"/>
              </w:rPr>
            </w:pPr>
            <w:r w:rsidRPr="00F765CF">
              <w:rPr>
                <w:rFonts w:eastAsia="Times New Roman" w:cs="Times New Roman"/>
                <w:lang w:eastAsia="cs-CZ"/>
              </w:rPr>
              <w:t xml:space="preserve">34 286 </w:t>
            </w:r>
          </w:p>
        </w:tc>
        <w:tc>
          <w:tcPr>
            <w:tcW w:w="936" w:type="dxa"/>
            <w:tcBorders>
              <w:top w:val="single" w:sz="8"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lang w:eastAsia="cs-CZ"/>
              </w:rPr>
            </w:pPr>
            <w:r w:rsidRPr="00F765CF">
              <w:rPr>
                <w:rFonts w:eastAsia="Times New Roman" w:cs="Times New Roman"/>
                <w:lang w:eastAsia="cs-CZ"/>
              </w:rPr>
              <w:t>100,00</w:t>
            </w:r>
          </w:p>
        </w:tc>
      </w:tr>
      <w:tr w:rsidR="00BE6537" w:rsidRPr="00F765CF" w:rsidTr="005974F4">
        <w:trPr>
          <w:trHeight w:val="270"/>
        </w:trPr>
        <w:tc>
          <w:tcPr>
            <w:tcW w:w="4422"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rsidR="00BE6537" w:rsidRPr="00F765CF" w:rsidRDefault="00BE6537" w:rsidP="00910074">
            <w:pPr>
              <w:autoSpaceDE w:val="0"/>
              <w:autoSpaceDN w:val="0"/>
              <w:adjustRightInd w:val="0"/>
              <w:rPr>
                <w:rFonts w:eastAsia="Times New Roman" w:cs="Times New Roman"/>
                <w:lang w:eastAsia="cs-CZ"/>
              </w:rPr>
            </w:pPr>
            <w:r w:rsidRPr="00F765CF">
              <w:rPr>
                <w:rFonts w:eastAsia="Times New Roman" w:cs="Times New Roman"/>
                <w:lang w:eastAsia="cs-CZ"/>
              </w:rPr>
              <w:t>povinné pojistné placené zaměstnavatelem</w:t>
            </w:r>
          </w:p>
        </w:tc>
        <w:tc>
          <w:tcPr>
            <w:tcW w:w="13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lang w:eastAsia="cs-CZ"/>
              </w:rPr>
            </w:pPr>
            <w:r w:rsidRPr="00F765CF">
              <w:rPr>
                <w:rFonts w:eastAsia="Times New Roman" w:cs="Times New Roman"/>
                <w:lang w:eastAsia="cs-CZ"/>
              </w:rPr>
              <w:t>10 643</w:t>
            </w:r>
          </w:p>
        </w:tc>
        <w:tc>
          <w:tcPr>
            <w:tcW w:w="13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lang w:eastAsia="cs-CZ"/>
              </w:rPr>
            </w:pPr>
            <w:r w:rsidRPr="00F765CF">
              <w:rPr>
                <w:rFonts w:eastAsia="Times New Roman" w:cs="Times New Roman"/>
                <w:lang w:eastAsia="cs-CZ"/>
              </w:rPr>
              <w:t>11 589</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lang w:eastAsia="cs-CZ"/>
              </w:rPr>
            </w:pPr>
            <w:r w:rsidRPr="00F765CF">
              <w:rPr>
                <w:rFonts w:eastAsia="Times New Roman" w:cs="Times New Roman"/>
                <w:lang w:eastAsia="cs-CZ"/>
              </w:rPr>
              <w:t>11 589</w:t>
            </w:r>
          </w:p>
        </w:tc>
        <w:tc>
          <w:tcPr>
            <w:tcW w:w="936"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lang w:eastAsia="cs-CZ"/>
              </w:rPr>
            </w:pPr>
            <w:r w:rsidRPr="00F765CF">
              <w:rPr>
                <w:rFonts w:eastAsia="Times New Roman" w:cs="Times New Roman"/>
                <w:lang w:eastAsia="cs-CZ"/>
              </w:rPr>
              <w:t>100,00</w:t>
            </w:r>
          </w:p>
        </w:tc>
      </w:tr>
      <w:tr w:rsidR="00BE6537" w:rsidRPr="00F765CF" w:rsidTr="005974F4">
        <w:trPr>
          <w:trHeight w:val="270"/>
        </w:trPr>
        <w:tc>
          <w:tcPr>
            <w:tcW w:w="4422"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rsidR="00BE6537" w:rsidRPr="00F765CF" w:rsidRDefault="00BE6537" w:rsidP="00910074">
            <w:pPr>
              <w:autoSpaceDE w:val="0"/>
              <w:autoSpaceDN w:val="0"/>
              <w:adjustRightInd w:val="0"/>
              <w:rPr>
                <w:rFonts w:eastAsia="Times New Roman" w:cs="Times New Roman"/>
                <w:lang w:eastAsia="cs-CZ"/>
              </w:rPr>
            </w:pPr>
            <w:r w:rsidRPr="00F765CF">
              <w:rPr>
                <w:rFonts w:eastAsia="Times New Roman" w:cs="Times New Roman"/>
                <w:lang w:eastAsia="cs-CZ"/>
              </w:rPr>
              <w:t>příděl FKSP</w:t>
            </w:r>
          </w:p>
        </w:tc>
        <w:tc>
          <w:tcPr>
            <w:tcW w:w="13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lang w:eastAsia="cs-CZ"/>
              </w:rPr>
            </w:pPr>
            <w:r w:rsidRPr="00F765CF">
              <w:rPr>
                <w:rFonts w:eastAsia="Times New Roman" w:cs="Times New Roman"/>
                <w:lang w:eastAsia="cs-CZ"/>
              </w:rPr>
              <w:t>608</w:t>
            </w:r>
          </w:p>
        </w:tc>
        <w:tc>
          <w:tcPr>
            <w:tcW w:w="13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lang w:eastAsia="cs-CZ"/>
              </w:rPr>
            </w:pPr>
            <w:r w:rsidRPr="00F765CF">
              <w:rPr>
                <w:rFonts w:eastAsia="Times New Roman" w:cs="Times New Roman"/>
                <w:lang w:eastAsia="cs-CZ"/>
              </w:rPr>
              <w:t>657</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lang w:eastAsia="cs-CZ"/>
              </w:rPr>
            </w:pPr>
            <w:r w:rsidRPr="00F765CF">
              <w:rPr>
                <w:rFonts w:eastAsia="Times New Roman" w:cs="Times New Roman"/>
                <w:lang w:eastAsia="cs-CZ"/>
              </w:rPr>
              <w:t>657</w:t>
            </w:r>
          </w:p>
        </w:tc>
        <w:tc>
          <w:tcPr>
            <w:tcW w:w="936"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lang w:eastAsia="cs-CZ"/>
              </w:rPr>
            </w:pPr>
            <w:r w:rsidRPr="00F765CF">
              <w:rPr>
                <w:rFonts w:eastAsia="Times New Roman" w:cs="Times New Roman"/>
                <w:lang w:eastAsia="cs-CZ"/>
              </w:rPr>
              <w:t>100,00</w:t>
            </w:r>
          </w:p>
        </w:tc>
      </w:tr>
      <w:tr w:rsidR="00BE6537" w:rsidRPr="00F765CF" w:rsidTr="005974F4">
        <w:trPr>
          <w:trHeight w:val="963"/>
        </w:trPr>
        <w:tc>
          <w:tcPr>
            <w:tcW w:w="4422"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rsidR="00BE6537" w:rsidRPr="00F765CF" w:rsidRDefault="00BE6537" w:rsidP="005974F4">
            <w:pPr>
              <w:autoSpaceDE w:val="0"/>
              <w:autoSpaceDN w:val="0"/>
              <w:adjustRightInd w:val="0"/>
              <w:jc w:val="left"/>
              <w:rPr>
                <w:rFonts w:eastAsia="Times New Roman" w:cs="Times New Roman"/>
                <w:lang w:eastAsia="cs-CZ"/>
              </w:rPr>
            </w:pPr>
            <w:r w:rsidRPr="00F765CF">
              <w:rPr>
                <w:rFonts w:eastAsia="Times New Roman" w:cs="Times New Roman"/>
                <w:lang w:eastAsia="cs-CZ"/>
              </w:rPr>
              <w:t>dotace na neinvestiční náklady související s financ. z programů evidovaných v EDS/SMVS</w:t>
            </w:r>
          </w:p>
        </w:tc>
        <w:tc>
          <w:tcPr>
            <w:tcW w:w="13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E6537" w:rsidRPr="00F765CF" w:rsidRDefault="00BE6537" w:rsidP="00910074">
            <w:pPr>
              <w:tabs>
                <w:tab w:val="left" w:pos="720"/>
              </w:tabs>
              <w:jc w:val="right"/>
              <w:rPr>
                <w:rFonts w:eastAsia="Times New Roman" w:cs="Times New Roman"/>
                <w:lang w:eastAsia="cs-CZ"/>
              </w:rPr>
            </w:pPr>
            <w:r w:rsidRPr="00F765CF">
              <w:rPr>
                <w:rFonts w:eastAsia="Times New Roman" w:cs="Times New Roman"/>
                <w:lang w:eastAsia="cs-CZ"/>
              </w:rPr>
              <w:t>0</w:t>
            </w:r>
          </w:p>
        </w:tc>
        <w:tc>
          <w:tcPr>
            <w:tcW w:w="13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lang w:eastAsia="cs-CZ"/>
              </w:rPr>
            </w:pPr>
            <w:r w:rsidRPr="00F765CF">
              <w:rPr>
                <w:rFonts w:eastAsia="Times New Roman" w:cs="Times New Roman"/>
                <w:lang w:eastAsia="cs-CZ"/>
              </w:rPr>
              <w:t>4 000</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lang w:eastAsia="cs-CZ"/>
              </w:rPr>
            </w:pPr>
            <w:r w:rsidRPr="00F765CF">
              <w:rPr>
                <w:rFonts w:eastAsia="Times New Roman" w:cs="Times New Roman"/>
                <w:lang w:eastAsia="cs-CZ"/>
              </w:rPr>
              <w:t>0</w:t>
            </w:r>
          </w:p>
        </w:tc>
        <w:tc>
          <w:tcPr>
            <w:tcW w:w="936"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lang w:eastAsia="cs-CZ"/>
              </w:rPr>
            </w:pPr>
            <w:r w:rsidRPr="00F765CF">
              <w:rPr>
                <w:rFonts w:eastAsia="Times New Roman" w:cs="Times New Roman"/>
                <w:lang w:eastAsia="cs-CZ"/>
              </w:rPr>
              <w:t>0,00</w:t>
            </w:r>
          </w:p>
        </w:tc>
      </w:tr>
      <w:tr w:rsidR="00BE6537" w:rsidRPr="00F765CF" w:rsidTr="005974F4">
        <w:trPr>
          <w:trHeight w:val="270"/>
        </w:trPr>
        <w:tc>
          <w:tcPr>
            <w:tcW w:w="4422" w:type="dxa"/>
            <w:tcBorders>
              <w:top w:val="single" w:sz="4" w:space="0" w:color="7F7F7F" w:themeColor="text1" w:themeTint="80"/>
              <w:left w:val="single" w:sz="8" w:space="0" w:color="7F7F7F" w:themeColor="text1" w:themeTint="80"/>
              <w:bottom w:val="nil"/>
              <w:right w:val="single" w:sz="4" w:space="0" w:color="7F7F7F" w:themeColor="text1" w:themeTint="80"/>
            </w:tcBorders>
            <w:shd w:val="clear" w:color="auto" w:fill="auto"/>
          </w:tcPr>
          <w:p w:rsidR="00BE6537" w:rsidRPr="00F765CF" w:rsidRDefault="00BE6537" w:rsidP="00910074">
            <w:pPr>
              <w:autoSpaceDE w:val="0"/>
              <w:autoSpaceDN w:val="0"/>
              <w:adjustRightInd w:val="0"/>
              <w:rPr>
                <w:rFonts w:eastAsia="Times New Roman" w:cs="Times New Roman"/>
                <w:lang w:eastAsia="cs-CZ"/>
              </w:rPr>
            </w:pPr>
            <w:r w:rsidRPr="00F765CF">
              <w:rPr>
                <w:rFonts w:eastAsia="Times New Roman" w:cs="Times New Roman"/>
                <w:lang w:eastAsia="cs-CZ"/>
              </w:rPr>
              <w:t>Z celkového objemu:</w:t>
            </w:r>
          </w:p>
        </w:tc>
        <w:tc>
          <w:tcPr>
            <w:tcW w:w="1344"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color w:val="FF0000"/>
                <w:highlight w:val="yellow"/>
                <w:lang w:eastAsia="cs-CZ"/>
              </w:rPr>
            </w:pPr>
          </w:p>
        </w:tc>
        <w:tc>
          <w:tcPr>
            <w:tcW w:w="1332"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b/>
                <w:bCs/>
                <w:highlight w:val="yellow"/>
                <w:lang w:eastAsia="cs-CZ"/>
              </w:rPr>
            </w:pPr>
          </w:p>
        </w:tc>
        <w:tc>
          <w:tcPr>
            <w:tcW w:w="1134"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b/>
                <w:bCs/>
                <w:color w:val="FF0000"/>
                <w:highlight w:val="yellow"/>
                <w:lang w:eastAsia="cs-CZ"/>
              </w:rPr>
            </w:pPr>
          </w:p>
        </w:tc>
        <w:tc>
          <w:tcPr>
            <w:tcW w:w="936" w:type="dxa"/>
            <w:tcBorders>
              <w:top w:val="single" w:sz="4" w:space="0" w:color="7F7F7F" w:themeColor="text1" w:themeTint="80"/>
              <w:left w:val="single" w:sz="4" w:space="0" w:color="7F7F7F" w:themeColor="text1" w:themeTint="80"/>
              <w:bottom w:val="nil"/>
              <w:right w:val="single" w:sz="8"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color w:val="FF0000"/>
                <w:highlight w:val="yellow"/>
                <w:lang w:eastAsia="cs-CZ"/>
              </w:rPr>
            </w:pPr>
          </w:p>
        </w:tc>
      </w:tr>
      <w:tr w:rsidR="00BE6537" w:rsidRPr="00F765CF" w:rsidTr="005974F4">
        <w:trPr>
          <w:trHeight w:val="270"/>
        </w:trPr>
        <w:tc>
          <w:tcPr>
            <w:tcW w:w="4422" w:type="dxa"/>
            <w:tcBorders>
              <w:top w:val="nil"/>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BE6537" w:rsidRPr="00F765CF" w:rsidRDefault="00BE6537" w:rsidP="00910074">
            <w:pPr>
              <w:autoSpaceDE w:val="0"/>
              <w:autoSpaceDN w:val="0"/>
              <w:adjustRightInd w:val="0"/>
              <w:ind w:left="33" w:hanging="142"/>
              <w:jc w:val="left"/>
              <w:rPr>
                <w:rFonts w:eastAsia="Times New Roman" w:cs="Times New Roman"/>
                <w:i/>
                <w:lang w:eastAsia="cs-CZ"/>
              </w:rPr>
            </w:pPr>
            <w:r w:rsidRPr="00F765CF">
              <w:rPr>
                <w:rFonts w:eastAsia="Times New Roman" w:cs="Times New Roman"/>
                <w:i/>
                <w:lang w:eastAsia="cs-CZ"/>
              </w:rPr>
              <w:t xml:space="preserve">           - výdaje na dopravně správní agendy</w:t>
            </w:r>
          </w:p>
          <w:p w:rsidR="00BE6537" w:rsidRPr="00F765CF" w:rsidRDefault="00BE6537" w:rsidP="00910074">
            <w:pPr>
              <w:autoSpaceDE w:val="0"/>
              <w:autoSpaceDN w:val="0"/>
              <w:adjustRightInd w:val="0"/>
              <w:ind w:hanging="109"/>
              <w:rPr>
                <w:rFonts w:eastAsia="Times New Roman" w:cs="Times New Roman"/>
                <w:i/>
                <w:color w:val="FF0000"/>
                <w:lang w:eastAsia="cs-CZ"/>
              </w:rPr>
            </w:pPr>
            <w:r w:rsidRPr="00F765CF">
              <w:rPr>
                <w:rFonts w:eastAsia="Times New Roman" w:cs="Times New Roman"/>
                <w:i/>
                <w:lang w:eastAsia="cs-CZ"/>
              </w:rPr>
              <w:t xml:space="preserve">           - BESIP</w:t>
            </w:r>
          </w:p>
        </w:tc>
        <w:tc>
          <w:tcPr>
            <w:tcW w:w="1344"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i/>
                <w:lang w:eastAsia="cs-CZ"/>
              </w:rPr>
            </w:pPr>
            <w:r w:rsidRPr="00F765CF">
              <w:rPr>
                <w:rFonts w:eastAsia="Times New Roman" w:cs="Times New Roman"/>
                <w:i/>
                <w:lang w:eastAsia="cs-CZ"/>
              </w:rPr>
              <w:t>50 457</w:t>
            </w:r>
          </w:p>
          <w:p w:rsidR="00BE6537" w:rsidRPr="00F765CF" w:rsidRDefault="00BE6537" w:rsidP="00910074">
            <w:pPr>
              <w:autoSpaceDE w:val="0"/>
              <w:autoSpaceDN w:val="0"/>
              <w:adjustRightInd w:val="0"/>
              <w:jc w:val="right"/>
              <w:rPr>
                <w:rFonts w:eastAsia="Times New Roman" w:cs="Times New Roman"/>
                <w:i/>
                <w:color w:val="FF0000"/>
                <w:highlight w:val="yellow"/>
                <w:lang w:eastAsia="cs-CZ"/>
              </w:rPr>
            </w:pPr>
            <w:r w:rsidRPr="00F765CF">
              <w:rPr>
                <w:rFonts w:eastAsia="Times New Roman" w:cs="Times New Roman"/>
                <w:i/>
                <w:lang w:eastAsia="cs-CZ"/>
              </w:rPr>
              <w:t>40 895</w:t>
            </w:r>
          </w:p>
        </w:tc>
        <w:tc>
          <w:tcPr>
            <w:tcW w:w="1332"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i/>
                <w:lang w:eastAsia="cs-CZ"/>
              </w:rPr>
            </w:pPr>
            <w:r w:rsidRPr="00F765CF">
              <w:rPr>
                <w:rFonts w:eastAsia="Times New Roman" w:cs="Times New Roman"/>
                <w:i/>
                <w:lang w:eastAsia="cs-CZ"/>
              </w:rPr>
              <w:t>53 599</w:t>
            </w:r>
          </w:p>
          <w:p w:rsidR="00BE6537" w:rsidRPr="00F765CF" w:rsidRDefault="00BE6537" w:rsidP="00910074">
            <w:pPr>
              <w:autoSpaceDE w:val="0"/>
              <w:autoSpaceDN w:val="0"/>
              <w:adjustRightInd w:val="0"/>
              <w:jc w:val="right"/>
              <w:rPr>
                <w:rFonts w:eastAsia="Times New Roman" w:cs="Times New Roman"/>
                <w:i/>
                <w:lang w:eastAsia="cs-CZ"/>
              </w:rPr>
            </w:pPr>
            <w:r w:rsidRPr="00F765CF">
              <w:rPr>
                <w:rFonts w:eastAsia="Times New Roman" w:cs="Times New Roman"/>
                <w:i/>
                <w:lang w:eastAsia="cs-CZ"/>
              </w:rPr>
              <w:t>45 959</w:t>
            </w:r>
          </w:p>
        </w:tc>
        <w:tc>
          <w:tcPr>
            <w:tcW w:w="1134"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i/>
                <w:lang w:eastAsia="cs-CZ"/>
              </w:rPr>
            </w:pPr>
            <w:r w:rsidRPr="00F765CF">
              <w:rPr>
                <w:rFonts w:eastAsia="Times New Roman" w:cs="Times New Roman"/>
                <w:i/>
                <w:lang w:eastAsia="cs-CZ"/>
              </w:rPr>
              <w:t>57 249</w:t>
            </w:r>
          </w:p>
          <w:p w:rsidR="00BE6537" w:rsidRPr="00F765CF" w:rsidRDefault="00BE6537" w:rsidP="00910074">
            <w:pPr>
              <w:autoSpaceDE w:val="0"/>
              <w:autoSpaceDN w:val="0"/>
              <w:adjustRightInd w:val="0"/>
              <w:jc w:val="right"/>
              <w:rPr>
                <w:rFonts w:eastAsia="Times New Roman" w:cs="Times New Roman"/>
                <w:i/>
                <w:color w:val="FF0000"/>
                <w:lang w:eastAsia="cs-CZ"/>
              </w:rPr>
            </w:pPr>
            <w:r w:rsidRPr="00F765CF">
              <w:rPr>
                <w:rFonts w:eastAsia="Times New Roman" w:cs="Times New Roman"/>
                <w:i/>
                <w:lang w:eastAsia="cs-CZ"/>
              </w:rPr>
              <w:t>41 959</w:t>
            </w:r>
          </w:p>
        </w:tc>
        <w:tc>
          <w:tcPr>
            <w:tcW w:w="936" w:type="dxa"/>
            <w:tcBorders>
              <w:top w:val="nil"/>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rsidR="00BE6537" w:rsidRPr="00F765CF" w:rsidRDefault="00BE6537" w:rsidP="00910074">
            <w:pPr>
              <w:autoSpaceDE w:val="0"/>
              <w:autoSpaceDN w:val="0"/>
              <w:adjustRightInd w:val="0"/>
              <w:jc w:val="right"/>
              <w:rPr>
                <w:rFonts w:eastAsia="Times New Roman" w:cs="Times New Roman"/>
                <w:i/>
                <w:lang w:eastAsia="cs-CZ"/>
              </w:rPr>
            </w:pPr>
            <w:r w:rsidRPr="00F765CF">
              <w:rPr>
                <w:rFonts w:eastAsia="Times New Roman" w:cs="Times New Roman"/>
                <w:i/>
                <w:lang w:eastAsia="cs-CZ"/>
              </w:rPr>
              <w:t>106,81</w:t>
            </w:r>
          </w:p>
          <w:p w:rsidR="00BE6537" w:rsidRPr="00F765CF" w:rsidRDefault="00BE6537" w:rsidP="00910074">
            <w:pPr>
              <w:autoSpaceDE w:val="0"/>
              <w:autoSpaceDN w:val="0"/>
              <w:adjustRightInd w:val="0"/>
              <w:jc w:val="right"/>
              <w:rPr>
                <w:rFonts w:eastAsia="Times New Roman" w:cs="Times New Roman"/>
                <w:i/>
                <w:color w:val="FF0000"/>
                <w:lang w:eastAsia="cs-CZ"/>
              </w:rPr>
            </w:pPr>
            <w:r w:rsidRPr="00F765CF">
              <w:rPr>
                <w:rFonts w:eastAsia="Times New Roman" w:cs="Times New Roman"/>
                <w:i/>
                <w:lang w:eastAsia="cs-CZ"/>
              </w:rPr>
              <w:t>91,30</w:t>
            </w:r>
          </w:p>
        </w:tc>
      </w:tr>
    </w:tbl>
    <w:p w:rsidR="00BE6537" w:rsidRPr="00F765CF" w:rsidRDefault="00BE6537" w:rsidP="00BE6537">
      <w:pPr>
        <w:keepLines/>
        <w:spacing w:before="240" w:after="240" w:line="276" w:lineRule="auto"/>
        <w:rPr>
          <w:rFonts w:eastAsia="Times New Roman" w:cs="Times New Roman"/>
          <w:iCs/>
          <w:szCs w:val="24"/>
          <w:lang w:eastAsia="cs-CZ"/>
        </w:rPr>
      </w:pPr>
      <w:r w:rsidRPr="00F765CF">
        <w:rPr>
          <w:rFonts w:eastAsia="Times New Roman" w:cs="Times New Roman"/>
          <w:iCs/>
          <w:szCs w:val="24"/>
          <w:lang w:eastAsia="cs-CZ"/>
        </w:rPr>
        <w:t xml:space="preserve">Navrhovaná částka neinvestičního příspěvku na činnost a transferu je na úrovni roku 2020.  Proti roku 2020 dochází ke snížení neinvestičního transferu o 4 000 tis. Kč a současně k navýšení finančních prostředků na dopravně správní agendy o 3 650 tis. Kč (mobilní expertní jednotky) a provoz organizace o 350 tis. Kč (dětské dopravní hřiště).  </w:t>
      </w:r>
    </w:p>
    <w:p w:rsidR="00BE6537" w:rsidRPr="00F765CF" w:rsidRDefault="00BE6537" w:rsidP="00BE6537">
      <w:pPr>
        <w:keepLines/>
        <w:spacing w:before="240" w:after="240" w:line="276" w:lineRule="auto"/>
        <w:rPr>
          <w:rFonts w:eastAsia="Times New Roman" w:cs="Times New Roman"/>
          <w:iCs/>
          <w:szCs w:val="24"/>
          <w:lang w:eastAsia="cs-CZ"/>
        </w:rPr>
      </w:pPr>
      <w:r w:rsidRPr="00F765CF">
        <w:rPr>
          <w:rFonts w:eastAsia="Times New Roman" w:cs="Times New Roman"/>
          <w:iCs/>
          <w:szCs w:val="24"/>
          <w:lang w:eastAsia="cs-CZ"/>
        </w:rPr>
        <w:lastRenderedPageBreak/>
        <w:t xml:space="preserve">Návrh rozpočtu zahrnuje hlavně krytí výdajů na činnosti vyplývající ze zákonů </w:t>
      </w:r>
      <w:r w:rsidRPr="00F765CF">
        <w:rPr>
          <w:rFonts w:eastAsia="Times New Roman" w:cs="Times New Roman"/>
          <w:iCs/>
          <w:szCs w:val="24"/>
          <w:lang w:eastAsia="cs-CZ"/>
        </w:rPr>
        <w:br/>
        <w:t xml:space="preserve">č. 247/2000 Sb., č. 361/2000 Sb., č. 56/2001 Sb. a č. 13/1997 Sb., ve smyslu jejich pozdějších úprav. Dále krytí výdajů vyplývá z nařízení Evropského parlamentu a Rady EU 561/2006/ES, o harmonizaci některých předpisů v sociální oblasti týkajících se silniční dopravy. Jde zejména o zabezpečení některých činností a úkolů v oblasti státního odborného dozoru </w:t>
      </w:r>
      <w:r w:rsidRPr="00F765CF">
        <w:rPr>
          <w:rFonts w:eastAsia="Times New Roman" w:cs="Times New Roman"/>
          <w:iCs/>
          <w:szCs w:val="24"/>
          <w:lang w:eastAsia="cs-CZ"/>
        </w:rPr>
        <w:br/>
        <w:t>v dopravně správních agendách. Dále jsou v tomto objemu zahrnuty požadavky na zajišťování a distribuci všech druhů tiskopisů, zajištění logistiky na úseku centralizované výroby řidičského průkazu vzoru EU, distribuci registračních značek od výrobce na dopravní úřady pověřených měst a obcí a následný svoz znehodnocených registračních značek a jejich centrální likvidaci,</w:t>
      </w:r>
      <w:r w:rsidRPr="00F765CF">
        <w:rPr>
          <w:rFonts w:eastAsia="Times New Roman" w:cs="Times New Roman"/>
          <w:iCs/>
          <w:szCs w:val="24"/>
          <w:lang w:eastAsia="cs-CZ"/>
        </w:rPr>
        <w:br/>
        <w:t xml:space="preserve">a na výkon některých delegovaných činností v oblasti BESIP. </w:t>
      </w:r>
    </w:p>
    <w:p w:rsidR="005779DE" w:rsidRPr="00E24034" w:rsidRDefault="00BE6537" w:rsidP="00BE6537">
      <w:pPr>
        <w:pStyle w:val="Styl1"/>
        <w:rPr>
          <w:color w:val="FF0000"/>
        </w:rPr>
      </w:pPr>
      <w:r w:rsidRPr="00F765CF">
        <w:rPr>
          <w:rFonts w:eastAsiaTheme="minorHAnsi" w:cstheme="minorBidi"/>
          <w:iCs w:val="0"/>
          <w:szCs w:val="22"/>
          <w:lang w:eastAsia="en-US"/>
        </w:rPr>
        <w:t>Počet zaměstnanců organizace je pro rok 2021 navržen ve výši 84, tedy na úrovni roku 2020.</w:t>
      </w:r>
      <w:r w:rsidR="005779DE" w:rsidRPr="00E24034">
        <w:rPr>
          <w:color w:val="FF0000"/>
        </w:rPr>
        <w:t xml:space="preserve"> </w:t>
      </w:r>
    </w:p>
    <w:p w:rsidR="00BD28A7" w:rsidRPr="00910074" w:rsidRDefault="00BD28A7" w:rsidP="00131916">
      <w:pPr>
        <w:spacing w:before="240" w:after="80" w:line="240" w:lineRule="auto"/>
        <w:rPr>
          <w:rFonts w:eastAsia="Times New Roman" w:cs="Times New Roman"/>
          <w:b/>
          <w:iCs/>
          <w:szCs w:val="24"/>
          <w:u w:val="single"/>
          <w:lang w:eastAsia="cs-CZ"/>
        </w:rPr>
      </w:pPr>
      <w:r w:rsidRPr="00910074">
        <w:rPr>
          <w:rFonts w:eastAsia="Times New Roman" w:cs="Times New Roman"/>
          <w:b/>
          <w:iCs/>
          <w:szCs w:val="24"/>
          <w:u w:val="single"/>
          <w:lang w:eastAsia="cs-CZ"/>
        </w:rPr>
        <w:t>Ředitelství silnic a dálnic ČR</w:t>
      </w:r>
    </w:p>
    <w:p w:rsidR="00910074" w:rsidRPr="009F2EF6" w:rsidRDefault="00910074" w:rsidP="00910074">
      <w:pPr>
        <w:pStyle w:val="Styl1"/>
      </w:pPr>
      <w:bookmarkStart w:id="55" w:name="_Toc242513289"/>
      <w:bookmarkStart w:id="56" w:name="_Toc462314394"/>
      <w:r w:rsidRPr="009F2EF6">
        <w:t>Ministerstvo dopravy je zřizovatelem státní příspěvkové organizace Ředitelství silnic a dálnic ČR. Běžné výdaje organizace jsou kryty zejména z rozpočtu Státního fondu dopravní infrastruktury.</w:t>
      </w:r>
    </w:p>
    <w:p w:rsidR="00910074" w:rsidRPr="009F2EF6" w:rsidRDefault="00910074" w:rsidP="00910074">
      <w:pPr>
        <w:pStyle w:val="Titulek"/>
        <w:keepNext/>
      </w:pPr>
      <w:r w:rsidRPr="009F2EF6">
        <w:t xml:space="preserve">Tabulka č. </w:t>
      </w:r>
      <w:r w:rsidRPr="009F2EF6">
        <w:rPr>
          <w:noProof/>
        </w:rPr>
        <w:fldChar w:fldCharType="begin"/>
      </w:r>
      <w:r w:rsidRPr="009F2EF6">
        <w:rPr>
          <w:noProof/>
        </w:rPr>
        <w:instrText xml:space="preserve"> SEQ Tabulka \* ARABIC </w:instrText>
      </w:r>
      <w:r w:rsidRPr="009F2EF6">
        <w:rPr>
          <w:noProof/>
        </w:rPr>
        <w:fldChar w:fldCharType="separate"/>
      </w:r>
      <w:r w:rsidR="006076E7">
        <w:rPr>
          <w:noProof/>
        </w:rPr>
        <w:t>18</w:t>
      </w:r>
      <w:r w:rsidRPr="009F2EF6">
        <w:rPr>
          <w:noProof/>
        </w:rPr>
        <w:fldChar w:fldCharType="end"/>
      </w:r>
      <w:r w:rsidRPr="009F2EF6">
        <w:rPr>
          <w:noProof/>
        </w:rPr>
        <w:t xml:space="preserve"> Ředitelství silnic a dálnic ČR (v tis. Kč)</w:t>
      </w:r>
    </w:p>
    <w:tbl>
      <w:tblPr>
        <w:tblStyle w:val="Svtltabulkasmkou1zvraznn5"/>
        <w:tblW w:w="5172" w:type="pct"/>
        <w:tblInd w:w="-15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94"/>
        <w:gridCol w:w="1416"/>
        <w:gridCol w:w="1277"/>
        <w:gridCol w:w="1135"/>
        <w:gridCol w:w="1140"/>
      </w:tblGrid>
      <w:tr w:rsidR="00910074" w:rsidRPr="009F2EF6" w:rsidTr="00910074">
        <w:trPr>
          <w:trHeight w:val="775"/>
        </w:trPr>
        <w:tc>
          <w:tcPr>
            <w:tcW w:w="234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9F2EF6" w:rsidRDefault="00910074" w:rsidP="00910074">
            <w:pPr>
              <w:autoSpaceDE w:val="0"/>
              <w:autoSpaceDN w:val="0"/>
              <w:adjustRightInd w:val="0"/>
              <w:jc w:val="center"/>
              <w:rPr>
                <w:rFonts w:eastAsia="Times New Roman" w:cs="Times New Roman"/>
                <w:b/>
                <w:lang w:eastAsia="cs-CZ"/>
              </w:rPr>
            </w:pPr>
            <w:r w:rsidRPr="009F2EF6">
              <w:rPr>
                <w:rFonts w:eastAsia="Times New Roman" w:cs="Times New Roman"/>
                <w:b/>
                <w:lang w:eastAsia="cs-CZ"/>
              </w:rPr>
              <w:t>Ukazatel</w:t>
            </w:r>
          </w:p>
        </w:tc>
        <w:tc>
          <w:tcPr>
            <w:tcW w:w="75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9F2EF6" w:rsidRDefault="00910074" w:rsidP="00910074">
            <w:pPr>
              <w:autoSpaceDE w:val="0"/>
              <w:autoSpaceDN w:val="0"/>
              <w:adjustRightInd w:val="0"/>
              <w:jc w:val="center"/>
              <w:rPr>
                <w:rFonts w:eastAsia="Times New Roman" w:cs="Times New Roman"/>
                <w:b/>
                <w:lang w:eastAsia="cs-CZ"/>
              </w:rPr>
            </w:pPr>
            <w:r w:rsidRPr="009F2EF6">
              <w:rPr>
                <w:rFonts w:eastAsia="Times New Roman" w:cs="Times New Roman"/>
                <w:b/>
                <w:lang w:eastAsia="cs-CZ"/>
              </w:rPr>
              <w:t>Skutečnost</w:t>
            </w:r>
          </w:p>
          <w:p w:rsidR="00910074" w:rsidRPr="009F2EF6" w:rsidRDefault="00910074" w:rsidP="00910074">
            <w:pPr>
              <w:autoSpaceDE w:val="0"/>
              <w:autoSpaceDN w:val="0"/>
              <w:adjustRightInd w:val="0"/>
              <w:jc w:val="center"/>
              <w:rPr>
                <w:rFonts w:eastAsia="Times New Roman" w:cs="Times New Roman"/>
                <w:b/>
                <w:lang w:eastAsia="cs-CZ"/>
              </w:rPr>
            </w:pPr>
            <w:r w:rsidRPr="009F2EF6">
              <w:rPr>
                <w:rFonts w:eastAsia="Times New Roman" w:cs="Times New Roman"/>
                <w:b/>
                <w:lang w:eastAsia="cs-CZ"/>
              </w:rPr>
              <w:t>201</w:t>
            </w:r>
            <w:r>
              <w:rPr>
                <w:rFonts w:eastAsia="Times New Roman" w:cs="Times New Roman"/>
                <w:b/>
                <w:lang w:eastAsia="cs-CZ"/>
              </w:rPr>
              <w:t>9</w:t>
            </w:r>
          </w:p>
        </w:tc>
        <w:tc>
          <w:tcPr>
            <w:tcW w:w="68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9F2EF6" w:rsidRDefault="00910074" w:rsidP="00910074">
            <w:pPr>
              <w:autoSpaceDE w:val="0"/>
              <w:autoSpaceDN w:val="0"/>
              <w:adjustRightInd w:val="0"/>
              <w:jc w:val="center"/>
              <w:rPr>
                <w:rFonts w:eastAsia="Times New Roman" w:cs="Times New Roman"/>
                <w:b/>
                <w:lang w:eastAsia="cs-CZ"/>
              </w:rPr>
            </w:pPr>
            <w:r w:rsidRPr="009F2EF6">
              <w:rPr>
                <w:rFonts w:eastAsia="Times New Roman" w:cs="Times New Roman"/>
                <w:b/>
                <w:lang w:eastAsia="cs-CZ"/>
              </w:rPr>
              <w:t>Schválený</w:t>
            </w:r>
          </w:p>
          <w:p w:rsidR="00910074" w:rsidRPr="009F2EF6" w:rsidRDefault="00910074" w:rsidP="00910074">
            <w:pPr>
              <w:autoSpaceDE w:val="0"/>
              <w:autoSpaceDN w:val="0"/>
              <w:adjustRightInd w:val="0"/>
              <w:jc w:val="center"/>
              <w:rPr>
                <w:rFonts w:eastAsia="Times New Roman" w:cs="Times New Roman"/>
                <w:b/>
                <w:lang w:eastAsia="cs-CZ"/>
              </w:rPr>
            </w:pPr>
            <w:r w:rsidRPr="009F2EF6">
              <w:rPr>
                <w:rFonts w:eastAsia="Times New Roman" w:cs="Times New Roman"/>
                <w:b/>
                <w:lang w:eastAsia="cs-CZ"/>
              </w:rPr>
              <w:t>rozpočet</w:t>
            </w:r>
          </w:p>
          <w:p w:rsidR="00910074" w:rsidRPr="009F2EF6" w:rsidRDefault="00910074" w:rsidP="00910074">
            <w:pPr>
              <w:autoSpaceDE w:val="0"/>
              <w:autoSpaceDN w:val="0"/>
              <w:adjustRightInd w:val="0"/>
              <w:jc w:val="center"/>
              <w:rPr>
                <w:rFonts w:eastAsia="Times New Roman" w:cs="Times New Roman"/>
                <w:b/>
                <w:lang w:eastAsia="cs-CZ"/>
              </w:rPr>
            </w:pPr>
            <w:r w:rsidRPr="009F2EF6">
              <w:rPr>
                <w:rFonts w:eastAsia="Times New Roman" w:cs="Times New Roman"/>
                <w:b/>
                <w:lang w:eastAsia="cs-CZ"/>
              </w:rPr>
              <w:t>20</w:t>
            </w:r>
            <w:r>
              <w:rPr>
                <w:rFonts w:eastAsia="Times New Roman" w:cs="Times New Roman"/>
                <w:b/>
                <w:lang w:eastAsia="cs-CZ"/>
              </w:rPr>
              <w:t>20</w:t>
            </w:r>
          </w:p>
        </w:tc>
        <w:tc>
          <w:tcPr>
            <w:tcW w:w="60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9F2EF6" w:rsidRDefault="00910074" w:rsidP="00910074">
            <w:pPr>
              <w:autoSpaceDE w:val="0"/>
              <w:autoSpaceDN w:val="0"/>
              <w:adjustRightInd w:val="0"/>
              <w:jc w:val="center"/>
              <w:rPr>
                <w:rFonts w:eastAsia="Times New Roman" w:cs="Times New Roman"/>
                <w:b/>
                <w:lang w:eastAsia="cs-CZ"/>
              </w:rPr>
            </w:pPr>
            <w:r w:rsidRPr="009F2EF6">
              <w:rPr>
                <w:rFonts w:eastAsia="Times New Roman" w:cs="Times New Roman"/>
                <w:b/>
                <w:lang w:eastAsia="cs-CZ"/>
              </w:rPr>
              <w:t>Návrh</w:t>
            </w:r>
          </w:p>
          <w:p w:rsidR="00910074" w:rsidRPr="009F2EF6" w:rsidRDefault="00910074" w:rsidP="00910074">
            <w:pPr>
              <w:autoSpaceDE w:val="0"/>
              <w:autoSpaceDN w:val="0"/>
              <w:adjustRightInd w:val="0"/>
              <w:jc w:val="center"/>
              <w:rPr>
                <w:rFonts w:eastAsia="Times New Roman" w:cs="Times New Roman"/>
                <w:b/>
                <w:lang w:eastAsia="cs-CZ"/>
              </w:rPr>
            </w:pPr>
            <w:r w:rsidRPr="009F2EF6">
              <w:rPr>
                <w:rFonts w:eastAsia="Times New Roman" w:cs="Times New Roman"/>
                <w:b/>
                <w:lang w:eastAsia="cs-CZ"/>
              </w:rPr>
              <w:t>rozpočtu</w:t>
            </w:r>
          </w:p>
          <w:p w:rsidR="00910074" w:rsidRPr="009F2EF6" w:rsidRDefault="00910074" w:rsidP="00910074">
            <w:pPr>
              <w:autoSpaceDE w:val="0"/>
              <w:autoSpaceDN w:val="0"/>
              <w:adjustRightInd w:val="0"/>
              <w:jc w:val="center"/>
              <w:rPr>
                <w:rFonts w:eastAsia="Times New Roman" w:cs="Times New Roman"/>
                <w:b/>
                <w:lang w:eastAsia="cs-CZ"/>
              </w:rPr>
            </w:pPr>
            <w:r w:rsidRPr="009F2EF6">
              <w:rPr>
                <w:rFonts w:eastAsia="Times New Roman" w:cs="Times New Roman"/>
                <w:b/>
                <w:lang w:eastAsia="cs-CZ"/>
              </w:rPr>
              <w:t>202</w:t>
            </w:r>
            <w:r>
              <w:rPr>
                <w:rFonts w:eastAsia="Times New Roman" w:cs="Times New Roman"/>
                <w:b/>
                <w:lang w:eastAsia="cs-CZ"/>
              </w:rPr>
              <w:t>1</w:t>
            </w:r>
          </w:p>
        </w:tc>
        <w:tc>
          <w:tcPr>
            <w:tcW w:w="60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9F2EF6" w:rsidRDefault="00910074" w:rsidP="00910074">
            <w:pPr>
              <w:autoSpaceDE w:val="0"/>
              <w:autoSpaceDN w:val="0"/>
              <w:adjustRightInd w:val="0"/>
              <w:jc w:val="center"/>
              <w:rPr>
                <w:rFonts w:eastAsia="Times New Roman" w:cs="Times New Roman"/>
                <w:b/>
                <w:lang w:eastAsia="cs-CZ"/>
              </w:rPr>
            </w:pPr>
            <w:r w:rsidRPr="009F2EF6">
              <w:rPr>
                <w:rFonts w:eastAsia="Times New Roman" w:cs="Times New Roman"/>
                <w:b/>
                <w:lang w:eastAsia="cs-CZ"/>
              </w:rPr>
              <w:t>Index</w:t>
            </w:r>
          </w:p>
          <w:p w:rsidR="00910074" w:rsidRPr="009F2EF6" w:rsidRDefault="00910074" w:rsidP="00910074">
            <w:pPr>
              <w:autoSpaceDE w:val="0"/>
              <w:autoSpaceDN w:val="0"/>
              <w:adjustRightInd w:val="0"/>
              <w:jc w:val="center"/>
              <w:rPr>
                <w:rFonts w:eastAsia="Times New Roman" w:cs="Times New Roman"/>
                <w:b/>
                <w:lang w:eastAsia="cs-CZ"/>
              </w:rPr>
            </w:pPr>
            <w:r w:rsidRPr="009F2EF6">
              <w:rPr>
                <w:rFonts w:eastAsia="Times New Roman" w:cs="Times New Roman"/>
                <w:b/>
                <w:lang w:eastAsia="cs-CZ"/>
              </w:rPr>
              <w:t>202</w:t>
            </w:r>
            <w:r>
              <w:rPr>
                <w:rFonts w:eastAsia="Times New Roman" w:cs="Times New Roman"/>
                <w:b/>
                <w:lang w:eastAsia="cs-CZ"/>
              </w:rPr>
              <w:t>1</w:t>
            </w:r>
            <w:r w:rsidRPr="009F2EF6">
              <w:rPr>
                <w:rFonts w:eastAsia="Times New Roman" w:cs="Times New Roman"/>
                <w:b/>
                <w:lang w:eastAsia="cs-CZ"/>
              </w:rPr>
              <w:t>/</w:t>
            </w:r>
            <w:r w:rsidRPr="009F2EF6">
              <w:rPr>
                <w:rFonts w:eastAsia="Times New Roman" w:cs="Times New Roman"/>
                <w:b/>
                <w:lang w:eastAsia="cs-CZ"/>
              </w:rPr>
              <w:br/>
              <w:t>20</w:t>
            </w:r>
            <w:r>
              <w:rPr>
                <w:rFonts w:eastAsia="Times New Roman" w:cs="Times New Roman"/>
                <w:b/>
                <w:lang w:eastAsia="cs-CZ"/>
              </w:rPr>
              <w:t>20</w:t>
            </w:r>
          </w:p>
          <w:p w:rsidR="00910074" w:rsidRPr="009F2EF6" w:rsidRDefault="00910074" w:rsidP="00910074">
            <w:pPr>
              <w:autoSpaceDE w:val="0"/>
              <w:autoSpaceDN w:val="0"/>
              <w:adjustRightInd w:val="0"/>
              <w:jc w:val="center"/>
              <w:rPr>
                <w:rFonts w:eastAsia="Times New Roman" w:cs="Times New Roman"/>
                <w:b/>
                <w:lang w:eastAsia="cs-CZ"/>
              </w:rPr>
            </w:pPr>
            <w:r w:rsidRPr="009F2EF6">
              <w:rPr>
                <w:rFonts w:eastAsia="Times New Roman" w:cs="Times New Roman"/>
                <w:b/>
                <w:lang w:eastAsia="cs-CZ"/>
              </w:rPr>
              <w:t>(v %)</w:t>
            </w:r>
          </w:p>
        </w:tc>
      </w:tr>
      <w:tr w:rsidR="00910074" w:rsidRPr="009F2EF6" w:rsidTr="00910074">
        <w:trPr>
          <w:trHeight w:val="255"/>
        </w:trPr>
        <w:tc>
          <w:tcPr>
            <w:tcW w:w="2347" w:type="pct"/>
            <w:tcBorders>
              <w:top w:val="single" w:sz="4" w:space="0" w:color="7F7F7F" w:themeColor="text1" w:themeTint="80"/>
              <w:bottom w:val="single" w:sz="8" w:space="0" w:color="7F7F7F" w:themeColor="text1" w:themeTint="80"/>
            </w:tcBorders>
            <w:shd w:val="clear" w:color="auto" w:fill="auto"/>
          </w:tcPr>
          <w:p w:rsidR="00910074" w:rsidRPr="009F2EF6" w:rsidRDefault="00910074" w:rsidP="00910074">
            <w:pPr>
              <w:autoSpaceDE w:val="0"/>
              <w:autoSpaceDN w:val="0"/>
              <w:adjustRightInd w:val="0"/>
              <w:jc w:val="center"/>
              <w:rPr>
                <w:rFonts w:eastAsia="Times New Roman" w:cs="Times New Roman"/>
                <w:lang w:eastAsia="cs-CZ"/>
              </w:rPr>
            </w:pPr>
            <w:r w:rsidRPr="009F2EF6">
              <w:rPr>
                <w:rFonts w:eastAsia="Times New Roman" w:cs="Times New Roman"/>
                <w:lang w:eastAsia="cs-CZ"/>
              </w:rPr>
              <w:t>a</w:t>
            </w:r>
          </w:p>
        </w:tc>
        <w:tc>
          <w:tcPr>
            <w:tcW w:w="756" w:type="pct"/>
            <w:tcBorders>
              <w:top w:val="single" w:sz="4" w:space="0" w:color="7F7F7F" w:themeColor="text1" w:themeTint="80"/>
              <w:bottom w:val="single" w:sz="8" w:space="0" w:color="7F7F7F" w:themeColor="text1" w:themeTint="80"/>
            </w:tcBorders>
            <w:shd w:val="clear" w:color="auto" w:fill="auto"/>
          </w:tcPr>
          <w:p w:rsidR="00910074" w:rsidRPr="009F2EF6" w:rsidRDefault="00910074" w:rsidP="00910074">
            <w:pPr>
              <w:autoSpaceDE w:val="0"/>
              <w:autoSpaceDN w:val="0"/>
              <w:adjustRightInd w:val="0"/>
              <w:jc w:val="center"/>
              <w:rPr>
                <w:rFonts w:eastAsia="Times New Roman" w:cs="Times New Roman"/>
                <w:lang w:eastAsia="cs-CZ"/>
              </w:rPr>
            </w:pPr>
            <w:r w:rsidRPr="009F2EF6">
              <w:rPr>
                <w:rFonts w:eastAsia="Times New Roman" w:cs="Times New Roman"/>
                <w:lang w:eastAsia="cs-CZ"/>
              </w:rPr>
              <w:t>1</w:t>
            </w:r>
          </w:p>
        </w:tc>
        <w:tc>
          <w:tcPr>
            <w:tcW w:w="682" w:type="pct"/>
            <w:tcBorders>
              <w:top w:val="single" w:sz="4" w:space="0" w:color="7F7F7F" w:themeColor="text1" w:themeTint="80"/>
              <w:bottom w:val="single" w:sz="8" w:space="0" w:color="7F7F7F" w:themeColor="text1" w:themeTint="80"/>
            </w:tcBorders>
            <w:shd w:val="clear" w:color="auto" w:fill="auto"/>
          </w:tcPr>
          <w:p w:rsidR="00910074" w:rsidRPr="009F2EF6" w:rsidRDefault="00910074" w:rsidP="00910074">
            <w:pPr>
              <w:autoSpaceDE w:val="0"/>
              <w:autoSpaceDN w:val="0"/>
              <w:adjustRightInd w:val="0"/>
              <w:jc w:val="center"/>
              <w:rPr>
                <w:rFonts w:eastAsia="Times New Roman" w:cs="Times New Roman"/>
                <w:lang w:eastAsia="cs-CZ"/>
              </w:rPr>
            </w:pPr>
            <w:r w:rsidRPr="009F2EF6">
              <w:rPr>
                <w:rFonts w:eastAsia="Times New Roman" w:cs="Times New Roman"/>
                <w:lang w:eastAsia="cs-CZ"/>
              </w:rPr>
              <w:t>2</w:t>
            </w:r>
          </w:p>
        </w:tc>
        <w:tc>
          <w:tcPr>
            <w:tcW w:w="606" w:type="pct"/>
            <w:tcBorders>
              <w:top w:val="single" w:sz="4" w:space="0" w:color="7F7F7F" w:themeColor="text1" w:themeTint="80"/>
              <w:bottom w:val="single" w:sz="8" w:space="0" w:color="7F7F7F" w:themeColor="text1" w:themeTint="80"/>
            </w:tcBorders>
            <w:shd w:val="clear" w:color="auto" w:fill="auto"/>
          </w:tcPr>
          <w:p w:rsidR="00910074" w:rsidRPr="009F2EF6" w:rsidRDefault="00910074" w:rsidP="00910074">
            <w:pPr>
              <w:autoSpaceDE w:val="0"/>
              <w:autoSpaceDN w:val="0"/>
              <w:adjustRightInd w:val="0"/>
              <w:jc w:val="center"/>
              <w:rPr>
                <w:rFonts w:eastAsia="Times New Roman" w:cs="Times New Roman"/>
                <w:lang w:eastAsia="cs-CZ"/>
              </w:rPr>
            </w:pPr>
            <w:r w:rsidRPr="009F2EF6">
              <w:rPr>
                <w:rFonts w:eastAsia="Times New Roman" w:cs="Times New Roman"/>
                <w:lang w:eastAsia="cs-CZ"/>
              </w:rPr>
              <w:t>3</w:t>
            </w:r>
          </w:p>
        </w:tc>
        <w:tc>
          <w:tcPr>
            <w:tcW w:w="609" w:type="pct"/>
            <w:tcBorders>
              <w:top w:val="single" w:sz="4" w:space="0" w:color="7F7F7F" w:themeColor="text1" w:themeTint="80"/>
              <w:bottom w:val="single" w:sz="8" w:space="0" w:color="7F7F7F" w:themeColor="text1" w:themeTint="80"/>
            </w:tcBorders>
            <w:shd w:val="clear" w:color="auto" w:fill="auto"/>
          </w:tcPr>
          <w:p w:rsidR="00910074" w:rsidRPr="009F2EF6" w:rsidRDefault="00910074" w:rsidP="00910074">
            <w:pPr>
              <w:autoSpaceDE w:val="0"/>
              <w:autoSpaceDN w:val="0"/>
              <w:adjustRightInd w:val="0"/>
              <w:jc w:val="center"/>
              <w:rPr>
                <w:rFonts w:eastAsia="Times New Roman" w:cs="Times New Roman"/>
                <w:lang w:eastAsia="cs-CZ"/>
              </w:rPr>
            </w:pPr>
            <w:r w:rsidRPr="009F2EF6">
              <w:rPr>
                <w:rFonts w:eastAsia="Times New Roman" w:cs="Times New Roman"/>
                <w:lang w:eastAsia="cs-CZ"/>
              </w:rPr>
              <w:t>4</w:t>
            </w:r>
          </w:p>
        </w:tc>
      </w:tr>
      <w:tr w:rsidR="00910074" w:rsidRPr="009F2EF6" w:rsidTr="00910074">
        <w:trPr>
          <w:trHeight w:val="255"/>
        </w:trPr>
        <w:tc>
          <w:tcPr>
            <w:tcW w:w="2347" w:type="pct"/>
            <w:tcBorders>
              <w:top w:val="single" w:sz="8" w:space="0" w:color="7F7F7F" w:themeColor="text1" w:themeTint="80"/>
              <w:bottom w:val="single" w:sz="8" w:space="0" w:color="7F7F7F" w:themeColor="text1" w:themeTint="80"/>
            </w:tcBorders>
            <w:shd w:val="clear" w:color="auto" w:fill="auto"/>
          </w:tcPr>
          <w:p w:rsidR="00910074" w:rsidRPr="009F2EF6" w:rsidRDefault="00910074" w:rsidP="00910074">
            <w:pPr>
              <w:autoSpaceDE w:val="0"/>
              <w:autoSpaceDN w:val="0"/>
              <w:adjustRightInd w:val="0"/>
              <w:rPr>
                <w:rFonts w:eastAsia="Times New Roman" w:cs="Times New Roman"/>
                <w:bCs/>
                <w:lang w:eastAsia="cs-CZ"/>
              </w:rPr>
            </w:pPr>
            <w:r w:rsidRPr="009F2EF6">
              <w:rPr>
                <w:rFonts w:eastAsia="Times New Roman" w:cs="Times New Roman"/>
                <w:b/>
                <w:bCs/>
                <w:lang w:eastAsia="cs-CZ"/>
              </w:rPr>
              <w:t xml:space="preserve">Neinvestiční příspěvek a transfery zřízeným PO </w:t>
            </w:r>
            <w:r w:rsidRPr="009F2EF6">
              <w:rPr>
                <w:rFonts w:eastAsia="Times New Roman" w:cs="Times New Roman"/>
                <w:bCs/>
                <w:lang w:eastAsia="cs-CZ"/>
              </w:rPr>
              <w:t>z toho:</w:t>
            </w:r>
          </w:p>
        </w:tc>
        <w:tc>
          <w:tcPr>
            <w:tcW w:w="756" w:type="pct"/>
            <w:tcBorders>
              <w:top w:val="single" w:sz="8" w:space="0" w:color="7F7F7F" w:themeColor="text1" w:themeTint="80"/>
              <w:bottom w:val="single" w:sz="8" w:space="0" w:color="7F7F7F" w:themeColor="text1" w:themeTint="80"/>
            </w:tcBorders>
            <w:shd w:val="clear" w:color="auto" w:fill="auto"/>
            <w:vAlign w:val="center"/>
          </w:tcPr>
          <w:p w:rsidR="00910074" w:rsidRPr="009A2626" w:rsidRDefault="00910074" w:rsidP="00910074">
            <w:pPr>
              <w:autoSpaceDE w:val="0"/>
              <w:autoSpaceDN w:val="0"/>
              <w:adjustRightInd w:val="0"/>
              <w:spacing w:before="120"/>
              <w:jc w:val="right"/>
              <w:rPr>
                <w:rFonts w:eastAsia="Times New Roman" w:cs="Times New Roman"/>
                <w:b/>
                <w:bCs/>
                <w:lang w:eastAsia="cs-CZ"/>
              </w:rPr>
            </w:pPr>
            <w:r w:rsidRPr="009A2626">
              <w:rPr>
                <w:rFonts w:eastAsia="Times New Roman" w:cs="Times New Roman"/>
                <w:b/>
                <w:bCs/>
                <w:lang w:eastAsia="cs-CZ"/>
              </w:rPr>
              <w:t>395 680</w:t>
            </w:r>
          </w:p>
        </w:tc>
        <w:tc>
          <w:tcPr>
            <w:tcW w:w="682" w:type="pct"/>
            <w:tcBorders>
              <w:top w:val="single" w:sz="8" w:space="0" w:color="7F7F7F" w:themeColor="text1" w:themeTint="80"/>
              <w:bottom w:val="single" w:sz="8" w:space="0" w:color="7F7F7F" w:themeColor="text1" w:themeTint="80"/>
            </w:tcBorders>
            <w:shd w:val="clear" w:color="auto" w:fill="auto"/>
            <w:vAlign w:val="center"/>
          </w:tcPr>
          <w:p w:rsidR="00910074" w:rsidRPr="009A2626" w:rsidRDefault="00910074" w:rsidP="00910074">
            <w:pPr>
              <w:autoSpaceDE w:val="0"/>
              <w:autoSpaceDN w:val="0"/>
              <w:adjustRightInd w:val="0"/>
              <w:spacing w:before="120"/>
              <w:jc w:val="right"/>
              <w:rPr>
                <w:rFonts w:eastAsia="Times New Roman" w:cs="Times New Roman"/>
                <w:b/>
                <w:bCs/>
                <w:lang w:eastAsia="cs-CZ"/>
              </w:rPr>
            </w:pPr>
            <w:r w:rsidRPr="009A2626">
              <w:rPr>
                <w:rFonts w:eastAsia="Times New Roman" w:cs="Times New Roman"/>
                <w:b/>
                <w:bCs/>
                <w:lang w:eastAsia="cs-CZ"/>
              </w:rPr>
              <w:t>138 500</w:t>
            </w:r>
          </w:p>
        </w:tc>
        <w:tc>
          <w:tcPr>
            <w:tcW w:w="606" w:type="pct"/>
            <w:tcBorders>
              <w:top w:val="single" w:sz="8" w:space="0" w:color="7F7F7F" w:themeColor="text1" w:themeTint="80"/>
              <w:bottom w:val="single" w:sz="8" w:space="0" w:color="7F7F7F" w:themeColor="text1" w:themeTint="80"/>
            </w:tcBorders>
            <w:shd w:val="clear" w:color="auto" w:fill="auto"/>
            <w:vAlign w:val="center"/>
          </w:tcPr>
          <w:p w:rsidR="00910074" w:rsidRPr="00B34A20" w:rsidRDefault="00910074" w:rsidP="00910074">
            <w:pPr>
              <w:autoSpaceDE w:val="0"/>
              <w:autoSpaceDN w:val="0"/>
              <w:adjustRightInd w:val="0"/>
              <w:spacing w:before="120"/>
              <w:jc w:val="right"/>
              <w:rPr>
                <w:rFonts w:eastAsia="Times New Roman" w:cs="Times New Roman"/>
                <w:b/>
                <w:bCs/>
                <w:lang w:eastAsia="cs-CZ"/>
              </w:rPr>
            </w:pPr>
            <w:r w:rsidRPr="00B34A20">
              <w:rPr>
                <w:rFonts w:eastAsia="Times New Roman" w:cs="Times New Roman"/>
                <w:b/>
                <w:bCs/>
                <w:lang w:eastAsia="cs-CZ"/>
              </w:rPr>
              <w:t>43 500</w:t>
            </w:r>
          </w:p>
        </w:tc>
        <w:tc>
          <w:tcPr>
            <w:tcW w:w="609" w:type="pct"/>
            <w:tcBorders>
              <w:top w:val="single" w:sz="8" w:space="0" w:color="7F7F7F" w:themeColor="text1" w:themeTint="80"/>
              <w:bottom w:val="single" w:sz="8" w:space="0" w:color="7F7F7F" w:themeColor="text1" w:themeTint="80"/>
            </w:tcBorders>
            <w:shd w:val="clear" w:color="auto" w:fill="auto"/>
            <w:vAlign w:val="center"/>
          </w:tcPr>
          <w:p w:rsidR="00910074" w:rsidRPr="00B34A20" w:rsidRDefault="00910074" w:rsidP="00910074">
            <w:pPr>
              <w:autoSpaceDE w:val="0"/>
              <w:autoSpaceDN w:val="0"/>
              <w:adjustRightInd w:val="0"/>
              <w:spacing w:before="120"/>
              <w:jc w:val="right"/>
              <w:rPr>
                <w:rFonts w:eastAsia="Times New Roman" w:cs="Times New Roman"/>
                <w:b/>
                <w:bCs/>
                <w:lang w:eastAsia="cs-CZ"/>
              </w:rPr>
            </w:pPr>
            <w:r w:rsidRPr="00B34A20">
              <w:rPr>
                <w:rFonts w:eastAsia="Times New Roman" w:cs="Times New Roman"/>
                <w:b/>
                <w:bCs/>
                <w:lang w:eastAsia="cs-CZ"/>
              </w:rPr>
              <w:t>31,41</w:t>
            </w:r>
          </w:p>
        </w:tc>
      </w:tr>
      <w:tr w:rsidR="00910074" w:rsidRPr="009F2EF6" w:rsidTr="00910074">
        <w:trPr>
          <w:trHeight w:val="255"/>
        </w:trPr>
        <w:tc>
          <w:tcPr>
            <w:tcW w:w="2347" w:type="pct"/>
            <w:tcBorders>
              <w:top w:val="single" w:sz="8" w:space="0" w:color="7F7F7F" w:themeColor="text1" w:themeTint="80"/>
            </w:tcBorders>
            <w:shd w:val="clear" w:color="auto" w:fill="auto"/>
            <w:vAlign w:val="center"/>
          </w:tcPr>
          <w:p w:rsidR="00910074" w:rsidRPr="009F2EF6" w:rsidRDefault="00910074" w:rsidP="00910074">
            <w:pPr>
              <w:autoSpaceDE w:val="0"/>
              <w:autoSpaceDN w:val="0"/>
              <w:adjustRightInd w:val="0"/>
              <w:rPr>
                <w:rFonts w:eastAsia="Times New Roman" w:cs="Times New Roman"/>
                <w:lang w:eastAsia="cs-CZ"/>
              </w:rPr>
            </w:pPr>
            <w:r w:rsidRPr="009F2EF6">
              <w:rPr>
                <w:rFonts w:eastAsia="Times New Roman" w:cs="Times New Roman"/>
                <w:lang w:eastAsia="cs-CZ"/>
              </w:rPr>
              <w:t xml:space="preserve">platy zaměstnanců a ostatní osobní náklady </w:t>
            </w:r>
          </w:p>
        </w:tc>
        <w:tc>
          <w:tcPr>
            <w:tcW w:w="756" w:type="pct"/>
            <w:tcBorders>
              <w:top w:val="single" w:sz="8" w:space="0" w:color="7F7F7F" w:themeColor="text1" w:themeTint="80"/>
            </w:tcBorders>
            <w:shd w:val="clear" w:color="auto" w:fill="auto"/>
            <w:vAlign w:val="center"/>
          </w:tcPr>
          <w:p w:rsidR="00910074" w:rsidRPr="009A2626" w:rsidRDefault="00910074" w:rsidP="00910074">
            <w:pPr>
              <w:autoSpaceDE w:val="0"/>
              <w:autoSpaceDN w:val="0"/>
              <w:adjustRightInd w:val="0"/>
              <w:spacing w:before="120"/>
              <w:jc w:val="right"/>
              <w:rPr>
                <w:rFonts w:eastAsia="Times New Roman" w:cs="Times New Roman"/>
                <w:lang w:eastAsia="cs-CZ"/>
              </w:rPr>
            </w:pPr>
            <w:r w:rsidRPr="009A2626">
              <w:rPr>
                <w:rFonts w:eastAsia="Times New Roman" w:cs="Times New Roman"/>
                <w:lang w:eastAsia="cs-CZ"/>
              </w:rPr>
              <w:t>0</w:t>
            </w:r>
          </w:p>
        </w:tc>
        <w:tc>
          <w:tcPr>
            <w:tcW w:w="682" w:type="pct"/>
            <w:tcBorders>
              <w:top w:val="single" w:sz="8" w:space="0" w:color="7F7F7F" w:themeColor="text1" w:themeTint="80"/>
            </w:tcBorders>
            <w:shd w:val="clear" w:color="auto" w:fill="auto"/>
            <w:vAlign w:val="center"/>
          </w:tcPr>
          <w:p w:rsidR="00910074" w:rsidRPr="009A2626" w:rsidRDefault="00910074" w:rsidP="00910074">
            <w:pPr>
              <w:autoSpaceDE w:val="0"/>
              <w:autoSpaceDN w:val="0"/>
              <w:adjustRightInd w:val="0"/>
              <w:spacing w:before="120"/>
              <w:jc w:val="right"/>
              <w:rPr>
                <w:rFonts w:eastAsia="Times New Roman" w:cs="Times New Roman"/>
                <w:lang w:eastAsia="cs-CZ"/>
              </w:rPr>
            </w:pPr>
            <w:r w:rsidRPr="009A2626">
              <w:rPr>
                <w:rFonts w:eastAsia="Times New Roman" w:cs="Times New Roman"/>
                <w:lang w:eastAsia="cs-CZ"/>
              </w:rPr>
              <w:t>0</w:t>
            </w:r>
          </w:p>
        </w:tc>
        <w:tc>
          <w:tcPr>
            <w:tcW w:w="606" w:type="pct"/>
            <w:tcBorders>
              <w:top w:val="single" w:sz="8" w:space="0" w:color="7F7F7F" w:themeColor="text1" w:themeTint="80"/>
            </w:tcBorders>
            <w:shd w:val="clear" w:color="auto" w:fill="auto"/>
            <w:vAlign w:val="center"/>
          </w:tcPr>
          <w:p w:rsidR="00910074" w:rsidRPr="00B34A20" w:rsidRDefault="00910074" w:rsidP="00910074">
            <w:pPr>
              <w:autoSpaceDE w:val="0"/>
              <w:autoSpaceDN w:val="0"/>
              <w:adjustRightInd w:val="0"/>
              <w:spacing w:before="120"/>
              <w:jc w:val="right"/>
              <w:rPr>
                <w:rFonts w:eastAsia="Times New Roman" w:cs="Times New Roman"/>
                <w:lang w:eastAsia="cs-CZ"/>
              </w:rPr>
            </w:pPr>
            <w:r w:rsidRPr="00B34A20">
              <w:rPr>
                <w:rFonts w:eastAsia="Times New Roman" w:cs="Times New Roman"/>
                <w:lang w:eastAsia="cs-CZ"/>
              </w:rPr>
              <w:t>0</w:t>
            </w:r>
          </w:p>
        </w:tc>
        <w:tc>
          <w:tcPr>
            <w:tcW w:w="609" w:type="pct"/>
            <w:tcBorders>
              <w:top w:val="single" w:sz="8" w:space="0" w:color="7F7F7F" w:themeColor="text1" w:themeTint="80"/>
            </w:tcBorders>
            <w:shd w:val="clear" w:color="auto" w:fill="auto"/>
            <w:vAlign w:val="center"/>
          </w:tcPr>
          <w:p w:rsidR="00910074" w:rsidRPr="00B34A20" w:rsidRDefault="00910074" w:rsidP="00910074">
            <w:pPr>
              <w:autoSpaceDE w:val="0"/>
              <w:autoSpaceDN w:val="0"/>
              <w:adjustRightInd w:val="0"/>
              <w:spacing w:before="120"/>
              <w:jc w:val="right"/>
              <w:rPr>
                <w:rFonts w:eastAsia="Times New Roman" w:cs="Times New Roman"/>
                <w:lang w:eastAsia="cs-CZ"/>
              </w:rPr>
            </w:pPr>
            <w:r>
              <w:rPr>
                <w:rFonts w:eastAsia="Times New Roman" w:cs="Times New Roman"/>
                <w:lang w:eastAsia="cs-CZ"/>
              </w:rPr>
              <w:t>x</w:t>
            </w:r>
          </w:p>
        </w:tc>
      </w:tr>
      <w:tr w:rsidR="00910074" w:rsidRPr="009F2EF6" w:rsidTr="00910074">
        <w:trPr>
          <w:trHeight w:val="255"/>
        </w:trPr>
        <w:tc>
          <w:tcPr>
            <w:tcW w:w="2347" w:type="pct"/>
            <w:shd w:val="clear" w:color="auto" w:fill="auto"/>
          </w:tcPr>
          <w:p w:rsidR="00910074" w:rsidRPr="009F2EF6" w:rsidRDefault="00910074" w:rsidP="00910074">
            <w:pPr>
              <w:autoSpaceDE w:val="0"/>
              <w:autoSpaceDN w:val="0"/>
              <w:adjustRightInd w:val="0"/>
              <w:rPr>
                <w:rFonts w:eastAsia="Times New Roman" w:cs="Times New Roman"/>
                <w:lang w:eastAsia="cs-CZ"/>
              </w:rPr>
            </w:pPr>
            <w:r w:rsidRPr="009F2EF6">
              <w:rPr>
                <w:rFonts w:eastAsia="Times New Roman" w:cs="Times New Roman"/>
                <w:lang w:eastAsia="cs-CZ"/>
              </w:rPr>
              <w:t>povinné pojistné placené zaměstnavatelem</w:t>
            </w:r>
          </w:p>
        </w:tc>
        <w:tc>
          <w:tcPr>
            <w:tcW w:w="756" w:type="pct"/>
            <w:shd w:val="clear" w:color="auto" w:fill="auto"/>
            <w:vAlign w:val="center"/>
          </w:tcPr>
          <w:p w:rsidR="00910074" w:rsidRPr="009A2626" w:rsidRDefault="00910074" w:rsidP="00910074">
            <w:pPr>
              <w:autoSpaceDE w:val="0"/>
              <w:autoSpaceDN w:val="0"/>
              <w:adjustRightInd w:val="0"/>
              <w:jc w:val="right"/>
              <w:rPr>
                <w:rFonts w:eastAsia="Times New Roman" w:cs="Times New Roman"/>
                <w:lang w:eastAsia="cs-CZ"/>
              </w:rPr>
            </w:pPr>
            <w:r w:rsidRPr="009A2626">
              <w:rPr>
                <w:rFonts w:eastAsia="Times New Roman" w:cs="Times New Roman"/>
                <w:lang w:eastAsia="cs-CZ"/>
              </w:rPr>
              <w:t>0</w:t>
            </w:r>
          </w:p>
        </w:tc>
        <w:tc>
          <w:tcPr>
            <w:tcW w:w="682" w:type="pct"/>
            <w:shd w:val="clear" w:color="auto" w:fill="auto"/>
            <w:vAlign w:val="center"/>
          </w:tcPr>
          <w:p w:rsidR="00910074" w:rsidRPr="009A2626" w:rsidRDefault="00910074" w:rsidP="00910074">
            <w:pPr>
              <w:autoSpaceDE w:val="0"/>
              <w:autoSpaceDN w:val="0"/>
              <w:adjustRightInd w:val="0"/>
              <w:jc w:val="right"/>
              <w:rPr>
                <w:rFonts w:eastAsia="Times New Roman" w:cs="Times New Roman"/>
                <w:lang w:eastAsia="cs-CZ"/>
              </w:rPr>
            </w:pPr>
            <w:r w:rsidRPr="009A2626">
              <w:rPr>
                <w:rFonts w:eastAsia="Times New Roman" w:cs="Times New Roman"/>
                <w:lang w:eastAsia="cs-CZ"/>
              </w:rPr>
              <w:t>0</w:t>
            </w:r>
          </w:p>
        </w:tc>
        <w:tc>
          <w:tcPr>
            <w:tcW w:w="606" w:type="pct"/>
            <w:shd w:val="clear" w:color="auto" w:fill="auto"/>
            <w:vAlign w:val="center"/>
          </w:tcPr>
          <w:p w:rsidR="00910074" w:rsidRPr="00B34A20" w:rsidRDefault="00910074" w:rsidP="00910074">
            <w:pPr>
              <w:autoSpaceDE w:val="0"/>
              <w:autoSpaceDN w:val="0"/>
              <w:adjustRightInd w:val="0"/>
              <w:jc w:val="right"/>
              <w:rPr>
                <w:rFonts w:eastAsia="Times New Roman" w:cs="Times New Roman"/>
                <w:lang w:eastAsia="cs-CZ"/>
              </w:rPr>
            </w:pPr>
            <w:r w:rsidRPr="00B34A20">
              <w:rPr>
                <w:rFonts w:eastAsia="Times New Roman" w:cs="Times New Roman"/>
                <w:lang w:eastAsia="cs-CZ"/>
              </w:rPr>
              <w:t>0</w:t>
            </w:r>
          </w:p>
        </w:tc>
        <w:tc>
          <w:tcPr>
            <w:tcW w:w="609" w:type="pct"/>
            <w:shd w:val="clear" w:color="auto" w:fill="auto"/>
            <w:vAlign w:val="center"/>
          </w:tcPr>
          <w:p w:rsidR="00910074" w:rsidRPr="00B34A20" w:rsidRDefault="00910074" w:rsidP="00910074">
            <w:pPr>
              <w:autoSpaceDE w:val="0"/>
              <w:autoSpaceDN w:val="0"/>
              <w:adjustRightInd w:val="0"/>
              <w:jc w:val="right"/>
              <w:rPr>
                <w:rFonts w:eastAsia="Times New Roman" w:cs="Times New Roman"/>
                <w:lang w:eastAsia="cs-CZ"/>
              </w:rPr>
            </w:pPr>
            <w:r>
              <w:rPr>
                <w:rFonts w:eastAsia="Times New Roman" w:cs="Times New Roman"/>
                <w:lang w:eastAsia="cs-CZ"/>
              </w:rPr>
              <w:t>x</w:t>
            </w:r>
          </w:p>
        </w:tc>
      </w:tr>
      <w:tr w:rsidR="00910074" w:rsidRPr="009F2EF6" w:rsidTr="00910074">
        <w:trPr>
          <w:trHeight w:val="255"/>
        </w:trPr>
        <w:tc>
          <w:tcPr>
            <w:tcW w:w="2347" w:type="pct"/>
            <w:shd w:val="clear" w:color="auto" w:fill="auto"/>
          </w:tcPr>
          <w:p w:rsidR="00910074" w:rsidRPr="009F2EF6" w:rsidRDefault="00910074" w:rsidP="00910074">
            <w:pPr>
              <w:autoSpaceDE w:val="0"/>
              <w:autoSpaceDN w:val="0"/>
              <w:adjustRightInd w:val="0"/>
              <w:rPr>
                <w:rFonts w:eastAsia="Times New Roman" w:cs="Times New Roman"/>
                <w:lang w:eastAsia="cs-CZ"/>
              </w:rPr>
            </w:pPr>
            <w:r w:rsidRPr="009F2EF6">
              <w:rPr>
                <w:rFonts w:eastAsia="Times New Roman" w:cs="Times New Roman"/>
                <w:lang w:eastAsia="cs-CZ"/>
              </w:rPr>
              <w:t>příděl FKSP</w:t>
            </w:r>
          </w:p>
        </w:tc>
        <w:tc>
          <w:tcPr>
            <w:tcW w:w="756" w:type="pct"/>
            <w:shd w:val="clear" w:color="auto" w:fill="auto"/>
            <w:vAlign w:val="center"/>
          </w:tcPr>
          <w:p w:rsidR="00910074" w:rsidRPr="009A2626" w:rsidRDefault="00910074" w:rsidP="00910074">
            <w:pPr>
              <w:autoSpaceDE w:val="0"/>
              <w:autoSpaceDN w:val="0"/>
              <w:adjustRightInd w:val="0"/>
              <w:jc w:val="right"/>
              <w:rPr>
                <w:rFonts w:eastAsia="Times New Roman" w:cs="Times New Roman"/>
                <w:lang w:eastAsia="cs-CZ"/>
              </w:rPr>
            </w:pPr>
            <w:r w:rsidRPr="009A2626">
              <w:rPr>
                <w:rFonts w:eastAsia="Times New Roman" w:cs="Times New Roman"/>
                <w:lang w:eastAsia="cs-CZ"/>
              </w:rPr>
              <w:t>0</w:t>
            </w:r>
          </w:p>
        </w:tc>
        <w:tc>
          <w:tcPr>
            <w:tcW w:w="682" w:type="pct"/>
            <w:shd w:val="clear" w:color="auto" w:fill="auto"/>
            <w:vAlign w:val="center"/>
          </w:tcPr>
          <w:p w:rsidR="00910074" w:rsidRPr="009A2626" w:rsidRDefault="00910074" w:rsidP="00910074">
            <w:pPr>
              <w:autoSpaceDE w:val="0"/>
              <w:autoSpaceDN w:val="0"/>
              <w:adjustRightInd w:val="0"/>
              <w:jc w:val="right"/>
              <w:rPr>
                <w:rFonts w:eastAsia="Times New Roman" w:cs="Times New Roman"/>
                <w:lang w:eastAsia="cs-CZ"/>
              </w:rPr>
            </w:pPr>
            <w:r w:rsidRPr="009A2626">
              <w:rPr>
                <w:rFonts w:eastAsia="Times New Roman" w:cs="Times New Roman"/>
                <w:lang w:eastAsia="cs-CZ"/>
              </w:rPr>
              <w:t>0</w:t>
            </w:r>
          </w:p>
        </w:tc>
        <w:tc>
          <w:tcPr>
            <w:tcW w:w="606" w:type="pct"/>
            <w:shd w:val="clear" w:color="auto" w:fill="auto"/>
            <w:vAlign w:val="center"/>
          </w:tcPr>
          <w:p w:rsidR="00910074" w:rsidRPr="00B34A20" w:rsidRDefault="00910074" w:rsidP="00910074">
            <w:pPr>
              <w:autoSpaceDE w:val="0"/>
              <w:autoSpaceDN w:val="0"/>
              <w:adjustRightInd w:val="0"/>
              <w:jc w:val="right"/>
              <w:rPr>
                <w:rFonts w:eastAsia="Times New Roman" w:cs="Times New Roman"/>
                <w:lang w:eastAsia="cs-CZ"/>
              </w:rPr>
            </w:pPr>
            <w:r w:rsidRPr="00B34A20">
              <w:rPr>
                <w:rFonts w:eastAsia="Times New Roman" w:cs="Times New Roman"/>
                <w:lang w:eastAsia="cs-CZ"/>
              </w:rPr>
              <w:t>0</w:t>
            </w:r>
          </w:p>
        </w:tc>
        <w:tc>
          <w:tcPr>
            <w:tcW w:w="609" w:type="pct"/>
            <w:shd w:val="clear" w:color="auto" w:fill="auto"/>
            <w:vAlign w:val="center"/>
          </w:tcPr>
          <w:p w:rsidR="00910074" w:rsidRPr="00B34A20" w:rsidRDefault="00910074" w:rsidP="00910074">
            <w:pPr>
              <w:autoSpaceDE w:val="0"/>
              <w:autoSpaceDN w:val="0"/>
              <w:adjustRightInd w:val="0"/>
              <w:jc w:val="right"/>
              <w:rPr>
                <w:rFonts w:eastAsia="Times New Roman" w:cs="Times New Roman"/>
                <w:lang w:eastAsia="cs-CZ"/>
              </w:rPr>
            </w:pPr>
            <w:r>
              <w:rPr>
                <w:rFonts w:eastAsia="Times New Roman" w:cs="Times New Roman"/>
                <w:lang w:eastAsia="cs-CZ"/>
              </w:rPr>
              <w:t>x</w:t>
            </w:r>
          </w:p>
        </w:tc>
      </w:tr>
      <w:tr w:rsidR="00910074" w:rsidRPr="009F2EF6" w:rsidTr="00910074">
        <w:trPr>
          <w:trHeight w:val="255"/>
        </w:trPr>
        <w:tc>
          <w:tcPr>
            <w:tcW w:w="2347" w:type="pct"/>
            <w:shd w:val="clear" w:color="auto" w:fill="auto"/>
          </w:tcPr>
          <w:p w:rsidR="00910074" w:rsidRPr="009F2EF6" w:rsidRDefault="00910074" w:rsidP="005974F4">
            <w:pPr>
              <w:autoSpaceDE w:val="0"/>
              <w:autoSpaceDN w:val="0"/>
              <w:adjustRightInd w:val="0"/>
              <w:jc w:val="left"/>
              <w:rPr>
                <w:rFonts w:eastAsia="Times New Roman" w:cs="Times New Roman"/>
                <w:lang w:eastAsia="cs-CZ"/>
              </w:rPr>
            </w:pPr>
            <w:r w:rsidRPr="009F2EF6">
              <w:rPr>
                <w:rFonts w:eastAsia="Times New Roman" w:cs="Times New Roman"/>
                <w:lang w:eastAsia="cs-CZ"/>
              </w:rPr>
              <w:t>dotace na neinvestiční náklady související s financ. programů evidovaných v EDS/SMVS</w:t>
            </w:r>
          </w:p>
        </w:tc>
        <w:tc>
          <w:tcPr>
            <w:tcW w:w="756" w:type="pct"/>
            <w:shd w:val="clear" w:color="auto" w:fill="auto"/>
            <w:vAlign w:val="center"/>
          </w:tcPr>
          <w:p w:rsidR="00910074" w:rsidRPr="009A2626" w:rsidRDefault="00910074" w:rsidP="00910074">
            <w:pPr>
              <w:autoSpaceDE w:val="0"/>
              <w:autoSpaceDN w:val="0"/>
              <w:adjustRightInd w:val="0"/>
              <w:spacing w:before="120"/>
              <w:jc w:val="right"/>
              <w:rPr>
                <w:rFonts w:eastAsia="Times New Roman" w:cs="Times New Roman"/>
                <w:lang w:eastAsia="cs-CZ"/>
              </w:rPr>
            </w:pPr>
            <w:r w:rsidRPr="009A2626">
              <w:rPr>
                <w:rFonts w:eastAsia="Times New Roman" w:cs="Times New Roman"/>
                <w:lang w:eastAsia="cs-CZ"/>
              </w:rPr>
              <w:t>0</w:t>
            </w:r>
          </w:p>
        </w:tc>
        <w:tc>
          <w:tcPr>
            <w:tcW w:w="682" w:type="pct"/>
            <w:shd w:val="clear" w:color="auto" w:fill="auto"/>
            <w:vAlign w:val="center"/>
          </w:tcPr>
          <w:p w:rsidR="00910074" w:rsidRPr="009A2626" w:rsidRDefault="00910074" w:rsidP="00910074">
            <w:pPr>
              <w:autoSpaceDE w:val="0"/>
              <w:autoSpaceDN w:val="0"/>
              <w:adjustRightInd w:val="0"/>
              <w:spacing w:before="120"/>
              <w:jc w:val="right"/>
              <w:rPr>
                <w:rFonts w:eastAsia="Times New Roman" w:cs="Times New Roman"/>
                <w:lang w:eastAsia="cs-CZ"/>
              </w:rPr>
            </w:pPr>
            <w:r w:rsidRPr="009A2626">
              <w:rPr>
                <w:rFonts w:eastAsia="Times New Roman" w:cs="Times New Roman"/>
                <w:lang w:eastAsia="cs-CZ"/>
              </w:rPr>
              <w:t>0</w:t>
            </w:r>
          </w:p>
        </w:tc>
        <w:tc>
          <w:tcPr>
            <w:tcW w:w="606" w:type="pct"/>
            <w:shd w:val="clear" w:color="auto" w:fill="auto"/>
            <w:vAlign w:val="center"/>
          </w:tcPr>
          <w:p w:rsidR="00910074" w:rsidRPr="00B34A20" w:rsidRDefault="00910074" w:rsidP="00910074">
            <w:pPr>
              <w:autoSpaceDE w:val="0"/>
              <w:autoSpaceDN w:val="0"/>
              <w:adjustRightInd w:val="0"/>
              <w:spacing w:before="120"/>
              <w:jc w:val="right"/>
              <w:rPr>
                <w:rFonts w:eastAsia="Times New Roman" w:cs="Times New Roman"/>
                <w:lang w:eastAsia="cs-CZ"/>
              </w:rPr>
            </w:pPr>
            <w:r w:rsidRPr="00B34A20">
              <w:rPr>
                <w:rFonts w:eastAsia="Times New Roman" w:cs="Times New Roman"/>
                <w:lang w:eastAsia="cs-CZ"/>
              </w:rPr>
              <w:t>0</w:t>
            </w:r>
          </w:p>
        </w:tc>
        <w:tc>
          <w:tcPr>
            <w:tcW w:w="609" w:type="pct"/>
            <w:shd w:val="clear" w:color="auto" w:fill="auto"/>
            <w:vAlign w:val="center"/>
          </w:tcPr>
          <w:p w:rsidR="00910074" w:rsidRPr="00B34A20" w:rsidRDefault="00910074" w:rsidP="00910074">
            <w:pPr>
              <w:autoSpaceDE w:val="0"/>
              <w:autoSpaceDN w:val="0"/>
              <w:adjustRightInd w:val="0"/>
              <w:spacing w:before="120"/>
              <w:jc w:val="right"/>
              <w:rPr>
                <w:rFonts w:eastAsia="Times New Roman" w:cs="Times New Roman"/>
                <w:lang w:eastAsia="cs-CZ"/>
              </w:rPr>
            </w:pPr>
            <w:r>
              <w:rPr>
                <w:rFonts w:eastAsia="Times New Roman" w:cs="Times New Roman"/>
                <w:lang w:eastAsia="cs-CZ"/>
              </w:rPr>
              <w:t>x</w:t>
            </w:r>
          </w:p>
        </w:tc>
      </w:tr>
    </w:tbl>
    <w:p w:rsidR="00910074" w:rsidRPr="009F2EF6" w:rsidRDefault="00910074" w:rsidP="00910074">
      <w:pPr>
        <w:pStyle w:val="Styl1"/>
        <w:spacing w:before="240"/>
      </w:pPr>
      <w:r w:rsidRPr="009F2EF6">
        <w:t>Prostředky ve výši 43 500 tis. Kč jsou určeny zejména na úhradu odvodů za porušení rozpočtové kázně a na Výcvikové středisko v Kojetíně.</w:t>
      </w:r>
    </w:p>
    <w:p w:rsidR="00910074" w:rsidRDefault="00910074" w:rsidP="00910074">
      <w:pPr>
        <w:pStyle w:val="Styl1"/>
        <w:spacing w:before="240"/>
      </w:pPr>
      <w:r w:rsidRPr="009F2EF6">
        <w:t>Prostředky ve výši 3 500 tis. Kč jsou určeny na správu a provoz zmiňovaného Výcvikové střediska Kojetín, jehož správu a provoz od roku 2013 zajišťuje ŘSD ČR na základě zřizovací listiny.</w:t>
      </w:r>
    </w:p>
    <w:p w:rsidR="006076E7" w:rsidRDefault="006076E7" w:rsidP="00910074">
      <w:pPr>
        <w:pStyle w:val="Styl1"/>
        <w:spacing w:before="240"/>
      </w:pPr>
    </w:p>
    <w:p w:rsidR="006076E7" w:rsidRPr="009F2EF6" w:rsidRDefault="006076E7" w:rsidP="00910074">
      <w:pPr>
        <w:pStyle w:val="Styl1"/>
        <w:spacing w:before="240"/>
      </w:pPr>
    </w:p>
    <w:p w:rsidR="002B4A5E" w:rsidRPr="00BE6537" w:rsidRDefault="002B4A5E" w:rsidP="007B2F4B">
      <w:pPr>
        <w:pStyle w:val="Nadpis3"/>
      </w:pPr>
      <w:bookmarkStart w:id="57" w:name="_Toc53750571"/>
      <w:r w:rsidRPr="00BE6537">
        <w:lastRenderedPageBreak/>
        <w:t xml:space="preserve">Neinvestiční transfery </w:t>
      </w:r>
      <w:bookmarkEnd w:id="55"/>
      <w:bookmarkEnd w:id="56"/>
      <w:r w:rsidR="00BE6537" w:rsidRPr="00BE6537">
        <w:t>veřejným výzkumným institucím</w:t>
      </w:r>
      <w:bookmarkEnd w:id="57"/>
    </w:p>
    <w:p w:rsidR="00BE6537" w:rsidRPr="0010486E" w:rsidRDefault="00BE6537" w:rsidP="00BE6537">
      <w:pPr>
        <w:pStyle w:val="Styl1"/>
      </w:pPr>
      <w:bookmarkStart w:id="58" w:name="_Toc242513757"/>
      <w:bookmarkStart w:id="59" w:name="_Toc462314399"/>
      <w:bookmarkEnd w:id="54"/>
      <w:r w:rsidRPr="0010486E">
        <w:t xml:space="preserve">V návrhu rozpočtu kapitoly 327 Ministerstvo dopravy pro rok 2021 jsou rovněž zařazeny neinvestiční transfery veřejným výzkumným institucím. Tyto transfery jsou určeny </w:t>
      </w:r>
      <w:r w:rsidRPr="0010486E">
        <w:br/>
        <w:t xml:space="preserve">pro Centrum dopravního výzkumu, v.v.i.  </w:t>
      </w:r>
    </w:p>
    <w:p w:rsidR="00BE6537" w:rsidRPr="0010486E" w:rsidRDefault="00BE6537" w:rsidP="00BE6537">
      <w:pPr>
        <w:pStyle w:val="Styl1"/>
      </w:pPr>
      <w:r w:rsidRPr="0010486E">
        <w:t>Veřejná výzkumná instituce Centrum dopravního výzkumu provádí výzkum, zabezpečuje expertní a servisní činnosti v oblasti výzkumu pro Ministerstvo dopravy a další organizační složky státu nebo územní samosprávné celky. Její činnost je zaměřena na základní, aplikovaný a průmyslový výzkum.</w:t>
      </w:r>
    </w:p>
    <w:p w:rsidR="00BE6537" w:rsidRPr="0010486E" w:rsidRDefault="00BE6537" w:rsidP="00BE6537">
      <w:pPr>
        <w:pStyle w:val="Titulek"/>
        <w:keepNext/>
      </w:pPr>
      <w:r w:rsidRPr="0010486E">
        <w:t xml:space="preserve">Tabulka č. </w:t>
      </w:r>
      <w:fldSimple w:instr=" SEQ Tabulka \* ARABIC ">
        <w:r w:rsidR="006076E7">
          <w:rPr>
            <w:noProof/>
          </w:rPr>
          <w:t>19</w:t>
        </w:r>
      </w:fldSimple>
      <w:r w:rsidRPr="0010486E">
        <w:rPr>
          <w:noProof/>
        </w:rPr>
        <w:t xml:space="preserve"> Neivestiční transfery veřejným výzkumným institucím (v tis. Kč)</w:t>
      </w:r>
    </w:p>
    <w:tbl>
      <w:tblPr>
        <w:tblStyle w:val="Svtltabulkasmkou1zvraznn5"/>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40"/>
        <w:gridCol w:w="1361"/>
        <w:gridCol w:w="1260"/>
        <w:gridCol w:w="1304"/>
        <w:gridCol w:w="997"/>
      </w:tblGrid>
      <w:tr w:rsidR="00BE6537" w:rsidRPr="00576843" w:rsidTr="00910074">
        <w:tc>
          <w:tcPr>
            <w:tcW w:w="41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E6537" w:rsidRPr="0010486E" w:rsidRDefault="00BE6537" w:rsidP="00910074">
            <w:pPr>
              <w:jc w:val="center"/>
              <w:rPr>
                <w:rFonts w:eastAsia="Times New Roman" w:cs="Times New Roman"/>
                <w:b/>
                <w:szCs w:val="24"/>
                <w:lang w:eastAsia="cs-CZ"/>
              </w:rPr>
            </w:pPr>
            <w:r w:rsidRPr="0010486E">
              <w:rPr>
                <w:rFonts w:eastAsia="Times New Roman" w:cs="Times New Roman"/>
                <w:b/>
                <w:szCs w:val="24"/>
                <w:lang w:eastAsia="cs-CZ"/>
              </w:rPr>
              <w:t>Ukazatel</w:t>
            </w:r>
          </w:p>
        </w:tc>
        <w:tc>
          <w:tcPr>
            <w:tcW w:w="136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E6537" w:rsidRPr="0010486E" w:rsidRDefault="00BE6537" w:rsidP="00910074">
            <w:pPr>
              <w:jc w:val="center"/>
              <w:rPr>
                <w:rFonts w:eastAsia="Times New Roman" w:cs="Times New Roman"/>
                <w:b/>
                <w:szCs w:val="24"/>
                <w:lang w:eastAsia="cs-CZ"/>
              </w:rPr>
            </w:pPr>
            <w:r w:rsidRPr="0010486E">
              <w:rPr>
                <w:rFonts w:eastAsia="Times New Roman" w:cs="Times New Roman"/>
                <w:b/>
                <w:szCs w:val="24"/>
                <w:lang w:eastAsia="cs-CZ"/>
              </w:rPr>
              <w:t>Skutečnost</w:t>
            </w:r>
          </w:p>
          <w:p w:rsidR="00BE6537" w:rsidRPr="0010486E" w:rsidRDefault="00BE6537" w:rsidP="00910074">
            <w:pPr>
              <w:jc w:val="center"/>
              <w:rPr>
                <w:rFonts w:eastAsia="Times New Roman" w:cs="Times New Roman"/>
                <w:b/>
                <w:szCs w:val="24"/>
                <w:lang w:eastAsia="cs-CZ"/>
              </w:rPr>
            </w:pPr>
            <w:r w:rsidRPr="0010486E">
              <w:rPr>
                <w:rFonts w:eastAsia="Times New Roman" w:cs="Times New Roman"/>
                <w:b/>
                <w:szCs w:val="24"/>
                <w:lang w:eastAsia="cs-CZ"/>
              </w:rPr>
              <w:t>2019</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E6537" w:rsidRPr="0010486E" w:rsidRDefault="00BE6537" w:rsidP="00910074">
            <w:pPr>
              <w:jc w:val="center"/>
              <w:rPr>
                <w:rFonts w:eastAsia="Times New Roman" w:cs="Times New Roman"/>
                <w:b/>
                <w:szCs w:val="24"/>
                <w:lang w:eastAsia="cs-CZ"/>
              </w:rPr>
            </w:pPr>
            <w:r w:rsidRPr="0010486E">
              <w:rPr>
                <w:rFonts w:eastAsia="Times New Roman" w:cs="Times New Roman"/>
                <w:b/>
                <w:szCs w:val="24"/>
                <w:lang w:eastAsia="cs-CZ"/>
              </w:rPr>
              <w:t>Schválený</w:t>
            </w:r>
          </w:p>
          <w:p w:rsidR="00BE6537" w:rsidRPr="0010486E" w:rsidRDefault="00BE6537" w:rsidP="00910074">
            <w:pPr>
              <w:jc w:val="center"/>
              <w:rPr>
                <w:rFonts w:eastAsia="Times New Roman" w:cs="Times New Roman"/>
                <w:b/>
                <w:szCs w:val="24"/>
                <w:lang w:eastAsia="cs-CZ"/>
              </w:rPr>
            </w:pPr>
            <w:r w:rsidRPr="0010486E">
              <w:rPr>
                <w:rFonts w:eastAsia="Times New Roman" w:cs="Times New Roman"/>
                <w:b/>
                <w:szCs w:val="24"/>
                <w:lang w:eastAsia="cs-CZ"/>
              </w:rPr>
              <w:t>rozpočet</w:t>
            </w:r>
          </w:p>
          <w:p w:rsidR="00BE6537" w:rsidRPr="0010486E" w:rsidRDefault="00BE6537" w:rsidP="00910074">
            <w:pPr>
              <w:jc w:val="center"/>
              <w:rPr>
                <w:rFonts w:eastAsia="Times New Roman" w:cs="Times New Roman"/>
                <w:b/>
                <w:szCs w:val="24"/>
                <w:lang w:eastAsia="cs-CZ"/>
              </w:rPr>
            </w:pPr>
            <w:r w:rsidRPr="0010486E">
              <w:rPr>
                <w:rFonts w:eastAsia="Times New Roman" w:cs="Times New Roman"/>
                <w:b/>
                <w:szCs w:val="24"/>
                <w:lang w:eastAsia="cs-CZ"/>
              </w:rPr>
              <w:t>2020</w:t>
            </w:r>
          </w:p>
        </w:tc>
        <w:tc>
          <w:tcPr>
            <w:tcW w:w="130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E6537" w:rsidRPr="0010486E" w:rsidRDefault="00BE6537" w:rsidP="00910074">
            <w:pPr>
              <w:jc w:val="center"/>
              <w:rPr>
                <w:rFonts w:eastAsia="Times New Roman" w:cs="Times New Roman"/>
                <w:b/>
                <w:szCs w:val="24"/>
                <w:lang w:eastAsia="cs-CZ"/>
              </w:rPr>
            </w:pPr>
            <w:r w:rsidRPr="0010486E">
              <w:rPr>
                <w:rFonts w:eastAsia="Times New Roman" w:cs="Times New Roman"/>
                <w:b/>
                <w:szCs w:val="24"/>
                <w:lang w:eastAsia="cs-CZ"/>
              </w:rPr>
              <w:t>Návrh</w:t>
            </w:r>
          </w:p>
          <w:p w:rsidR="00BE6537" w:rsidRPr="0010486E" w:rsidRDefault="00BE6537" w:rsidP="00910074">
            <w:pPr>
              <w:jc w:val="center"/>
              <w:rPr>
                <w:rFonts w:eastAsia="Times New Roman" w:cs="Times New Roman"/>
                <w:b/>
                <w:szCs w:val="24"/>
                <w:lang w:eastAsia="cs-CZ"/>
              </w:rPr>
            </w:pPr>
            <w:r w:rsidRPr="0010486E">
              <w:rPr>
                <w:rFonts w:eastAsia="Times New Roman" w:cs="Times New Roman"/>
                <w:b/>
                <w:szCs w:val="24"/>
                <w:lang w:eastAsia="cs-CZ"/>
              </w:rPr>
              <w:t>rozpočtu</w:t>
            </w:r>
          </w:p>
          <w:p w:rsidR="00BE6537" w:rsidRPr="0010486E" w:rsidRDefault="00BE6537" w:rsidP="00910074">
            <w:pPr>
              <w:jc w:val="center"/>
              <w:rPr>
                <w:rFonts w:eastAsia="Times New Roman" w:cs="Times New Roman"/>
                <w:b/>
                <w:szCs w:val="24"/>
                <w:lang w:eastAsia="cs-CZ"/>
              </w:rPr>
            </w:pPr>
            <w:r w:rsidRPr="0010486E">
              <w:rPr>
                <w:rFonts w:eastAsia="Times New Roman" w:cs="Times New Roman"/>
                <w:b/>
                <w:szCs w:val="24"/>
                <w:lang w:eastAsia="cs-CZ"/>
              </w:rPr>
              <w:t>2021</w:t>
            </w:r>
          </w:p>
        </w:tc>
        <w:tc>
          <w:tcPr>
            <w:tcW w:w="99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E6537" w:rsidRPr="0010486E" w:rsidRDefault="00BE6537" w:rsidP="00910074">
            <w:pPr>
              <w:jc w:val="center"/>
              <w:rPr>
                <w:rFonts w:eastAsia="Times New Roman" w:cs="Times New Roman"/>
                <w:b/>
                <w:szCs w:val="24"/>
                <w:lang w:eastAsia="cs-CZ"/>
              </w:rPr>
            </w:pPr>
            <w:r w:rsidRPr="0010486E">
              <w:rPr>
                <w:rFonts w:eastAsia="Times New Roman" w:cs="Times New Roman"/>
                <w:b/>
                <w:szCs w:val="24"/>
                <w:lang w:eastAsia="cs-CZ"/>
              </w:rPr>
              <w:t>Index</w:t>
            </w:r>
          </w:p>
          <w:p w:rsidR="00BE6537" w:rsidRPr="0010486E" w:rsidRDefault="00BE6537" w:rsidP="00910074">
            <w:pPr>
              <w:jc w:val="center"/>
              <w:rPr>
                <w:rFonts w:eastAsia="Times New Roman" w:cs="Times New Roman"/>
                <w:b/>
                <w:szCs w:val="24"/>
                <w:lang w:eastAsia="cs-CZ"/>
              </w:rPr>
            </w:pPr>
            <w:r w:rsidRPr="0010486E">
              <w:rPr>
                <w:rFonts w:eastAsia="Times New Roman" w:cs="Times New Roman"/>
                <w:b/>
                <w:szCs w:val="24"/>
                <w:lang w:eastAsia="cs-CZ"/>
              </w:rPr>
              <w:t>2021/</w:t>
            </w:r>
            <w:r w:rsidRPr="0010486E">
              <w:rPr>
                <w:rFonts w:eastAsia="Times New Roman" w:cs="Times New Roman"/>
                <w:b/>
                <w:szCs w:val="24"/>
                <w:lang w:eastAsia="cs-CZ"/>
              </w:rPr>
              <w:br/>
              <w:t>2020</w:t>
            </w:r>
          </w:p>
          <w:p w:rsidR="00BE6537" w:rsidRPr="0010486E" w:rsidRDefault="00BE6537" w:rsidP="00910074">
            <w:pPr>
              <w:jc w:val="center"/>
              <w:rPr>
                <w:rFonts w:eastAsia="Times New Roman" w:cs="Times New Roman"/>
                <w:b/>
                <w:szCs w:val="24"/>
                <w:lang w:eastAsia="cs-CZ"/>
              </w:rPr>
            </w:pPr>
            <w:r w:rsidRPr="0010486E">
              <w:rPr>
                <w:rFonts w:eastAsia="Times New Roman" w:cs="Times New Roman"/>
                <w:b/>
                <w:szCs w:val="24"/>
                <w:lang w:eastAsia="cs-CZ"/>
              </w:rPr>
              <w:t>(v %)</w:t>
            </w:r>
          </w:p>
        </w:tc>
      </w:tr>
      <w:tr w:rsidR="00BE6537" w:rsidRPr="00576843" w:rsidTr="00910074">
        <w:tc>
          <w:tcPr>
            <w:tcW w:w="4140" w:type="dxa"/>
            <w:tcBorders>
              <w:top w:val="single" w:sz="4" w:space="0" w:color="7F7F7F" w:themeColor="text1" w:themeTint="80"/>
            </w:tcBorders>
            <w:shd w:val="clear" w:color="auto" w:fill="auto"/>
          </w:tcPr>
          <w:p w:rsidR="00BE6537" w:rsidRPr="0010486E" w:rsidRDefault="00BE6537" w:rsidP="00910074">
            <w:pPr>
              <w:jc w:val="center"/>
              <w:rPr>
                <w:rFonts w:eastAsia="Times New Roman" w:cs="Times New Roman"/>
                <w:szCs w:val="24"/>
                <w:lang w:eastAsia="cs-CZ"/>
              </w:rPr>
            </w:pPr>
            <w:r w:rsidRPr="0010486E">
              <w:rPr>
                <w:rFonts w:eastAsia="Times New Roman" w:cs="Times New Roman"/>
                <w:szCs w:val="24"/>
                <w:lang w:eastAsia="cs-CZ"/>
              </w:rPr>
              <w:t>a</w:t>
            </w:r>
          </w:p>
        </w:tc>
        <w:tc>
          <w:tcPr>
            <w:tcW w:w="1361" w:type="dxa"/>
            <w:tcBorders>
              <w:top w:val="single" w:sz="4" w:space="0" w:color="7F7F7F" w:themeColor="text1" w:themeTint="80"/>
            </w:tcBorders>
            <w:shd w:val="clear" w:color="auto" w:fill="auto"/>
          </w:tcPr>
          <w:p w:rsidR="00BE6537" w:rsidRPr="0010486E" w:rsidRDefault="00BE6537" w:rsidP="00910074">
            <w:pPr>
              <w:jc w:val="center"/>
              <w:rPr>
                <w:rFonts w:eastAsia="Times New Roman" w:cs="Times New Roman"/>
                <w:szCs w:val="24"/>
                <w:lang w:eastAsia="cs-CZ"/>
              </w:rPr>
            </w:pPr>
            <w:r w:rsidRPr="0010486E">
              <w:rPr>
                <w:rFonts w:eastAsia="Times New Roman" w:cs="Times New Roman"/>
                <w:szCs w:val="24"/>
                <w:lang w:eastAsia="cs-CZ"/>
              </w:rPr>
              <w:t>1</w:t>
            </w:r>
          </w:p>
        </w:tc>
        <w:tc>
          <w:tcPr>
            <w:tcW w:w="1260" w:type="dxa"/>
            <w:tcBorders>
              <w:top w:val="single" w:sz="4" w:space="0" w:color="7F7F7F" w:themeColor="text1" w:themeTint="80"/>
            </w:tcBorders>
            <w:shd w:val="clear" w:color="auto" w:fill="auto"/>
          </w:tcPr>
          <w:p w:rsidR="00BE6537" w:rsidRPr="0010486E" w:rsidRDefault="00BE6537" w:rsidP="00910074">
            <w:pPr>
              <w:jc w:val="center"/>
              <w:rPr>
                <w:rFonts w:eastAsia="Times New Roman" w:cs="Times New Roman"/>
                <w:szCs w:val="24"/>
                <w:lang w:eastAsia="cs-CZ"/>
              </w:rPr>
            </w:pPr>
            <w:r w:rsidRPr="0010486E">
              <w:rPr>
                <w:rFonts w:eastAsia="Times New Roman" w:cs="Times New Roman"/>
                <w:szCs w:val="24"/>
                <w:lang w:eastAsia="cs-CZ"/>
              </w:rPr>
              <w:t>2</w:t>
            </w:r>
          </w:p>
        </w:tc>
        <w:tc>
          <w:tcPr>
            <w:tcW w:w="1304" w:type="dxa"/>
            <w:tcBorders>
              <w:top w:val="single" w:sz="4" w:space="0" w:color="7F7F7F" w:themeColor="text1" w:themeTint="80"/>
            </w:tcBorders>
            <w:shd w:val="clear" w:color="auto" w:fill="auto"/>
          </w:tcPr>
          <w:p w:rsidR="00BE6537" w:rsidRPr="0010486E" w:rsidRDefault="00BE6537" w:rsidP="00910074">
            <w:pPr>
              <w:jc w:val="center"/>
              <w:rPr>
                <w:rFonts w:eastAsia="Times New Roman" w:cs="Times New Roman"/>
                <w:szCs w:val="24"/>
                <w:lang w:eastAsia="cs-CZ"/>
              </w:rPr>
            </w:pPr>
            <w:r w:rsidRPr="0010486E">
              <w:rPr>
                <w:rFonts w:eastAsia="Times New Roman" w:cs="Times New Roman"/>
                <w:szCs w:val="24"/>
                <w:lang w:eastAsia="cs-CZ"/>
              </w:rPr>
              <w:t>3</w:t>
            </w:r>
          </w:p>
        </w:tc>
        <w:tc>
          <w:tcPr>
            <w:tcW w:w="997" w:type="dxa"/>
            <w:tcBorders>
              <w:top w:val="single" w:sz="4" w:space="0" w:color="7F7F7F" w:themeColor="text1" w:themeTint="80"/>
            </w:tcBorders>
            <w:shd w:val="clear" w:color="auto" w:fill="auto"/>
          </w:tcPr>
          <w:p w:rsidR="00BE6537" w:rsidRPr="0010486E" w:rsidRDefault="00BE6537" w:rsidP="00910074">
            <w:pPr>
              <w:jc w:val="center"/>
              <w:rPr>
                <w:rFonts w:eastAsia="Times New Roman" w:cs="Times New Roman"/>
                <w:szCs w:val="24"/>
                <w:lang w:eastAsia="cs-CZ"/>
              </w:rPr>
            </w:pPr>
            <w:r w:rsidRPr="0010486E">
              <w:rPr>
                <w:rFonts w:eastAsia="Times New Roman" w:cs="Times New Roman"/>
                <w:szCs w:val="24"/>
                <w:lang w:eastAsia="cs-CZ"/>
              </w:rPr>
              <w:t>4</w:t>
            </w:r>
          </w:p>
        </w:tc>
      </w:tr>
      <w:tr w:rsidR="00BE6537" w:rsidRPr="00576843" w:rsidTr="00910074">
        <w:trPr>
          <w:trHeight w:val="334"/>
        </w:trPr>
        <w:tc>
          <w:tcPr>
            <w:tcW w:w="4140" w:type="dxa"/>
            <w:shd w:val="clear" w:color="auto" w:fill="auto"/>
          </w:tcPr>
          <w:p w:rsidR="00BE6537" w:rsidRPr="0010486E" w:rsidRDefault="00BE6537" w:rsidP="00910074">
            <w:pPr>
              <w:spacing w:before="60"/>
              <w:rPr>
                <w:rFonts w:eastAsia="Times New Roman" w:cs="Times New Roman"/>
                <w:b/>
                <w:lang w:eastAsia="cs-CZ"/>
              </w:rPr>
            </w:pPr>
            <w:r>
              <w:rPr>
                <w:rFonts w:eastAsia="Times New Roman" w:cs="Times New Roman"/>
                <w:b/>
                <w:lang w:eastAsia="cs-CZ"/>
              </w:rPr>
              <w:t xml:space="preserve">Ostatní příspěvkové a podobné organizace </w:t>
            </w:r>
            <w:r w:rsidRPr="0010486E">
              <w:rPr>
                <w:rFonts w:eastAsia="Times New Roman" w:cs="Times New Roman"/>
                <w:lang w:eastAsia="cs-CZ"/>
              </w:rPr>
              <w:t>v tom:</w:t>
            </w:r>
          </w:p>
        </w:tc>
        <w:tc>
          <w:tcPr>
            <w:tcW w:w="1361" w:type="dxa"/>
            <w:shd w:val="clear" w:color="auto" w:fill="auto"/>
            <w:vAlign w:val="center"/>
          </w:tcPr>
          <w:p w:rsidR="00BE6537" w:rsidRPr="0062582B" w:rsidRDefault="00BE6537" w:rsidP="00910074">
            <w:pPr>
              <w:jc w:val="right"/>
              <w:rPr>
                <w:rFonts w:eastAsia="Times New Roman" w:cs="Times New Roman"/>
                <w:b/>
                <w:lang w:eastAsia="cs-CZ"/>
              </w:rPr>
            </w:pPr>
            <w:r w:rsidRPr="0062582B">
              <w:rPr>
                <w:rFonts w:eastAsia="Times New Roman" w:cs="Times New Roman"/>
                <w:b/>
                <w:lang w:eastAsia="cs-CZ"/>
              </w:rPr>
              <w:t>87 916</w:t>
            </w:r>
          </w:p>
        </w:tc>
        <w:tc>
          <w:tcPr>
            <w:tcW w:w="1260" w:type="dxa"/>
            <w:shd w:val="clear" w:color="auto" w:fill="auto"/>
            <w:vAlign w:val="center"/>
          </w:tcPr>
          <w:p w:rsidR="00BE6537" w:rsidRPr="0062582B" w:rsidRDefault="00BE6537" w:rsidP="00910074">
            <w:pPr>
              <w:jc w:val="right"/>
              <w:rPr>
                <w:rFonts w:eastAsia="Times New Roman" w:cs="Times New Roman"/>
                <w:b/>
                <w:lang w:eastAsia="cs-CZ"/>
              </w:rPr>
            </w:pPr>
            <w:r w:rsidRPr="0062582B">
              <w:rPr>
                <w:rFonts w:eastAsia="Times New Roman" w:cs="Times New Roman"/>
                <w:b/>
                <w:lang w:eastAsia="cs-CZ"/>
              </w:rPr>
              <w:t>77 140</w:t>
            </w:r>
          </w:p>
        </w:tc>
        <w:tc>
          <w:tcPr>
            <w:tcW w:w="1304" w:type="dxa"/>
            <w:shd w:val="clear" w:color="auto" w:fill="auto"/>
            <w:vAlign w:val="center"/>
          </w:tcPr>
          <w:p w:rsidR="00BE6537" w:rsidRPr="009B4937" w:rsidRDefault="00BE6537" w:rsidP="00910074">
            <w:pPr>
              <w:jc w:val="right"/>
              <w:rPr>
                <w:rFonts w:eastAsia="Times New Roman" w:cs="Times New Roman"/>
                <w:b/>
                <w:lang w:eastAsia="cs-CZ"/>
              </w:rPr>
            </w:pPr>
            <w:r>
              <w:rPr>
                <w:rFonts w:eastAsia="Times New Roman" w:cs="Times New Roman"/>
                <w:b/>
                <w:lang w:eastAsia="cs-CZ"/>
              </w:rPr>
              <w:t>105</w:t>
            </w:r>
            <w:r w:rsidRPr="009B4937">
              <w:rPr>
                <w:rFonts w:eastAsia="Times New Roman" w:cs="Times New Roman"/>
                <w:b/>
                <w:lang w:eastAsia="cs-CZ"/>
              </w:rPr>
              <w:t xml:space="preserve"> 000</w:t>
            </w:r>
          </w:p>
        </w:tc>
        <w:tc>
          <w:tcPr>
            <w:tcW w:w="997" w:type="dxa"/>
            <w:shd w:val="clear" w:color="auto" w:fill="auto"/>
            <w:vAlign w:val="center"/>
          </w:tcPr>
          <w:p w:rsidR="00BE6537" w:rsidRPr="009B4937" w:rsidRDefault="00BE6537" w:rsidP="00910074">
            <w:pPr>
              <w:jc w:val="right"/>
              <w:rPr>
                <w:rFonts w:eastAsia="Times New Roman" w:cs="Times New Roman"/>
                <w:b/>
                <w:lang w:eastAsia="cs-CZ"/>
              </w:rPr>
            </w:pPr>
            <w:r>
              <w:rPr>
                <w:rFonts w:eastAsia="Times New Roman" w:cs="Times New Roman"/>
                <w:b/>
                <w:lang w:eastAsia="cs-CZ"/>
              </w:rPr>
              <w:t>136</w:t>
            </w:r>
            <w:r w:rsidRPr="009B4937">
              <w:rPr>
                <w:rFonts w:eastAsia="Times New Roman" w:cs="Times New Roman"/>
                <w:b/>
                <w:lang w:eastAsia="cs-CZ"/>
              </w:rPr>
              <w:t>,</w:t>
            </w:r>
            <w:r>
              <w:rPr>
                <w:rFonts w:eastAsia="Times New Roman" w:cs="Times New Roman"/>
                <w:b/>
                <w:lang w:eastAsia="cs-CZ"/>
              </w:rPr>
              <w:t>12</w:t>
            </w:r>
          </w:p>
        </w:tc>
      </w:tr>
      <w:tr w:rsidR="00BE6537" w:rsidRPr="00576843" w:rsidTr="00910074">
        <w:trPr>
          <w:trHeight w:val="334"/>
        </w:trPr>
        <w:tc>
          <w:tcPr>
            <w:tcW w:w="4140" w:type="dxa"/>
            <w:shd w:val="clear" w:color="auto" w:fill="auto"/>
          </w:tcPr>
          <w:p w:rsidR="00BE6537" w:rsidRPr="0010486E" w:rsidRDefault="00BE6537" w:rsidP="00910074">
            <w:pPr>
              <w:spacing w:before="60"/>
              <w:rPr>
                <w:rFonts w:eastAsia="Times New Roman" w:cs="Times New Roman"/>
                <w:b/>
                <w:lang w:eastAsia="cs-CZ"/>
              </w:rPr>
            </w:pPr>
            <w:r>
              <w:rPr>
                <w:rFonts w:eastAsia="Times New Roman" w:cs="Times New Roman"/>
                <w:b/>
                <w:lang w:eastAsia="cs-CZ"/>
              </w:rPr>
              <w:t xml:space="preserve">Vysoké školy </w:t>
            </w:r>
          </w:p>
        </w:tc>
        <w:tc>
          <w:tcPr>
            <w:tcW w:w="1361" w:type="dxa"/>
            <w:shd w:val="clear" w:color="auto" w:fill="auto"/>
            <w:vAlign w:val="center"/>
          </w:tcPr>
          <w:p w:rsidR="00BE6537" w:rsidRPr="0062582B" w:rsidRDefault="00BE6537" w:rsidP="00910074">
            <w:pPr>
              <w:jc w:val="right"/>
              <w:rPr>
                <w:rFonts w:eastAsia="Times New Roman" w:cs="Times New Roman"/>
                <w:b/>
                <w:lang w:eastAsia="cs-CZ"/>
              </w:rPr>
            </w:pPr>
            <w:r w:rsidRPr="0062582B">
              <w:rPr>
                <w:rFonts w:eastAsia="Times New Roman" w:cs="Times New Roman"/>
                <w:b/>
                <w:lang w:eastAsia="cs-CZ"/>
              </w:rPr>
              <w:t>5 254</w:t>
            </w:r>
          </w:p>
        </w:tc>
        <w:tc>
          <w:tcPr>
            <w:tcW w:w="1260" w:type="dxa"/>
            <w:shd w:val="clear" w:color="auto" w:fill="auto"/>
            <w:vAlign w:val="center"/>
          </w:tcPr>
          <w:p w:rsidR="00BE6537" w:rsidRPr="0062582B" w:rsidRDefault="00BE6537" w:rsidP="00910074">
            <w:pPr>
              <w:jc w:val="right"/>
              <w:rPr>
                <w:rFonts w:eastAsia="Times New Roman" w:cs="Times New Roman"/>
                <w:b/>
                <w:lang w:eastAsia="cs-CZ"/>
              </w:rPr>
            </w:pPr>
            <w:r w:rsidRPr="0062582B">
              <w:rPr>
                <w:rFonts w:eastAsia="Times New Roman" w:cs="Times New Roman"/>
                <w:b/>
                <w:lang w:eastAsia="cs-CZ"/>
              </w:rPr>
              <w:t>0</w:t>
            </w:r>
          </w:p>
        </w:tc>
        <w:tc>
          <w:tcPr>
            <w:tcW w:w="1304" w:type="dxa"/>
            <w:shd w:val="clear" w:color="auto" w:fill="auto"/>
            <w:vAlign w:val="center"/>
          </w:tcPr>
          <w:p w:rsidR="00BE6537" w:rsidRPr="009B4937" w:rsidRDefault="00BE6537" w:rsidP="00910074">
            <w:pPr>
              <w:jc w:val="right"/>
              <w:rPr>
                <w:rFonts w:eastAsia="Times New Roman" w:cs="Times New Roman"/>
                <w:b/>
                <w:lang w:eastAsia="cs-CZ"/>
              </w:rPr>
            </w:pPr>
            <w:r w:rsidRPr="009B4937">
              <w:rPr>
                <w:rFonts w:eastAsia="Times New Roman" w:cs="Times New Roman"/>
                <w:b/>
                <w:lang w:eastAsia="cs-CZ"/>
              </w:rPr>
              <w:t>0</w:t>
            </w:r>
          </w:p>
        </w:tc>
        <w:tc>
          <w:tcPr>
            <w:tcW w:w="997" w:type="dxa"/>
            <w:shd w:val="clear" w:color="auto" w:fill="auto"/>
            <w:vAlign w:val="center"/>
          </w:tcPr>
          <w:p w:rsidR="00BE6537" w:rsidRPr="009B4937" w:rsidRDefault="00BE6537" w:rsidP="00910074">
            <w:pPr>
              <w:jc w:val="right"/>
              <w:rPr>
                <w:rFonts w:eastAsia="Times New Roman" w:cs="Times New Roman"/>
                <w:b/>
                <w:lang w:eastAsia="cs-CZ"/>
              </w:rPr>
            </w:pPr>
            <w:r w:rsidRPr="009B4937">
              <w:rPr>
                <w:rFonts w:eastAsia="Times New Roman" w:cs="Times New Roman"/>
                <w:b/>
                <w:lang w:eastAsia="cs-CZ"/>
              </w:rPr>
              <w:t>x</w:t>
            </w:r>
          </w:p>
        </w:tc>
      </w:tr>
      <w:tr w:rsidR="00BE6537" w:rsidRPr="00576843" w:rsidTr="00910074">
        <w:trPr>
          <w:trHeight w:val="334"/>
        </w:trPr>
        <w:tc>
          <w:tcPr>
            <w:tcW w:w="4140" w:type="dxa"/>
            <w:shd w:val="clear" w:color="auto" w:fill="auto"/>
          </w:tcPr>
          <w:p w:rsidR="00BE6537" w:rsidRPr="0010486E" w:rsidRDefault="00BE6537" w:rsidP="00910074">
            <w:pPr>
              <w:spacing w:before="60"/>
              <w:rPr>
                <w:rFonts w:eastAsia="Times New Roman" w:cs="Times New Roman"/>
                <w:b/>
                <w:lang w:eastAsia="cs-CZ"/>
              </w:rPr>
            </w:pPr>
            <w:r>
              <w:rPr>
                <w:rFonts w:eastAsia="Times New Roman" w:cs="Times New Roman"/>
                <w:b/>
                <w:lang w:eastAsia="cs-CZ"/>
              </w:rPr>
              <w:t>Veřejné výzkumné organizace</w:t>
            </w:r>
            <w:r w:rsidRPr="0010486E">
              <w:rPr>
                <w:rFonts w:eastAsia="Times New Roman" w:cs="Times New Roman"/>
                <w:b/>
                <w:lang w:eastAsia="cs-CZ"/>
              </w:rPr>
              <w:t xml:space="preserve"> </w:t>
            </w:r>
            <w:r w:rsidRPr="0010486E">
              <w:rPr>
                <w:rFonts w:eastAsia="Times New Roman" w:cs="Times New Roman"/>
                <w:lang w:eastAsia="cs-CZ"/>
              </w:rPr>
              <w:t>v tom:</w:t>
            </w:r>
          </w:p>
        </w:tc>
        <w:tc>
          <w:tcPr>
            <w:tcW w:w="1361" w:type="dxa"/>
            <w:shd w:val="clear" w:color="auto" w:fill="auto"/>
            <w:vAlign w:val="center"/>
          </w:tcPr>
          <w:p w:rsidR="00BE6537" w:rsidRPr="0062582B" w:rsidRDefault="00BE6537" w:rsidP="00910074">
            <w:pPr>
              <w:jc w:val="right"/>
              <w:rPr>
                <w:rFonts w:eastAsia="Times New Roman" w:cs="Times New Roman"/>
                <w:b/>
                <w:lang w:eastAsia="cs-CZ"/>
              </w:rPr>
            </w:pPr>
            <w:r w:rsidRPr="0062582B">
              <w:rPr>
                <w:rFonts w:eastAsia="Times New Roman" w:cs="Times New Roman"/>
                <w:b/>
                <w:lang w:eastAsia="cs-CZ"/>
              </w:rPr>
              <w:t>82 662</w:t>
            </w:r>
          </w:p>
        </w:tc>
        <w:tc>
          <w:tcPr>
            <w:tcW w:w="1260" w:type="dxa"/>
            <w:shd w:val="clear" w:color="auto" w:fill="auto"/>
            <w:vAlign w:val="center"/>
          </w:tcPr>
          <w:p w:rsidR="00BE6537" w:rsidRPr="0010486E" w:rsidRDefault="00BE6537" w:rsidP="00910074">
            <w:pPr>
              <w:jc w:val="right"/>
              <w:rPr>
                <w:rFonts w:eastAsia="Times New Roman" w:cs="Times New Roman"/>
                <w:b/>
                <w:lang w:eastAsia="cs-CZ"/>
              </w:rPr>
            </w:pPr>
            <w:r w:rsidRPr="0010486E">
              <w:rPr>
                <w:rFonts w:eastAsia="Times New Roman" w:cs="Times New Roman"/>
                <w:b/>
                <w:lang w:eastAsia="cs-CZ"/>
              </w:rPr>
              <w:t>77 140</w:t>
            </w:r>
          </w:p>
        </w:tc>
        <w:tc>
          <w:tcPr>
            <w:tcW w:w="1304" w:type="dxa"/>
            <w:shd w:val="clear" w:color="auto" w:fill="auto"/>
            <w:vAlign w:val="center"/>
          </w:tcPr>
          <w:p w:rsidR="00BE6537" w:rsidRPr="009B4937" w:rsidRDefault="00BE6537" w:rsidP="00910074">
            <w:pPr>
              <w:jc w:val="right"/>
              <w:rPr>
                <w:rFonts w:eastAsia="Times New Roman" w:cs="Times New Roman"/>
                <w:b/>
                <w:lang w:eastAsia="cs-CZ"/>
              </w:rPr>
            </w:pPr>
            <w:r>
              <w:rPr>
                <w:rFonts w:eastAsia="Times New Roman" w:cs="Times New Roman"/>
                <w:b/>
                <w:lang w:eastAsia="cs-CZ"/>
              </w:rPr>
              <w:t>105</w:t>
            </w:r>
            <w:r w:rsidRPr="009B4937">
              <w:rPr>
                <w:rFonts w:eastAsia="Times New Roman" w:cs="Times New Roman"/>
                <w:b/>
                <w:lang w:eastAsia="cs-CZ"/>
              </w:rPr>
              <w:t xml:space="preserve"> 000</w:t>
            </w:r>
          </w:p>
        </w:tc>
        <w:tc>
          <w:tcPr>
            <w:tcW w:w="997" w:type="dxa"/>
            <w:shd w:val="clear" w:color="auto" w:fill="auto"/>
            <w:vAlign w:val="center"/>
          </w:tcPr>
          <w:p w:rsidR="00BE6537" w:rsidRPr="009B4937" w:rsidRDefault="00BE6537" w:rsidP="00910074">
            <w:pPr>
              <w:jc w:val="right"/>
              <w:rPr>
                <w:rFonts w:eastAsia="Times New Roman" w:cs="Times New Roman"/>
                <w:b/>
                <w:lang w:eastAsia="cs-CZ"/>
              </w:rPr>
            </w:pPr>
            <w:r>
              <w:rPr>
                <w:rFonts w:eastAsia="Times New Roman" w:cs="Times New Roman"/>
                <w:b/>
                <w:lang w:eastAsia="cs-CZ"/>
              </w:rPr>
              <w:t>136</w:t>
            </w:r>
            <w:r w:rsidRPr="009B4937">
              <w:rPr>
                <w:rFonts w:eastAsia="Times New Roman" w:cs="Times New Roman"/>
                <w:b/>
                <w:lang w:eastAsia="cs-CZ"/>
              </w:rPr>
              <w:t>,</w:t>
            </w:r>
            <w:r>
              <w:rPr>
                <w:rFonts w:eastAsia="Times New Roman" w:cs="Times New Roman"/>
                <w:b/>
                <w:lang w:eastAsia="cs-CZ"/>
              </w:rPr>
              <w:t>12</w:t>
            </w:r>
          </w:p>
        </w:tc>
      </w:tr>
      <w:tr w:rsidR="00BE6537" w:rsidRPr="00576843" w:rsidTr="00910074">
        <w:tc>
          <w:tcPr>
            <w:tcW w:w="4140" w:type="dxa"/>
            <w:shd w:val="clear" w:color="auto" w:fill="auto"/>
          </w:tcPr>
          <w:p w:rsidR="00BE6537" w:rsidRPr="0010486E" w:rsidRDefault="00BE6537" w:rsidP="00910074">
            <w:pPr>
              <w:spacing w:before="60"/>
              <w:rPr>
                <w:rFonts w:eastAsia="Times New Roman" w:cs="Times New Roman"/>
                <w:lang w:eastAsia="cs-CZ"/>
              </w:rPr>
            </w:pPr>
            <w:r w:rsidRPr="0010486E">
              <w:rPr>
                <w:rFonts w:eastAsia="Times New Roman" w:cs="Times New Roman"/>
                <w:lang w:eastAsia="cs-CZ"/>
              </w:rPr>
              <w:t xml:space="preserve">Výdaje na výzkum, vývoj a inovace </w:t>
            </w:r>
          </w:p>
          <w:p w:rsidR="00BE6537" w:rsidRPr="0010486E" w:rsidRDefault="00BE6537" w:rsidP="00910074">
            <w:pPr>
              <w:rPr>
                <w:rFonts w:eastAsia="Times New Roman" w:cs="Times New Roman"/>
                <w:lang w:eastAsia="cs-CZ"/>
              </w:rPr>
            </w:pPr>
            <w:r w:rsidRPr="0010486E">
              <w:rPr>
                <w:rFonts w:eastAsia="Times New Roman" w:cs="Times New Roman"/>
                <w:lang w:eastAsia="cs-CZ"/>
              </w:rPr>
              <w:t>v tom:</w:t>
            </w:r>
          </w:p>
        </w:tc>
        <w:tc>
          <w:tcPr>
            <w:tcW w:w="1361" w:type="dxa"/>
            <w:shd w:val="clear" w:color="auto" w:fill="auto"/>
            <w:vAlign w:val="center"/>
          </w:tcPr>
          <w:p w:rsidR="00BE6537" w:rsidRPr="0062582B" w:rsidRDefault="00BE6537" w:rsidP="00910074">
            <w:pPr>
              <w:jc w:val="right"/>
              <w:rPr>
                <w:rFonts w:eastAsia="Times New Roman" w:cs="Times New Roman"/>
                <w:lang w:eastAsia="cs-CZ"/>
              </w:rPr>
            </w:pPr>
            <w:r w:rsidRPr="0062582B">
              <w:rPr>
                <w:rFonts w:eastAsia="Times New Roman" w:cs="Times New Roman"/>
                <w:lang w:eastAsia="cs-CZ"/>
              </w:rPr>
              <w:t>42 750</w:t>
            </w:r>
          </w:p>
        </w:tc>
        <w:tc>
          <w:tcPr>
            <w:tcW w:w="1260" w:type="dxa"/>
            <w:shd w:val="clear" w:color="auto" w:fill="auto"/>
            <w:vAlign w:val="center"/>
          </w:tcPr>
          <w:p w:rsidR="00BE6537" w:rsidRPr="0062582B" w:rsidRDefault="00BE6537" w:rsidP="00910074">
            <w:pPr>
              <w:jc w:val="right"/>
              <w:rPr>
                <w:rFonts w:eastAsia="Times New Roman" w:cs="Times New Roman"/>
                <w:lang w:eastAsia="cs-CZ"/>
              </w:rPr>
            </w:pPr>
            <w:r w:rsidRPr="0062582B">
              <w:rPr>
                <w:rFonts w:eastAsia="Times New Roman" w:cs="Times New Roman"/>
                <w:lang w:eastAsia="cs-CZ"/>
              </w:rPr>
              <w:t>27 140</w:t>
            </w:r>
          </w:p>
        </w:tc>
        <w:tc>
          <w:tcPr>
            <w:tcW w:w="1304" w:type="dxa"/>
            <w:shd w:val="clear" w:color="auto" w:fill="auto"/>
            <w:vAlign w:val="center"/>
          </w:tcPr>
          <w:p w:rsidR="00BE6537" w:rsidRPr="009B4937" w:rsidRDefault="00BE6537" w:rsidP="00910074">
            <w:pPr>
              <w:jc w:val="right"/>
              <w:rPr>
                <w:rFonts w:eastAsia="Times New Roman" w:cs="Times New Roman"/>
                <w:lang w:eastAsia="cs-CZ"/>
              </w:rPr>
            </w:pPr>
            <w:r>
              <w:rPr>
                <w:rFonts w:eastAsia="Times New Roman" w:cs="Times New Roman"/>
                <w:lang w:eastAsia="cs-CZ"/>
              </w:rPr>
              <w:t>55</w:t>
            </w:r>
            <w:r w:rsidRPr="009B4937">
              <w:rPr>
                <w:rFonts w:eastAsia="Times New Roman" w:cs="Times New Roman"/>
                <w:lang w:eastAsia="cs-CZ"/>
              </w:rPr>
              <w:t xml:space="preserve"> 000</w:t>
            </w:r>
          </w:p>
        </w:tc>
        <w:tc>
          <w:tcPr>
            <w:tcW w:w="997" w:type="dxa"/>
            <w:shd w:val="clear" w:color="auto" w:fill="auto"/>
            <w:vAlign w:val="center"/>
          </w:tcPr>
          <w:p w:rsidR="00BE6537" w:rsidRPr="009B4937" w:rsidRDefault="00BE6537" w:rsidP="00910074">
            <w:pPr>
              <w:jc w:val="right"/>
              <w:rPr>
                <w:rFonts w:eastAsia="Times New Roman" w:cs="Times New Roman"/>
                <w:lang w:eastAsia="cs-CZ"/>
              </w:rPr>
            </w:pPr>
            <w:r>
              <w:rPr>
                <w:rFonts w:eastAsia="Times New Roman" w:cs="Times New Roman"/>
                <w:lang w:eastAsia="cs-CZ"/>
              </w:rPr>
              <w:t>202</w:t>
            </w:r>
            <w:r w:rsidRPr="009B4937">
              <w:rPr>
                <w:rFonts w:eastAsia="Times New Roman" w:cs="Times New Roman"/>
                <w:lang w:eastAsia="cs-CZ"/>
              </w:rPr>
              <w:t>,</w:t>
            </w:r>
            <w:r>
              <w:rPr>
                <w:rFonts w:eastAsia="Times New Roman" w:cs="Times New Roman"/>
                <w:lang w:eastAsia="cs-CZ"/>
              </w:rPr>
              <w:t>65</w:t>
            </w:r>
          </w:p>
        </w:tc>
      </w:tr>
      <w:tr w:rsidR="00BE6537" w:rsidRPr="00576843" w:rsidTr="00910074">
        <w:tc>
          <w:tcPr>
            <w:tcW w:w="4140" w:type="dxa"/>
            <w:shd w:val="clear" w:color="auto" w:fill="auto"/>
          </w:tcPr>
          <w:p w:rsidR="00BE6537" w:rsidRPr="00B61C96" w:rsidRDefault="00BE6537" w:rsidP="00910074">
            <w:pPr>
              <w:rPr>
                <w:rFonts w:eastAsia="Times New Roman" w:cs="Times New Roman"/>
                <w:i/>
                <w:lang w:eastAsia="cs-CZ"/>
              </w:rPr>
            </w:pPr>
            <w:r w:rsidRPr="00B61C96">
              <w:rPr>
                <w:rFonts w:eastAsia="Times New Roman" w:cs="Times New Roman"/>
                <w:i/>
                <w:lang w:eastAsia="cs-CZ"/>
              </w:rPr>
              <w:t>institucionální podpora</w:t>
            </w:r>
          </w:p>
        </w:tc>
        <w:tc>
          <w:tcPr>
            <w:tcW w:w="1361" w:type="dxa"/>
            <w:shd w:val="clear" w:color="auto" w:fill="auto"/>
            <w:vAlign w:val="center"/>
          </w:tcPr>
          <w:p w:rsidR="00BE6537" w:rsidRPr="00B61C96" w:rsidRDefault="00BE6537" w:rsidP="00910074">
            <w:pPr>
              <w:jc w:val="right"/>
              <w:rPr>
                <w:rFonts w:eastAsia="Times New Roman" w:cs="Times New Roman"/>
                <w:i/>
                <w:lang w:eastAsia="cs-CZ"/>
              </w:rPr>
            </w:pPr>
            <w:r w:rsidRPr="00B61C96">
              <w:rPr>
                <w:rFonts w:eastAsia="Times New Roman" w:cs="Times New Roman"/>
                <w:i/>
                <w:lang w:eastAsia="cs-CZ"/>
              </w:rPr>
              <w:t>42 750</w:t>
            </w:r>
          </w:p>
        </w:tc>
        <w:tc>
          <w:tcPr>
            <w:tcW w:w="1260" w:type="dxa"/>
            <w:shd w:val="clear" w:color="auto" w:fill="auto"/>
            <w:vAlign w:val="center"/>
          </w:tcPr>
          <w:p w:rsidR="00BE6537" w:rsidRPr="00B61C96" w:rsidRDefault="00BE6537" w:rsidP="00910074">
            <w:pPr>
              <w:jc w:val="right"/>
              <w:rPr>
                <w:rFonts w:eastAsia="Times New Roman" w:cs="Times New Roman"/>
                <w:i/>
                <w:lang w:eastAsia="cs-CZ"/>
              </w:rPr>
            </w:pPr>
            <w:r w:rsidRPr="00B61C96">
              <w:rPr>
                <w:rFonts w:eastAsia="Times New Roman" w:cs="Times New Roman"/>
                <w:i/>
                <w:lang w:eastAsia="cs-CZ"/>
              </w:rPr>
              <w:t>27 140</w:t>
            </w:r>
          </w:p>
        </w:tc>
        <w:tc>
          <w:tcPr>
            <w:tcW w:w="1304" w:type="dxa"/>
            <w:shd w:val="clear" w:color="auto" w:fill="auto"/>
            <w:vAlign w:val="center"/>
          </w:tcPr>
          <w:p w:rsidR="00BE6537" w:rsidRPr="00B61C96" w:rsidRDefault="00BE6537" w:rsidP="00910074">
            <w:pPr>
              <w:jc w:val="right"/>
              <w:rPr>
                <w:rFonts w:eastAsia="Times New Roman" w:cs="Times New Roman"/>
                <w:i/>
                <w:lang w:eastAsia="cs-CZ"/>
              </w:rPr>
            </w:pPr>
            <w:r w:rsidRPr="00B61C96">
              <w:rPr>
                <w:rFonts w:eastAsia="Times New Roman" w:cs="Times New Roman"/>
                <w:i/>
                <w:lang w:eastAsia="cs-CZ"/>
              </w:rPr>
              <w:t>55 000</w:t>
            </w:r>
          </w:p>
        </w:tc>
        <w:tc>
          <w:tcPr>
            <w:tcW w:w="997" w:type="dxa"/>
            <w:shd w:val="clear" w:color="auto" w:fill="auto"/>
            <w:vAlign w:val="center"/>
          </w:tcPr>
          <w:p w:rsidR="00BE6537" w:rsidRPr="00B61C96" w:rsidRDefault="00BE6537" w:rsidP="00910074">
            <w:pPr>
              <w:jc w:val="right"/>
              <w:rPr>
                <w:rFonts w:eastAsia="Times New Roman" w:cs="Times New Roman"/>
                <w:i/>
                <w:lang w:eastAsia="cs-CZ"/>
              </w:rPr>
            </w:pPr>
            <w:r w:rsidRPr="00B61C96">
              <w:rPr>
                <w:rFonts w:eastAsia="Times New Roman" w:cs="Times New Roman"/>
                <w:i/>
                <w:lang w:eastAsia="cs-CZ"/>
              </w:rPr>
              <w:t>202,65</w:t>
            </w:r>
          </w:p>
        </w:tc>
      </w:tr>
      <w:tr w:rsidR="00BE6537" w:rsidRPr="00576843" w:rsidTr="00910074">
        <w:tc>
          <w:tcPr>
            <w:tcW w:w="4140" w:type="dxa"/>
            <w:shd w:val="clear" w:color="auto" w:fill="auto"/>
          </w:tcPr>
          <w:p w:rsidR="00BE6537" w:rsidRPr="00B61C96" w:rsidRDefault="00BE6537" w:rsidP="00910074">
            <w:pPr>
              <w:rPr>
                <w:rFonts w:eastAsia="Times New Roman" w:cs="Times New Roman"/>
                <w:i/>
                <w:lang w:eastAsia="cs-CZ"/>
              </w:rPr>
            </w:pPr>
            <w:r w:rsidRPr="00B61C96">
              <w:rPr>
                <w:rFonts w:eastAsia="Times New Roman" w:cs="Times New Roman"/>
                <w:i/>
                <w:lang w:eastAsia="cs-CZ"/>
              </w:rPr>
              <w:t>účelová podpora</w:t>
            </w:r>
          </w:p>
        </w:tc>
        <w:tc>
          <w:tcPr>
            <w:tcW w:w="1361" w:type="dxa"/>
            <w:shd w:val="clear" w:color="auto" w:fill="auto"/>
            <w:vAlign w:val="center"/>
          </w:tcPr>
          <w:p w:rsidR="00BE6537" w:rsidRPr="00B61C96" w:rsidRDefault="00BE6537" w:rsidP="00910074">
            <w:pPr>
              <w:jc w:val="right"/>
              <w:rPr>
                <w:rFonts w:eastAsia="Times New Roman" w:cs="Times New Roman"/>
                <w:i/>
                <w:lang w:eastAsia="cs-CZ"/>
              </w:rPr>
            </w:pPr>
            <w:r w:rsidRPr="00B61C96">
              <w:rPr>
                <w:rFonts w:eastAsia="Times New Roman" w:cs="Times New Roman"/>
                <w:i/>
                <w:lang w:eastAsia="cs-CZ"/>
              </w:rPr>
              <w:t>0</w:t>
            </w:r>
          </w:p>
        </w:tc>
        <w:tc>
          <w:tcPr>
            <w:tcW w:w="1260" w:type="dxa"/>
            <w:shd w:val="clear" w:color="auto" w:fill="auto"/>
            <w:vAlign w:val="center"/>
          </w:tcPr>
          <w:p w:rsidR="00BE6537" w:rsidRPr="00B61C96" w:rsidRDefault="00BE6537" w:rsidP="00910074">
            <w:pPr>
              <w:jc w:val="right"/>
              <w:rPr>
                <w:rFonts w:eastAsia="Times New Roman" w:cs="Times New Roman"/>
                <w:i/>
                <w:lang w:eastAsia="cs-CZ"/>
              </w:rPr>
            </w:pPr>
            <w:r w:rsidRPr="00B61C96">
              <w:rPr>
                <w:rFonts w:eastAsia="Times New Roman" w:cs="Times New Roman"/>
                <w:i/>
                <w:lang w:eastAsia="cs-CZ"/>
              </w:rPr>
              <w:t>0</w:t>
            </w:r>
          </w:p>
        </w:tc>
        <w:tc>
          <w:tcPr>
            <w:tcW w:w="1304" w:type="dxa"/>
            <w:shd w:val="clear" w:color="auto" w:fill="auto"/>
            <w:vAlign w:val="center"/>
          </w:tcPr>
          <w:p w:rsidR="00BE6537" w:rsidRPr="00B61C96" w:rsidRDefault="00BE6537" w:rsidP="00910074">
            <w:pPr>
              <w:jc w:val="right"/>
              <w:rPr>
                <w:rFonts w:eastAsia="Times New Roman" w:cs="Times New Roman"/>
                <w:i/>
                <w:lang w:eastAsia="cs-CZ"/>
              </w:rPr>
            </w:pPr>
            <w:r w:rsidRPr="00B61C96">
              <w:rPr>
                <w:rFonts w:eastAsia="Times New Roman" w:cs="Times New Roman"/>
                <w:i/>
                <w:lang w:eastAsia="cs-CZ"/>
              </w:rPr>
              <w:t>0</w:t>
            </w:r>
          </w:p>
        </w:tc>
        <w:tc>
          <w:tcPr>
            <w:tcW w:w="997" w:type="dxa"/>
            <w:shd w:val="clear" w:color="auto" w:fill="auto"/>
            <w:vAlign w:val="center"/>
          </w:tcPr>
          <w:p w:rsidR="00BE6537" w:rsidRPr="00B61C96" w:rsidRDefault="00BE6537" w:rsidP="00910074">
            <w:pPr>
              <w:jc w:val="right"/>
              <w:rPr>
                <w:rFonts w:eastAsia="Times New Roman" w:cs="Times New Roman"/>
                <w:i/>
                <w:lang w:eastAsia="cs-CZ"/>
              </w:rPr>
            </w:pPr>
            <w:r w:rsidRPr="00B61C96">
              <w:rPr>
                <w:rFonts w:eastAsia="Times New Roman" w:cs="Times New Roman"/>
                <w:i/>
                <w:lang w:eastAsia="cs-CZ"/>
              </w:rPr>
              <w:t>x</w:t>
            </w:r>
          </w:p>
        </w:tc>
      </w:tr>
      <w:tr w:rsidR="00BE6537" w:rsidRPr="00576843" w:rsidTr="00910074">
        <w:tc>
          <w:tcPr>
            <w:tcW w:w="4140" w:type="dxa"/>
            <w:shd w:val="clear" w:color="auto" w:fill="auto"/>
          </w:tcPr>
          <w:p w:rsidR="00BE6537" w:rsidRPr="0010486E" w:rsidRDefault="00BE6537" w:rsidP="00910074">
            <w:pPr>
              <w:rPr>
                <w:rFonts w:eastAsia="Times New Roman" w:cs="Times New Roman"/>
                <w:lang w:eastAsia="cs-CZ"/>
              </w:rPr>
            </w:pPr>
            <w:r w:rsidRPr="0010486E">
              <w:rPr>
                <w:rFonts w:eastAsia="Times New Roman" w:cs="Times New Roman"/>
                <w:lang w:eastAsia="cs-CZ"/>
              </w:rPr>
              <w:t>Účelová neinvestiční dotace na další činnost</w:t>
            </w:r>
          </w:p>
        </w:tc>
        <w:tc>
          <w:tcPr>
            <w:tcW w:w="1361" w:type="dxa"/>
            <w:shd w:val="clear" w:color="auto" w:fill="auto"/>
            <w:vAlign w:val="center"/>
          </w:tcPr>
          <w:p w:rsidR="00BE6537" w:rsidRPr="0062582B" w:rsidRDefault="00BE6537" w:rsidP="00910074">
            <w:pPr>
              <w:jc w:val="right"/>
              <w:rPr>
                <w:rFonts w:eastAsia="Times New Roman" w:cs="Times New Roman"/>
                <w:lang w:eastAsia="cs-CZ"/>
              </w:rPr>
            </w:pPr>
            <w:r w:rsidRPr="0062582B">
              <w:rPr>
                <w:rFonts w:eastAsia="Times New Roman" w:cs="Times New Roman"/>
                <w:lang w:eastAsia="cs-CZ"/>
              </w:rPr>
              <w:t>39 912</w:t>
            </w:r>
          </w:p>
        </w:tc>
        <w:tc>
          <w:tcPr>
            <w:tcW w:w="1260" w:type="dxa"/>
            <w:shd w:val="clear" w:color="auto" w:fill="auto"/>
            <w:vAlign w:val="center"/>
          </w:tcPr>
          <w:p w:rsidR="00BE6537" w:rsidRPr="0062582B" w:rsidRDefault="00BE6537" w:rsidP="00910074">
            <w:pPr>
              <w:jc w:val="right"/>
              <w:rPr>
                <w:rFonts w:eastAsia="Times New Roman" w:cs="Times New Roman"/>
                <w:lang w:eastAsia="cs-CZ"/>
              </w:rPr>
            </w:pPr>
            <w:r w:rsidRPr="0062582B">
              <w:rPr>
                <w:rFonts w:eastAsia="Times New Roman" w:cs="Times New Roman"/>
                <w:lang w:eastAsia="cs-CZ"/>
              </w:rPr>
              <w:t>50 000</w:t>
            </w:r>
          </w:p>
        </w:tc>
        <w:tc>
          <w:tcPr>
            <w:tcW w:w="1304" w:type="dxa"/>
            <w:shd w:val="clear" w:color="auto" w:fill="auto"/>
            <w:vAlign w:val="center"/>
          </w:tcPr>
          <w:p w:rsidR="00BE6537" w:rsidRPr="009B4937" w:rsidRDefault="00BE6537" w:rsidP="00910074">
            <w:pPr>
              <w:jc w:val="right"/>
              <w:rPr>
                <w:rFonts w:eastAsia="Times New Roman" w:cs="Times New Roman"/>
                <w:lang w:eastAsia="cs-CZ"/>
              </w:rPr>
            </w:pPr>
            <w:r w:rsidRPr="009B4937">
              <w:rPr>
                <w:rFonts w:eastAsia="Times New Roman" w:cs="Times New Roman"/>
                <w:lang w:eastAsia="cs-CZ"/>
              </w:rPr>
              <w:t>50 000</w:t>
            </w:r>
          </w:p>
        </w:tc>
        <w:tc>
          <w:tcPr>
            <w:tcW w:w="997" w:type="dxa"/>
            <w:shd w:val="clear" w:color="auto" w:fill="auto"/>
            <w:vAlign w:val="center"/>
          </w:tcPr>
          <w:p w:rsidR="00BE6537" w:rsidRPr="009B4937" w:rsidRDefault="00BE6537" w:rsidP="00910074">
            <w:pPr>
              <w:jc w:val="right"/>
              <w:rPr>
                <w:rFonts w:eastAsia="Times New Roman" w:cs="Times New Roman"/>
                <w:lang w:eastAsia="cs-CZ"/>
              </w:rPr>
            </w:pPr>
            <w:r w:rsidRPr="009B4937">
              <w:rPr>
                <w:rFonts w:eastAsia="Times New Roman" w:cs="Times New Roman"/>
                <w:lang w:eastAsia="cs-CZ"/>
              </w:rPr>
              <w:t>100,00</w:t>
            </w:r>
          </w:p>
        </w:tc>
      </w:tr>
    </w:tbl>
    <w:p w:rsidR="00BE6537" w:rsidRPr="00CF3B22" w:rsidRDefault="00BE6537" w:rsidP="00BE6537">
      <w:pPr>
        <w:pStyle w:val="Styl1"/>
      </w:pPr>
      <w:r w:rsidRPr="00CF3B22">
        <w:t xml:space="preserve">Na rok 2021 je pro veřejnou výzkumnou instituci Centrum dopravního výzkumu navržen </w:t>
      </w:r>
      <w:r>
        <w:t>neinvestiční transfer ve výši 55</w:t>
      </w:r>
      <w:r w:rsidRPr="00CF3B22">
        <w:t xml:space="preserve"> 000 tis. Kč na realizaci projektů v oblasti výzkumu a vývoje </w:t>
      </w:r>
      <w:r w:rsidRPr="00CF3B22">
        <w:br/>
        <w:t xml:space="preserve">– institucionální podpora. Institucionální neinvestiční prostředky jsou určeny na podporu rozvoje nových vědeckovýzkumných činností nebo jejich rozšíření. Dále budou prostředky použity zejména na spolufinancování VaVaI projektů, na rozvojové aktivity a sběr dat. </w:t>
      </w:r>
    </w:p>
    <w:p w:rsidR="00BE6537" w:rsidRPr="0024065C" w:rsidRDefault="00BE6537" w:rsidP="00BE6537">
      <w:pPr>
        <w:pStyle w:val="Styl1"/>
      </w:pPr>
      <w:r w:rsidRPr="0024065C">
        <w:t>V porovnání s rokem 2020 došlo k navýšení neinvestičních prostředků pro Centrum dopravního výzkumu v rámci výzkumu a vývoje o 2</w:t>
      </w:r>
      <w:r>
        <w:t>7</w:t>
      </w:r>
      <w:r w:rsidRPr="0024065C">
        <w:t xml:space="preserve"> 860 tis. Kč. </w:t>
      </w:r>
    </w:p>
    <w:p w:rsidR="005779DE" w:rsidRDefault="00BE6537" w:rsidP="00BE6537">
      <w:pPr>
        <w:pStyle w:val="Styl1"/>
        <w:rPr>
          <w:color w:val="FF0000"/>
        </w:rPr>
      </w:pPr>
      <w:r w:rsidRPr="0024065C">
        <w:t xml:space="preserve">Pro rok 2021 jsou v rámci neinvestičních transferů veřejným výzkumným institucím navrženy pro Centrum dopravního výzkumu také výdaje na další činnost podle § 22 odst. 2 písm. e) zákona 341/2005 Sb., o veřejných výzkumných institucích, ve znění pozdějších předpisů. Prostředky budou formou neinvestiční dotace použity na podporu rozvoje činnosti CDV, a to ve výši 50 000 tis. Kč. Prostředky nespadají do oblasti průřezových ukazatelů </w:t>
      </w:r>
      <w:r w:rsidRPr="0024065C">
        <w:br/>
        <w:t>na výzkum, vývoj a inovace (VaVaI). Finanční prostředky jsou navrženy na stejné úrovni jako v roce 2020.</w:t>
      </w:r>
      <w:r w:rsidR="005779DE" w:rsidRPr="00E24034">
        <w:rPr>
          <w:color w:val="FF0000"/>
        </w:rPr>
        <w:t xml:space="preserve"> </w:t>
      </w:r>
    </w:p>
    <w:p w:rsidR="00A34DBA" w:rsidRDefault="00A34DBA" w:rsidP="00BE6537">
      <w:pPr>
        <w:pStyle w:val="Styl1"/>
        <w:rPr>
          <w:color w:val="FF0000"/>
        </w:rPr>
      </w:pPr>
    </w:p>
    <w:p w:rsidR="00A34DBA" w:rsidRDefault="00A34DBA" w:rsidP="00BE6537">
      <w:pPr>
        <w:pStyle w:val="Styl1"/>
        <w:rPr>
          <w:color w:val="FF0000"/>
        </w:rPr>
      </w:pPr>
    </w:p>
    <w:p w:rsidR="00886FD2" w:rsidRPr="00910074" w:rsidRDefault="00886FD2" w:rsidP="00886FD2">
      <w:pPr>
        <w:pStyle w:val="Nadpis3"/>
        <w:spacing w:before="360" w:after="240"/>
      </w:pPr>
      <w:bookmarkStart w:id="60" w:name="_Toc53750572"/>
      <w:r w:rsidRPr="00910074">
        <w:lastRenderedPageBreak/>
        <w:t>Neinvestiční transfery podnikatelským subjektům</w:t>
      </w:r>
      <w:bookmarkEnd w:id="60"/>
      <w:r w:rsidRPr="00910074">
        <w:t xml:space="preserve"> </w:t>
      </w:r>
    </w:p>
    <w:p w:rsidR="00F23ED8" w:rsidRDefault="00F23ED8" w:rsidP="00F23ED8">
      <w:pPr>
        <w:pStyle w:val="Titulek"/>
        <w:keepNext/>
        <w:rPr>
          <w:noProof/>
        </w:rPr>
      </w:pPr>
      <w:bookmarkStart w:id="61" w:name="_Toc489274102"/>
      <w:bookmarkStart w:id="62" w:name="_Toc368665064"/>
      <w:bookmarkEnd w:id="58"/>
      <w:r w:rsidRPr="00820D43">
        <w:t xml:space="preserve">Tabulka č. </w:t>
      </w:r>
      <w:fldSimple w:instr=" SEQ Tabulka \* ARABIC ">
        <w:r w:rsidR="006076E7">
          <w:rPr>
            <w:noProof/>
          </w:rPr>
          <w:t>20</w:t>
        </w:r>
      </w:fldSimple>
      <w:r w:rsidRPr="00820D43">
        <w:rPr>
          <w:noProof/>
        </w:rPr>
        <w:t xml:space="preserve"> Neinvestiční transfery podnikatelským subjektům (v tis. Kč)</w:t>
      </w:r>
    </w:p>
    <w:tbl>
      <w:tblPr>
        <w:tblStyle w:val="Svtltabulkasmkou1zvraznn5"/>
        <w:tblW w:w="500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2"/>
        <w:gridCol w:w="1357"/>
        <w:gridCol w:w="1303"/>
        <w:gridCol w:w="1185"/>
        <w:gridCol w:w="1135"/>
      </w:tblGrid>
      <w:tr w:rsidR="00820D43" w:rsidRPr="00576843" w:rsidTr="00903C73">
        <w:tc>
          <w:tcPr>
            <w:tcW w:w="225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20D43" w:rsidRPr="007F68A0" w:rsidRDefault="00820D43" w:rsidP="00903C73">
            <w:pPr>
              <w:jc w:val="center"/>
              <w:rPr>
                <w:rFonts w:eastAsia="Times New Roman" w:cs="Times New Roman"/>
                <w:b/>
                <w:szCs w:val="24"/>
                <w:lang w:eastAsia="cs-CZ"/>
              </w:rPr>
            </w:pPr>
            <w:r w:rsidRPr="007F68A0">
              <w:rPr>
                <w:rFonts w:eastAsia="Times New Roman" w:cs="Times New Roman"/>
                <w:b/>
                <w:szCs w:val="24"/>
                <w:lang w:eastAsia="cs-CZ"/>
              </w:rPr>
              <w:t>Ukazatel</w:t>
            </w:r>
          </w:p>
        </w:tc>
        <w:tc>
          <w:tcPr>
            <w:tcW w:w="74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20D43" w:rsidRPr="009D2914" w:rsidRDefault="00820D43" w:rsidP="00903C73">
            <w:pPr>
              <w:jc w:val="center"/>
              <w:rPr>
                <w:rFonts w:eastAsia="Times New Roman" w:cs="Times New Roman"/>
                <w:b/>
                <w:szCs w:val="24"/>
                <w:lang w:eastAsia="cs-CZ"/>
              </w:rPr>
            </w:pPr>
            <w:r w:rsidRPr="009D2914">
              <w:rPr>
                <w:rFonts w:eastAsia="Times New Roman" w:cs="Times New Roman"/>
                <w:b/>
                <w:szCs w:val="24"/>
                <w:lang w:eastAsia="cs-CZ"/>
              </w:rPr>
              <w:t>Skutečnost</w:t>
            </w:r>
          </w:p>
          <w:p w:rsidR="00820D43" w:rsidRPr="009D2914" w:rsidRDefault="00820D43" w:rsidP="00903C73">
            <w:pPr>
              <w:jc w:val="center"/>
              <w:rPr>
                <w:rFonts w:eastAsia="Times New Roman" w:cs="Times New Roman"/>
                <w:b/>
                <w:szCs w:val="24"/>
                <w:lang w:eastAsia="cs-CZ"/>
              </w:rPr>
            </w:pPr>
            <w:r>
              <w:rPr>
                <w:rFonts w:eastAsia="Times New Roman" w:cs="Times New Roman"/>
                <w:b/>
                <w:szCs w:val="24"/>
                <w:lang w:eastAsia="cs-CZ"/>
              </w:rPr>
              <w:t>2019</w:t>
            </w:r>
          </w:p>
        </w:tc>
        <w:tc>
          <w:tcPr>
            <w:tcW w:w="7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20D43" w:rsidRPr="00675AE3" w:rsidRDefault="00820D43" w:rsidP="00903C73">
            <w:pPr>
              <w:jc w:val="center"/>
              <w:rPr>
                <w:rFonts w:eastAsia="Times New Roman" w:cs="Times New Roman"/>
                <w:b/>
                <w:szCs w:val="24"/>
                <w:lang w:eastAsia="cs-CZ"/>
              </w:rPr>
            </w:pPr>
            <w:r w:rsidRPr="00675AE3">
              <w:rPr>
                <w:rFonts w:eastAsia="Times New Roman" w:cs="Times New Roman"/>
                <w:b/>
                <w:szCs w:val="24"/>
                <w:lang w:eastAsia="cs-CZ"/>
              </w:rPr>
              <w:t>Schválený</w:t>
            </w:r>
          </w:p>
          <w:p w:rsidR="00820D43" w:rsidRPr="00675AE3" w:rsidRDefault="00820D43" w:rsidP="00903C73">
            <w:pPr>
              <w:jc w:val="center"/>
              <w:rPr>
                <w:rFonts w:eastAsia="Times New Roman" w:cs="Times New Roman"/>
                <w:b/>
                <w:szCs w:val="24"/>
                <w:lang w:eastAsia="cs-CZ"/>
              </w:rPr>
            </w:pPr>
            <w:r w:rsidRPr="00675AE3">
              <w:rPr>
                <w:rFonts w:eastAsia="Times New Roman" w:cs="Times New Roman"/>
                <w:b/>
                <w:szCs w:val="24"/>
                <w:lang w:eastAsia="cs-CZ"/>
              </w:rPr>
              <w:t>rozpočet</w:t>
            </w:r>
          </w:p>
          <w:p w:rsidR="00820D43" w:rsidRPr="00675AE3" w:rsidRDefault="00820D43" w:rsidP="00903C73">
            <w:pPr>
              <w:jc w:val="center"/>
              <w:rPr>
                <w:rFonts w:eastAsia="Times New Roman" w:cs="Times New Roman"/>
                <w:b/>
                <w:szCs w:val="24"/>
                <w:lang w:eastAsia="cs-CZ"/>
              </w:rPr>
            </w:pPr>
            <w:r w:rsidRPr="00675AE3">
              <w:rPr>
                <w:rFonts w:eastAsia="Times New Roman" w:cs="Times New Roman"/>
                <w:b/>
                <w:szCs w:val="24"/>
                <w:lang w:eastAsia="cs-CZ"/>
              </w:rPr>
              <w:t>2020</w:t>
            </w:r>
          </w:p>
        </w:tc>
        <w:tc>
          <w:tcPr>
            <w:tcW w:w="65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20D43" w:rsidRPr="00675AE3" w:rsidRDefault="00820D43" w:rsidP="00903C73">
            <w:pPr>
              <w:jc w:val="center"/>
              <w:rPr>
                <w:rFonts w:eastAsia="Times New Roman" w:cs="Times New Roman"/>
                <w:b/>
                <w:szCs w:val="24"/>
                <w:lang w:eastAsia="cs-CZ"/>
              </w:rPr>
            </w:pPr>
            <w:r w:rsidRPr="00675AE3">
              <w:rPr>
                <w:rFonts w:eastAsia="Times New Roman" w:cs="Times New Roman"/>
                <w:b/>
                <w:szCs w:val="24"/>
                <w:lang w:eastAsia="cs-CZ"/>
              </w:rPr>
              <w:t>Návrh</w:t>
            </w:r>
          </w:p>
          <w:p w:rsidR="00820D43" w:rsidRPr="00675AE3" w:rsidRDefault="00820D43" w:rsidP="00903C73">
            <w:pPr>
              <w:jc w:val="center"/>
              <w:rPr>
                <w:rFonts w:eastAsia="Times New Roman" w:cs="Times New Roman"/>
                <w:b/>
                <w:szCs w:val="24"/>
                <w:lang w:eastAsia="cs-CZ"/>
              </w:rPr>
            </w:pPr>
            <w:r w:rsidRPr="00675AE3">
              <w:rPr>
                <w:rFonts w:eastAsia="Times New Roman" w:cs="Times New Roman"/>
                <w:b/>
                <w:szCs w:val="24"/>
                <w:lang w:eastAsia="cs-CZ"/>
              </w:rPr>
              <w:t>rozpočtu</w:t>
            </w:r>
          </w:p>
          <w:p w:rsidR="00820D43" w:rsidRPr="00675AE3" w:rsidRDefault="00820D43" w:rsidP="00903C73">
            <w:pPr>
              <w:jc w:val="center"/>
              <w:rPr>
                <w:rFonts w:eastAsia="Times New Roman" w:cs="Times New Roman"/>
                <w:b/>
                <w:szCs w:val="24"/>
                <w:lang w:eastAsia="cs-CZ"/>
              </w:rPr>
            </w:pPr>
            <w:r w:rsidRPr="00675AE3">
              <w:rPr>
                <w:rFonts w:eastAsia="Times New Roman" w:cs="Times New Roman"/>
                <w:b/>
                <w:szCs w:val="24"/>
                <w:lang w:eastAsia="cs-CZ"/>
              </w:rPr>
              <w:t>2021</w:t>
            </w:r>
          </w:p>
        </w:tc>
        <w:tc>
          <w:tcPr>
            <w:tcW w:w="62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20D43" w:rsidRPr="00824A0C" w:rsidRDefault="00820D43" w:rsidP="00903C73">
            <w:pPr>
              <w:jc w:val="center"/>
              <w:rPr>
                <w:rFonts w:eastAsia="Times New Roman" w:cs="Times New Roman"/>
                <w:b/>
                <w:szCs w:val="24"/>
                <w:lang w:eastAsia="cs-CZ"/>
              </w:rPr>
            </w:pPr>
            <w:r w:rsidRPr="00824A0C">
              <w:rPr>
                <w:rFonts w:eastAsia="Times New Roman" w:cs="Times New Roman"/>
                <w:b/>
                <w:szCs w:val="24"/>
                <w:lang w:eastAsia="cs-CZ"/>
              </w:rPr>
              <w:t>Index</w:t>
            </w:r>
          </w:p>
          <w:p w:rsidR="00820D43" w:rsidRPr="00576843" w:rsidRDefault="00820D43" w:rsidP="00903C73">
            <w:pPr>
              <w:jc w:val="center"/>
              <w:rPr>
                <w:rFonts w:eastAsia="Times New Roman" w:cs="Times New Roman"/>
                <w:b/>
                <w:color w:val="FF0000"/>
                <w:szCs w:val="24"/>
                <w:lang w:eastAsia="cs-CZ"/>
              </w:rPr>
            </w:pPr>
            <w:r>
              <w:rPr>
                <w:rFonts w:eastAsia="Times New Roman" w:cs="Times New Roman"/>
                <w:b/>
                <w:szCs w:val="24"/>
                <w:lang w:eastAsia="cs-CZ"/>
              </w:rPr>
              <w:t>2021/</w:t>
            </w:r>
            <w:r>
              <w:rPr>
                <w:rFonts w:eastAsia="Times New Roman" w:cs="Times New Roman"/>
                <w:b/>
                <w:szCs w:val="24"/>
                <w:lang w:eastAsia="cs-CZ"/>
              </w:rPr>
              <w:br/>
              <w:t>2020</w:t>
            </w:r>
            <w:r w:rsidRPr="00824A0C">
              <w:rPr>
                <w:rFonts w:eastAsia="Times New Roman" w:cs="Times New Roman"/>
                <w:b/>
                <w:szCs w:val="24"/>
                <w:lang w:eastAsia="cs-CZ"/>
              </w:rPr>
              <w:t xml:space="preserve"> </w:t>
            </w:r>
            <w:r w:rsidRPr="00824A0C">
              <w:rPr>
                <w:rFonts w:eastAsia="Times New Roman" w:cs="Times New Roman"/>
                <w:b/>
                <w:szCs w:val="24"/>
                <w:lang w:eastAsia="cs-CZ"/>
              </w:rPr>
              <w:br/>
              <w:t>(v %)</w:t>
            </w:r>
          </w:p>
        </w:tc>
      </w:tr>
      <w:tr w:rsidR="00820D43" w:rsidRPr="00576843" w:rsidTr="00903C73">
        <w:tc>
          <w:tcPr>
            <w:tcW w:w="2252" w:type="pct"/>
            <w:tcBorders>
              <w:top w:val="single" w:sz="4" w:space="0" w:color="7F7F7F" w:themeColor="text1" w:themeTint="80"/>
              <w:bottom w:val="single" w:sz="8" w:space="0" w:color="7F7F7F" w:themeColor="text1" w:themeTint="80"/>
            </w:tcBorders>
            <w:shd w:val="clear" w:color="auto" w:fill="auto"/>
          </w:tcPr>
          <w:p w:rsidR="00820D43" w:rsidRPr="007F68A0" w:rsidRDefault="00820D43" w:rsidP="00903C73">
            <w:pPr>
              <w:jc w:val="center"/>
              <w:rPr>
                <w:rFonts w:eastAsia="Times New Roman" w:cs="Times New Roman"/>
                <w:szCs w:val="24"/>
                <w:lang w:eastAsia="cs-CZ"/>
              </w:rPr>
            </w:pPr>
            <w:r w:rsidRPr="007F68A0">
              <w:rPr>
                <w:rFonts w:eastAsia="Times New Roman" w:cs="Times New Roman"/>
                <w:szCs w:val="24"/>
                <w:lang w:eastAsia="cs-CZ"/>
              </w:rPr>
              <w:t>a</w:t>
            </w:r>
          </w:p>
        </w:tc>
        <w:tc>
          <w:tcPr>
            <w:tcW w:w="749" w:type="pct"/>
            <w:tcBorders>
              <w:top w:val="single" w:sz="4" w:space="0" w:color="7F7F7F" w:themeColor="text1" w:themeTint="80"/>
              <w:bottom w:val="single" w:sz="8" w:space="0" w:color="7F7F7F" w:themeColor="text1" w:themeTint="80"/>
            </w:tcBorders>
            <w:shd w:val="clear" w:color="auto" w:fill="auto"/>
          </w:tcPr>
          <w:p w:rsidR="00820D43" w:rsidRPr="009D2914" w:rsidRDefault="00820D43" w:rsidP="00903C73">
            <w:pPr>
              <w:jc w:val="center"/>
              <w:rPr>
                <w:rFonts w:eastAsia="Times New Roman" w:cs="Times New Roman"/>
                <w:szCs w:val="24"/>
                <w:lang w:eastAsia="cs-CZ"/>
              </w:rPr>
            </w:pPr>
            <w:r w:rsidRPr="009D2914">
              <w:rPr>
                <w:rFonts w:eastAsia="Times New Roman" w:cs="Times New Roman"/>
                <w:szCs w:val="24"/>
                <w:lang w:eastAsia="cs-CZ"/>
              </w:rPr>
              <w:t>1</w:t>
            </w:r>
          </w:p>
        </w:tc>
        <w:tc>
          <w:tcPr>
            <w:tcW w:w="719" w:type="pct"/>
            <w:tcBorders>
              <w:top w:val="single" w:sz="4" w:space="0" w:color="7F7F7F" w:themeColor="text1" w:themeTint="80"/>
              <w:bottom w:val="single" w:sz="8" w:space="0" w:color="7F7F7F" w:themeColor="text1" w:themeTint="80"/>
            </w:tcBorders>
            <w:shd w:val="clear" w:color="auto" w:fill="auto"/>
          </w:tcPr>
          <w:p w:rsidR="00820D43" w:rsidRPr="00576843" w:rsidRDefault="00820D43" w:rsidP="00903C73">
            <w:pPr>
              <w:jc w:val="center"/>
              <w:rPr>
                <w:rFonts w:eastAsia="Times New Roman" w:cs="Times New Roman"/>
                <w:color w:val="FF0000"/>
                <w:szCs w:val="24"/>
                <w:lang w:eastAsia="cs-CZ"/>
              </w:rPr>
            </w:pPr>
            <w:r w:rsidRPr="009D2914">
              <w:rPr>
                <w:rFonts w:eastAsia="Times New Roman" w:cs="Times New Roman"/>
                <w:szCs w:val="24"/>
                <w:lang w:eastAsia="cs-CZ"/>
              </w:rPr>
              <w:t>2</w:t>
            </w:r>
          </w:p>
        </w:tc>
        <w:tc>
          <w:tcPr>
            <w:tcW w:w="654" w:type="pct"/>
            <w:tcBorders>
              <w:top w:val="single" w:sz="4" w:space="0" w:color="7F7F7F" w:themeColor="text1" w:themeTint="80"/>
              <w:bottom w:val="single" w:sz="8" w:space="0" w:color="7F7F7F" w:themeColor="text1" w:themeTint="80"/>
            </w:tcBorders>
            <w:shd w:val="clear" w:color="auto" w:fill="auto"/>
          </w:tcPr>
          <w:p w:rsidR="00820D43" w:rsidRPr="00231EA6" w:rsidRDefault="00820D43" w:rsidP="00903C73">
            <w:pPr>
              <w:jc w:val="center"/>
              <w:rPr>
                <w:rFonts w:eastAsia="Times New Roman" w:cs="Times New Roman"/>
                <w:szCs w:val="24"/>
                <w:lang w:eastAsia="cs-CZ"/>
              </w:rPr>
            </w:pPr>
            <w:r w:rsidRPr="00231EA6">
              <w:rPr>
                <w:rFonts w:eastAsia="Times New Roman" w:cs="Times New Roman"/>
                <w:szCs w:val="24"/>
                <w:lang w:eastAsia="cs-CZ"/>
              </w:rPr>
              <w:t>3</w:t>
            </w:r>
          </w:p>
        </w:tc>
        <w:tc>
          <w:tcPr>
            <w:tcW w:w="626" w:type="pct"/>
            <w:tcBorders>
              <w:top w:val="single" w:sz="4" w:space="0" w:color="7F7F7F" w:themeColor="text1" w:themeTint="80"/>
              <w:bottom w:val="single" w:sz="8" w:space="0" w:color="7F7F7F" w:themeColor="text1" w:themeTint="80"/>
            </w:tcBorders>
            <w:shd w:val="clear" w:color="auto" w:fill="auto"/>
          </w:tcPr>
          <w:p w:rsidR="00820D43" w:rsidRPr="00231EA6" w:rsidRDefault="00820D43" w:rsidP="00903C73">
            <w:pPr>
              <w:jc w:val="center"/>
              <w:rPr>
                <w:rFonts w:eastAsia="Times New Roman" w:cs="Times New Roman"/>
                <w:szCs w:val="24"/>
                <w:lang w:eastAsia="cs-CZ"/>
              </w:rPr>
            </w:pPr>
            <w:r w:rsidRPr="00231EA6">
              <w:rPr>
                <w:rFonts w:eastAsia="Times New Roman" w:cs="Times New Roman"/>
                <w:szCs w:val="24"/>
                <w:lang w:eastAsia="cs-CZ"/>
              </w:rPr>
              <w:t>4</w:t>
            </w:r>
          </w:p>
        </w:tc>
      </w:tr>
      <w:tr w:rsidR="00820D43" w:rsidRPr="00576843" w:rsidTr="00903C73">
        <w:trPr>
          <w:trHeight w:val="447"/>
        </w:trPr>
        <w:tc>
          <w:tcPr>
            <w:tcW w:w="2252" w:type="pct"/>
            <w:tcBorders>
              <w:top w:val="single" w:sz="8" w:space="0" w:color="7F7F7F" w:themeColor="text1" w:themeTint="80"/>
              <w:bottom w:val="single" w:sz="8" w:space="0" w:color="7F7F7F" w:themeColor="text1" w:themeTint="80"/>
            </w:tcBorders>
            <w:shd w:val="clear" w:color="auto" w:fill="auto"/>
            <w:vAlign w:val="center"/>
          </w:tcPr>
          <w:p w:rsidR="00820D43" w:rsidRPr="001F2553" w:rsidRDefault="00820D43" w:rsidP="00903C73">
            <w:pPr>
              <w:jc w:val="left"/>
              <w:rPr>
                <w:rFonts w:eastAsia="Times New Roman" w:cs="Times New Roman"/>
                <w:b/>
                <w:bCs/>
                <w:iCs/>
                <w:lang w:eastAsia="cs-CZ"/>
              </w:rPr>
            </w:pPr>
            <w:r w:rsidRPr="001F2553">
              <w:rPr>
                <w:rFonts w:eastAsia="Times New Roman" w:cs="Times New Roman"/>
                <w:b/>
                <w:bCs/>
                <w:iCs/>
                <w:lang w:eastAsia="cs-CZ"/>
              </w:rPr>
              <w:t xml:space="preserve">Neinvestiční transfery podnikatelským subj. celkem </w:t>
            </w:r>
            <w:r w:rsidRPr="001F2553">
              <w:rPr>
                <w:rFonts w:eastAsia="Times New Roman" w:cs="Times New Roman"/>
                <w:bCs/>
                <w:iCs/>
                <w:lang w:eastAsia="cs-CZ"/>
              </w:rPr>
              <w:t>v tom:</w:t>
            </w:r>
          </w:p>
        </w:tc>
        <w:tc>
          <w:tcPr>
            <w:tcW w:w="749" w:type="pct"/>
            <w:tcBorders>
              <w:top w:val="single" w:sz="5" w:space="0" w:color="7F7F7F" w:themeColor="text1" w:themeTint="80"/>
              <w:bottom w:val="single" w:sz="5" w:space="0" w:color="7F7F7F" w:themeColor="text1" w:themeTint="80"/>
            </w:tcBorders>
            <w:shd w:val="clear" w:color="auto" w:fill="auto"/>
            <w:vAlign w:val="center"/>
          </w:tcPr>
          <w:p w:rsidR="00820D43" w:rsidRPr="00DA2897" w:rsidRDefault="00820D43" w:rsidP="00903C73">
            <w:pPr>
              <w:spacing w:after="120"/>
              <w:jc w:val="right"/>
              <w:rPr>
                <w:rFonts w:eastAsia="Times New Roman" w:cs="Times New Roman"/>
                <w:b/>
                <w:bCs/>
                <w:iCs/>
                <w:lang w:eastAsia="cs-CZ"/>
              </w:rPr>
            </w:pPr>
            <w:r w:rsidRPr="00DA2897">
              <w:rPr>
                <w:rFonts w:eastAsia="Times New Roman" w:cs="Times New Roman"/>
                <w:b/>
                <w:bCs/>
                <w:iCs/>
                <w:lang w:eastAsia="cs-CZ"/>
              </w:rPr>
              <w:t>4 716 517</w:t>
            </w:r>
          </w:p>
        </w:tc>
        <w:tc>
          <w:tcPr>
            <w:tcW w:w="719" w:type="pct"/>
            <w:tcBorders>
              <w:top w:val="single" w:sz="5" w:space="0" w:color="7F7F7F" w:themeColor="text1" w:themeTint="80"/>
              <w:bottom w:val="single" w:sz="5" w:space="0" w:color="7F7F7F" w:themeColor="text1" w:themeTint="80"/>
            </w:tcBorders>
            <w:shd w:val="clear" w:color="auto" w:fill="auto"/>
            <w:vAlign w:val="center"/>
          </w:tcPr>
          <w:p w:rsidR="00820D43" w:rsidRPr="009D2914" w:rsidRDefault="00820D43" w:rsidP="00903C73">
            <w:pPr>
              <w:spacing w:after="120"/>
              <w:jc w:val="right"/>
              <w:rPr>
                <w:rFonts w:eastAsia="Times New Roman" w:cs="Times New Roman"/>
                <w:b/>
                <w:bCs/>
                <w:iCs/>
                <w:lang w:eastAsia="cs-CZ"/>
              </w:rPr>
            </w:pPr>
            <w:r w:rsidRPr="009D2914">
              <w:rPr>
                <w:rFonts w:eastAsia="Times New Roman" w:cs="Times New Roman"/>
                <w:b/>
                <w:bCs/>
                <w:iCs/>
                <w:lang w:eastAsia="cs-CZ"/>
              </w:rPr>
              <w:t>5 249 222</w:t>
            </w:r>
          </w:p>
        </w:tc>
        <w:tc>
          <w:tcPr>
            <w:tcW w:w="654" w:type="pct"/>
            <w:tcBorders>
              <w:top w:val="single" w:sz="5" w:space="0" w:color="7F7F7F" w:themeColor="text1" w:themeTint="80"/>
              <w:bottom w:val="single" w:sz="5" w:space="0" w:color="7F7F7F" w:themeColor="text1" w:themeTint="80"/>
            </w:tcBorders>
            <w:shd w:val="clear" w:color="auto" w:fill="auto"/>
            <w:vAlign w:val="center"/>
          </w:tcPr>
          <w:p w:rsidR="00820D43" w:rsidRPr="00820D43" w:rsidRDefault="00820D43" w:rsidP="00903C73">
            <w:pPr>
              <w:spacing w:after="120"/>
              <w:jc w:val="right"/>
              <w:rPr>
                <w:rFonts w:eastAsia="Times New Roman" w:cs="Times New Roman"/>
                <w:b/>
                <w:bCs/>
                <w:iCs/>
                <w:lang w:eastAsia="cs-CZ"/>
              </w:rPr>
            </w:pPr>
            <w:r w:rsidRPr="00820D43">
              <w:rPr>
                <w:rFonts w:eastAsia="Times New Roman" w:cs="Times New Roman"/>
                <w:b/>
                <w:bCs/>
                <w:iCs/>
                <w:lang w:eastAsia="cs-CZ"/>
              </w:rPr>
              <w:t>5 246 855</w:t>
            </w:r>
          </w:p>
        </w:tc>
        <w:tc>
          <w:tcPr>
            <w:tcW w:w="626" w:type="pct"/>
            <w:tcBorders>
              <w:top w:val="single" w:sz="5" w:space="0" w:color="7F7F7F" w:themeColor="text1" w:themeTint="80"/>
              <w:bottom w:val="single" w:sz="5" w:space="0" w:color="7F7F7F" w:themeColor="text1" w:themeTint="80"/>
            </w:tcBorders>
            <w:shd w:val="clear" w:color="auto" w:fill="auto"/>
            <w:vAlign w:val="center"/>
          </w:tcPr>
          <w:p w:rsidR="00820D43" w:rsidRPr="00820D43" w:rsidRDefault="00820D43" w:rsidP="00903C73">
            <w:pPr>
              <w:spacing w:after="120"/>
              <w:jc w:val="right"/>
              <w:rPr>
                <w:rFonts w:eastAsia="Times New Roman" w:cs="Times New Roman"/>
                <w:b/>
                <w:bCs/>
                <w:iCs/>
                <w:lang w:eastAsia="cs-CZ"/>
              </w:rPr>
            </w:pPr>
            <w:r>
              <w:rPr>
                <w:rFonts w:eastAsia="Times New Roman" w:cs="Times New Roman"/>
                <w:b/>
                <w:bCs/>
                <w:iCs/>
                <w:lang w:eastAsia="cs-CZ"/>
              </w:rPr>
              <w:t>99,95</w:t>
            </w:r>
          </w:p>
        </w:tc>
      </w:tr>
      <w:tr w:rsidR="00820D43" w:rsidRPr="00675AE3" w:rsidTr="00903C73">
        <w:tc>
          <w:tcPr>
            <w:tcW w:w="2252" w:type="pct"/>
            <w:tcBorders>
              <w:top w:val="single" w:sz="8" w:space="0" w:color="7F7F7F" w:themeColor="text1" w:themeTint="80"/>
            </w:tcBorders>
            <w:shd w:val="clear" w:color="auto" w:fill="auto"/>
          </w:tcPr>
          <w:p w:rsidR="00820D43" w:rsidRPr="001F2553" w:rsidRDefault="00820D43" w:rsidP="00903C73">
            <w:pPr>
              <w:ind w:left="32" w:hanging="180"/>
              <w:rPr>
                <w:rFonts w:eastAsia="Times New Roman" w:cs="Times New Roman"/>
                <w:bCs/>
                <w:iCs/>
                <w:lang w:eastAsia="cs-CZ"/>
              </w:rPr>
            </w:pPr>
            <w:r w:rsidRPr="001F2553">
              <w:rPr>
                <w:rFonts w:eastAsia="Times New Roman" w:cs="Times New Roman"/>
                <w:bCs/>
                <w:iCs/>
                <w:lang w:eastAsia="cs-CZ"/>
              </w:rPr>
              <w:t xml:space="preserve">   úhrada ztráty ze závazku veřejné služby ve veřejné drážní osobní dopravě</w:t>
            </w:r>
          </w:p>
        </w:tc>
        <w:tc>
          <w:tcPr>
            <w:tcW w:w="749" w:type="pct"/>
            <w:tcBorders>
              <w:top w:val="single" w:sz="5" w:space="0" w:color="7F7F7F" w:themeColor="text1" w:themeTint="80"/>
            </w:tcBorders>
            <w:shd w:val="clear" w:color="auto" w:fill="auto"/>
            <w:vAlign w:val="center"/>
          </w:tcPr>
          <w:p w:rsidR="00820D43" w:rsidRPr="00DA2897" w:rsidRDefault="00820D43" w:rsidP="00903C73">
            <w:pPr>
              <w:jc w:val="right"/>
              <w:rPr>
                <w:rFonts w:eastAsia="Times New Roman" w:cs="Times New Roman"/>
                <w:bCs/>
                <w:iCs/>
                <w:lang w:eastAsia="cs-CZ"/>
              </w:rPr>
            </w:pPr>
            <w:r w:rsidRPr="00DA2897">
              <w:rPr>
                <w:rFonts w:eastAsia="Times New Roman" w:cs="Times New Roman"/>
                <w:bCs/>
                <w:iCs/>
                <w:lang w:eastAsia="cs-CZ"/>
              </w:rPr>
              <w:t>4 629 884</w:t>
            </w:r>
          </w:p>
        </w:tc>
        <w:tc>
          <w:tcPr>
            <w:tcW w:w="719" w:type="pct"/>
            <w:tcBorders>
              <w:top w:val="single" w:sz="5" w:space="0" w:color="7F7F7F" w:themeColor="text1" w:themeTint="80"/>
            </w:tcBorders>
            <w:shd w:val="clear" w:color="auto" w:fill="auto"/>
            <w:vAlign w:val="center"/>
          </w:tcPr>
          <w:p w:rsidR="00820D43" w:rsidRPr="009D2914" w:rsidRDefault="00820D43" w:rsidP="008F01B4">
            <w:pPr>
              <w:jc w:val="right"/>
              <w:rPr>
                <w:rFonts w:eastAsia="Times New Roman" w:cs="Times New Roman"/>
                <w:bCs/>
                <w:iCs/>
                <w:lang w:eastAsia="cs-CZ"/>
              </w:rPr>
            </w:pPr>
            <w:r w:rsidRPr="009D2914">
              <w:rPr>
                <w:rFonts w:eastAsia="Times New Roman" w:cs="Times New Roman"/>
                <w:bCs/>
                <w:iCs/>
                <w:lang w:eastAsia="cs-CZ"/>
              </w:rPr>
              <w:t>5 084 30</w:t>
            </w:r>
            <w:r w:rsidR="008F01B4">
              <w:rPr>
                <w:rFonts w:eastAsia="Times New Roman" w:cs="Times New Roman"/>
                <w:bCs/>
                <w:iCs/>
                <w:lang w:eastAsia="cs-CZ"/>
              </w:rPr>
              <w:t>1</w:t>
            </w:r>
          </w:p>
        </w:tc>
        <w:tc>
          <w:tcPr>
            <w:tcW w:w="654" w:type="pct"/>
            <w:tcBorders>
              <w:top w:val="single" w:sz="5" w:space="0" w:color="7F7F7F" w:themeColor="text1" w:themeTint="80"/>
            </w:tcBorders>
            <w:shd w:val="clear" w:color="auto" w:fill="auto"/>
            <w:vAlign w:val="center"/>
          </w:tcPr>
          <w:p w:rsidR="00820D43" w:rsidRPr="009D2914" w:rsidRDefault="00820D43" w:rsidP="00903C73">
            <w:pPr>
              <w:jc w:val="right"/>
              <w:rPr>
                <w:rFonts w:eastAsia="Times New Roman" w:cs="Times New Roman"/>
                <w:bCs/>
                <w:iCs/>
                <w:lang w:eastAsia="cs-CZ"/>
              </w:rPr>
            </w:pPr>
            <w:r>
              <w:rPr>
                <w:rFonts w:eastAsia="Times New Roman" w:cs="Times New Roman"/>
                <w:bCs/>
                <w:iCs/>
                <w:lang w:eastAsia="cs-CZ"/>
              </w:rPr>
              <w:t>5 144 240</w:t>
            </w:r>
          </w:p>
        </w:tc>
        <w:tc>
          <w:tcPr>
            <w:tcW w:w="626" w:type="pct"/>
            <w:tcBorders>
              <w:top w:val="single" w:sz="5" w:space="0" w:color="7F7F7F" w:themeColor="text1" w:themeTint="80"/>
            </w:tcBorders>
            <w:shd w:val="clear" w:color="auto" w:fill="auto"/>
            <w:vAlign w:val="center"/>
          </w:tcPr>
          <w:p w:rsidR="00820D43" w:rsidRPr="009D2914" w:rsidRDefault="00820D43" w:rsidP="00903C73">
            <w:pPr>
              <w:jc w:val="right"/>
              <w:rPr>
                <w:rFonts w:eastAsia="Times New Roman" w:cs="Times New Roman"/>
                <w:bCs/>
                <w:iCs/>
                <w:lang w:eastAsia="cs-CZ"/>
              </w:rPr>
            </w:pPr>
            <w:r>
              <w:rPr>
                <w:rFonts w:eastAsia="Times New Roman" w:cs="Times New Roman"/>
                <w:bCs/>
                <w:iCs/>
                <w:lang w:eastAsia="cs-CZ"/>
              </w:rPr>
              <w:t>101,18</w:t>
            </w:r>
          </w:p>
        </w:tc>
      </w:tr>
      <w:tr w:rsidR="00820D43" w:rsidRPr="00675AE3" w:rsidTr="00903C73">
        <w:trPr>
          <w:trHeight w:val="547"/>
        </w:trPr>
        <w:tc>
          <w:tcPr>
            <w:tcW w:w="2252" w:type="pct"/>
            <w:shd w:val="clear" w:color="auto" w:fill="auto"/>
          </w:tcPr>
          <w:p w:rsidR="00820D43" w:rsidRPr="001F2553" w:rsidRDefault="00604306" w:rsidP="00903C73">
            <w:pPr>
              <w:ind w:left="32" w:hanging="180"/>
              <w:rPr>
                <w:rFonts w:eastAsia="Times New Roman" w:cs="Times New Roman"/>
                <w:bCs/>
                <w:iCs/>
                <w:lang w:eastAsia="cs-CZ"/>
              </w:rPr>
            </w:pPr>
            <w:r>
              <w:rPr>
                <w:rFonts w:eastAsia="Times New Roman" w:cs="Times New Roman"/>
                <w:bCs/>
                <w:iCs/>
                <w:lang w:eastAsia="cs-CZ"/>
              </w:rPr>
              <w:t xml:space="preserve">   příspěvek SŽ</w:t>
            </w:r>
            <w:r w:rsidR="00820D43" w:rsidRPr="001F2553">
              <w:rPr>
                <w:rFonts w:eastAsia="Times New Roman" w:cs="Times New Roman"/>
                <w:bCs/>
                <w:iCs/>
                <w:lang w:eastAsia="cs-CZ"/>
              </w:rPr>
              <w:t xml:space="preserve"> na dopravní cestu nehrazený ze SFDI</w:t>
            </w:r>
          </w:p>
        </w:tc>
        <w:tc>
          <w:tcPr>
            <w:tcW w:w="749" w:type="pct"/>
            <w:shd w:val="clear" w:color="auto" w:fill="auto"/>
            <w:vAlign w:val="center"/>
          </w:tcPr>
          <w:p w:rsidR="00820D43" w:rsidRPr="00DA2897" w:rsidRDefault="00820D43" w:rsidP="00903C73">
            <w:pPr>
              <w:jc w:val="right"/>
              <w:rPr>
                <w:rFonts w:eastAsia="Times New Roman" w:cs="Times New Roman"/>
                <w:bCs/>
                <w:iCs/>
                <w:lang w:eastAsia="cs-CZ"/>
              </w:rPr>
            </w:pPr>
            <w:r w:rsidRPr="00DA2897">
              <w:rPr>
                <w:rFonts w:eastAsia="Times New Roman" w:cs="Times New Roman"/>
                <w:bCs/>
                <w:iCs/>
                <w:lang w:eastAsia="cs-CZ"/>
              </w:rPr>
              <w:t>0</w:t>
            </w:r>
          </w:p>
        </w:tc>
        <w:tc>
          <w:tcPr>
            <w:tcW w:w="719" w:type="pct"/>
            <w:shd w:val="clear" w:color="auto" w:fill="auto"/>
            <w:vAlign w:val="center"/>
          </w:tcPr>
          <w:p w:rsidR="00820D43" w:rsidRPr="009D2914" w:rsidRDefault="00820D43" w:rsidP="00903C73">
            <w:pPr>
              <w:jc w:val="right"/>
              <w:rPr>
                <w:rFonts w:eastAsia="Times New Roman" w:cs="Times New Roman"/>
                <w:bCs/>
                <w:iCs/>
                <w:lang w:eastAsia="cs-CZ"/>
              </w:rPr>
            </w:pPr>
            <w:r w:rsidRPr="009D2914">
              <w:rPr>
                <w:rFonts w:eastAsia="Times New Roman" w:cs="Times New Roman"/>
                <w:bCs/>
                <w:iCs/>
                <w:lang w:eastAsia="cs-CZ"/>
              </w:rPr>
              <w:t>92 000</w:t>
            </w:r>
          </w:p>
        </w:tc>
        <w:tc>
          <w:tcPr>
            <w:tcW w:w="654" w:type="pct"/>
            <w:shd w:val="clear" w:color="auto" w:fill="auto"/>
            <w:vAlign w:val="center"/>
          </w:tcPr>
          <w:p w:rsidR="00820D43" w:rsidRPr="009D2914" w:rsidRDefault="00820D43" w:rsidP="00903C73">
            <w:pPr>
              <w:jc w:val="right"/>
              <w:rPr>
                <w:rFonts w:eastAsia="Times New Roman" w:cs="Times New Roman"/>
                <w:bCs/>
                <w:iCs/>
                <w:lang w:eastAsia="cs-CZ"/>
              </w:rPr>
            </w:pPr>
            <w:r w:rsidRPr="009D2914">
              <w:rPr>
                <w:rFonts w:eastAsia="Times New Roman" w:cs="Times New Roman"/>
                <w:bCs/>
                <w:iCs/>
                <w:lang w:eastAsia="cs-CZ"/>
              </w:rPr>
              <w:t>0</w:t>
            </w:r>
          </w:p>
        </w:tc>
        <w:tc>
          <w:tcPr>
            <w:tcW w:w="626" w:type="pct"/>
            <w:shd w:val="clear" w:color="auto" w:fill="auto"/>
            <w:vAlign w:val="center"/>
          </w:tcPr>
          <w:p w:rsidR="00820D43" w:rsidRPr="009D2914" w:rsidRDefault="00820D43" w:rsidP="00903C73">
            <w:pPr>
              <w:jc w:val="right"/>
              <w:rPr>
                <w:rFonts w:eastAsia="Times New Roman" w:cs="Times New Roman"/>
                <w:bCs/>
                <w:iCs/>
                <w:lang w:eastAsia="cs-CZ"/>
              </w:rPr>
            </w:pPr>
            <w:r>
              <w:rPr>
                <w:rFonts w:eastAsia="Times New Roman" w:cs="Times New Roman"/>
                <w:bCs/>
                <w:iCs/>
                <w:lang w:eastAsia="cs-CZ"/>
              </w:rPr>
              <w:t>0</w:t>
            </w:r>
          </w:p>
        </w:tc>
      </w:tr>
      <w:tr w:rsidR="00820D43" w:rsidRPr="00576843" w:rsidTr="00903C73">
        <w:tc>
          <w:tcPr>
            <w:tcW w:w="2252" w:type="pct"/>
            <w:shd w:val="clear" w:color="auto" w:fill="auto"/>
          </w:tcPr>
          <w:p w:rsidR="00820D43" w:rsidRPr="001F2553" w:rsidRDefault="00820D43" w:rsidP="00903C73">
            <w:pPr>
              <w:ind w:left="32" w:hanging="180"/>
              <w:rPr>
                <w:rFonts w:eastAsia="Times New Roman" w:cs="Times New Roman"/>
                <w:bCs/>
                <w:iCs/>
                <w:lang w:eastAsia="cs-CZ"/>
              </w:rPr>
            </w:pPr>
            <w:r w:rsidRPr="001F2553">
              <w:rPr>
                <w:rFonts w:eastAsia="Times New Roman" w:cs="Times New Roman"/>
                <w:bCs/>
                <w:iCs/>
                <w:lang w:eastAsia="cs-CZ"/>
              </w:rPr>
              <w:t xml:space="preserve">   úhrada poplatků vybíraných za LPS poskyt. ve vzdušném prostoru ČR</w:t>
            </w:r>
          </w:p>
        </w:tc>
        <w:tc>
          <w:tcPr>
            <w:tcW w:w="749" w:type="pct"/>
            <w:shd w:val="clear" w:color="auto" w:fill="auto"/>
            <w:vAlign w:val="center"/>
          </w:tcPr>
          <w:p w:rsidR="00820D43" w:rsidRPr="00DA2897" w:rsidRDefault="00820D43" w:rsidP="00903C73">
            <w:pPr>
              <w:jc w:val="right"/>
              <w:rPr>
                <w:rFonts w:eastAsia="Times New Roman" w:cs="Times New Roman"/>
                <w:bCs/>
                <w:iCs/>
                <w:lang w:eastAsia="cs-CZ"/>
              </w:rPr>
            </w:pPr>
            <w:r w:rsidRPr="00DA2897">
              <w:rPr>
                <w:rFonts w:eastAsia="Times New Roman" w:cs="Times New Roman"/>
                <w:bCs/>
                <w:iCs/>
                <w:lang w:eastAsia="cs-CZ"/>
              </w:rPr>
              <w:t>51 826</w:t>
            </w:r>
          </w:p>
        </w:tc>
        <w:tc>
          <w:tcPr>
            <w:tcW w:w="719" w:type="pct"/>
            <w:shd w:val="clear" w:color="auto" w:fill="auto"/>
            <w:vAlign w:val="center"/>
          </w:tcPr>
          <w:p w:rsidR="00820D43" w:rsidRPr="009D2914" w:rsidRDefault="00820D43" w:rsidP="00903C73">
            <w:pPr>
              <w:jc w:val="right"/>
              <w:rPr>
                <w:rFonts w:eastAsia="Times New Roman" w:cs="Times New Roman"/>
                <w:bCs/>
                <w:iCs/>
                <w:lang w:eastAsia="cs-CZ"/>
              </w:rPr>
            </w:pPr>
            <w:r w:rsidRPr="009D2914">
              <w:rPr>
                <w:rFonts w:eastAsia="Times New Roman" w:cs="Times New Roman"/>
                <w:bCs/>
                <w:iCs/>
                <w:lang w:eastAsia="cs-CZ"/>
              </w:rPr>
              <w:t>68 921</w:t>
            </w:r>
          </w:p>
        </w:tc>
        <w:tc>
          <w:tcPr>
            <w:tcW w:w="654" w:type="pct"/>
            <w:shd w:val="clear" w:color="auto" w:fill="auto"/>
            <w:vAlign w:val="center"/>
          </w:tcPr>
          <w:p w:rsidR="00820D43" w:rsidRPr="009D2914" w:rsidRDefault="00820D43" w:rsidP="00903C73">
            <w:pPr>
              <w:jc w:val="right"/>
              <w:rPr>
                <w:rFonts w:eastAsia="Times New Roman" w:cs="Times New Roman"/>
                <w:bCs/>
                <w:iCs/>
                <w:lang w:eastAsia="cs-CZ"/>
              </w:rPr>
            </w:pPr>
            <w:r w:rsidRPr="009D2914">
              <w:rPr>
                <w:rFonts w:eastAsia="Times New Roman" w:cs="Times New Roman"/>
                <w:bCs/>
                <w:iCs/>
                <w:lang w:eastAsia="cs-CZ"/>
              </w:rPr>
              <w:t>77 777</w:t>
            </w:r>
          </w:p>
        </w:tc>
        <w:tc>
          <w:tcPr>
            <w:tcW w:w="626" w:type="pct"/>
            <w:shd w:val="clear" w:color="auto" w:fill="auto"/>
            <w:vAlign w:val="center"/>
          </w:tcPr>
          <w:p w:rsidR="00820D43" w:rsidRPr="009D2914" w:rsidRDefault="00820D43" w:rsidP="00903C73">
            <w:pPr>
              <w:jc w:val="right"/>
              <w:rPr>
                <w:rFonts w:eastAsia="Times New Roman" w:cs="Times New Roman"/>
                <w:bCs/>
                <w:iCs/>
                <w:lang w:eastAsia="cs-CZ"/>
              </w:rPr>
            </w:pPr>
            <w:r w:rsidRPr="009D2914">
              <w:rPr>
                <w:rFonts w:eastAsia="Times New Roman" w:cs="Times New Roman"/>
                <w:bCs/>
                <w:iCs/>
                <w:lang w:eastAsia="cs-CZ"/>
              </w:rPr>
              <w:t>112,85</w:t>
            </w:r>
          </w:p>
        </w:tc>
      </w:tr>
      <w:tr w:rsidR="00820D43" w:rsidRPr="00576843" w:rsidTr="00903C73">
        <w:tc>
          <w:tcPr>
            <w:tcW w:w="2252" w:type="pct"/>
            <w:shd w:val="clear" w:color="auto" w:fill="auto"/>
          </w:tcPr>
          <w:p w:rsidR="00820D43" w:rsidRPr="00B4563B" w:rsidRDefault="00820D43" w:rsidP="00903C73">
            <w:pPr>
              <w:ind w:left="32" w:hanging="180"/>
              <w:rPr>
                <w:rFonts w:eastAsia="Times New Roman" w:cs="Times New Roman"/>
                <w:bCs/>
                <w:iCs/>
                <w:lang w:eastAsia="cs-CZ"/>
              </w:rPr>
            </w:pPr>
            <w:r w:rsidRPr="00B4563B">
              <w:rPr>
                <w:rFonts w:eastAsia="Times New Roman" w:cs="Times New Roman"/>
                <w:bCs/>
                <w:iCs/>
                <w:lang w:eastAsia="cs-CZ"/>
              </w:rPr>
              <w:t xml:space="preserve">   výdaje na programy spolufin z EU – CEF (C-ROADS)</w:t>
            </w:r>
          </w:p>
        </w:tc>
        <w:tc>
          <w:tcPr>
            <w:tcW w:w="749" w:type="pct"/>
            <w:shd w:val="clear" w:color="auto" w:fill="auto"/>
            <w:vAlign w:val="center"/>
          </w:tcPr>
          <w:p w:rsidR="00820D43" w:rsidRPr="00B4563B" w:rsidRDefault="00820D43" w:rsidP="00903C73">
            <w:pPr>
              <w:jc w:val="right"/>
              <w:rPr>
                <w:rFonts w:eastAsia="Times New Roman" w:cs="Times New Roman"/>
                <w:bCs/>
                <w:iCs/>
                <w:lang w:eastAsia="cs-CZ"/>
              </w:rPr>
            </w:pPr>
            <w:r w:rsidRPr="00B4563B">
              <w:rPr>
                <w:rFonts w:eastAsia="Times New Roman" w:cs="Times New Roman"/>
                <w:bCs/>
                <w:iCs/>
                <w:lang w:eastAsia="cs-CZ"/>
              </w:rPr>
              <w:t>33 161</w:t>
            </w:r>
          </w:p>
        </w:tc>
        <w:tc>
          <w:tcPr>
            <w:tcW w:w="719" w:type="pct"/>
            <w:shd w:val="clear" w:color="auto" w:fill="auto"/>
            <w:vAlign w:val="center"/>
          </w:tcPr>
          <w:p w:rsidR="00820D43" w:rsidRPr="00B4563B" w:rsidRDefault="00820D43" w:rsidP="00903C73">
            <w:pPr>
              <w:jc w:val="right"/>
              <w:rPr>
                <w:rFonts w:eastAsia="Times New Roman" w:cs="Times New Roman"/>
                <w:bCs/>
                <w:iCs/>
                <w:lang w:eastAsia="cs-CZ"/>
              </w:rPr>
            </w:pPr>
            <w:r w:rsidRPr="00B4563B">
              <w:rPr>
                <w:rFonts w:eastAsia="Times New Roman" w:cs="Times New Roman"/>
                <w:bCs/>
                <w:iCs/>
                <w:lang w:eastAsia="cs-CZ"/>
              </w:rPr>
              <w:t>0</w:t>
            </w:r>
          </w:p>
        </w:tc>
        <w:tc>
          <w:tcPr>
            <w:tcW w:w="654" w:type="pct"/>
            <w:shd w:val="clear" w:color="auto" w:fill="auto"/>
            <w:vAlign w:val="center"/>
          </w:tcPr>
          <w:p w:rsidR="00820D43" w:rsidRPr="00B4563B" w:rsidRDefault="00820D43" w:rsidP="00903C73">
            <w:pPr>
              <w:jc w:val="right"/>
              <w:rPr>
                <w:rFonts w:eastAsia="Times New Roman" w:cs="Times New Roman"/>
                <w:bCs/>
                <w:iCs/>
                <w:lang w:eastAsia="cs-CZ"/>
              </w:rPr>
            </w:pPr>
            <w:r w:rsidRPr="00B4563B">
              <w:rPr>
                <w:rFonts w:eastAsia="Times New Roman" w:cs="Times New Roman"/>
                <w:bCs/>
                <w:iCs/>
                <w:lang w:eastAsia="cs-CZ"/>
              </w:rPr>
              <w:t>19 837</w:t>
            </w:r>
          </w:p>
        </w:tc>
        <w:tc>
          <w:tcPr>
            <w:tcW w:w="626" w:type="pct"/>
            <w:shd w:val="clear" w:color="auto" w:fill="auto"/>
            <w:vAlign w:val="center"/>
          </w:tcPr>
          <w:p w:rsidR="00820D43" w:rsidRPr="00B4563B" w:rsidRDefault="00820D43" w:rsidP="00903C73">
            <w:pPr>
              <w:jc w:val="right"/>
              <w:rPr>
                <w:rFonts w:eastAsia="Times New Roman" w:cs="Times New Roman"/>
                <w:bCs/>
                <w:iCs/>
                <w:lang w:eastAsia="cs-CZ"/>
              </w:rPr>
            </w:pPr>
            <w:r>
              <w:rPr>
                <w:rFonts w:eastAsia="Times New Roman" w:cs="Times New Roman"/>
                <w:bCs/>
                <w:iCs/>
                <w:lang w:eastAsia="cs-CZ"/>
              </w:rPr>
              <w:t>x</w:t>
            </w:r>
          </w:p>
        </w:tc>
      </w:tr>
      <w:tr w:rsidR="00820D43" w:rsidRPr="00576843" w:rsidTr="00903C73">
        <w:tc>
          <w:tcPr>
            <w:tcW w:w="2252" w:type="pct"/>
            <w:shd w:val="clear" w:color="auto" w:fill="auto"/>
          </w:tcPr>
          <w:p w:rsidR="00820D43" w:rsidRPr="00576843" w:rsidRDefault="00820D43" w:rsidP="00903C73">
            <w:pPr>
              <w:ind w:left="32" w:hanging="180"/>
              <w:rPr>
                <w:rFonts w:eastAsia="Times New Roman" w:cs="Times New Roman"/>
                <w:bCs/>
                <w:iCs/>
                <w:color w:val="FF0000"/>
                <w:lang w:eastAsia="cs-CZ"/>
              </w:rPr>
            </w:pPr>
            <w:r w:rsidRPr="00576843">
              <w:rPr>
                <w:rFonts w:eastAsia="Times New Roman" w:cs="Times New Roman"/>
                <w:bCs/>
                <w:iCs/>
                <w:color w:val="FF0000"/>
                <w:lang w:eastAsia="cs-CZ"/>
              </w:rPr>
              <w:t xml:space="preserve">   </w:t>
            </w:r>
            <w:r w:rsidRPr="001E5831">
              <w:rPr>
                <w:rFonts w:eastAsia="Times New Roman" w:cs="Times New Roman"/>
                <w:bCs/>
                <w:iCs/>
                <w:lang w:eastAsia="cs-CZ"/>
              </w:rPr>
              <w:t>podpora obnovy histor. železničních kolejových vozidel (127 66/127 67)</w:t>
            </w:r>
          </w:p>
        </w:tc>
        <w:tc>
          <w:tcPr>
            <w:tcW w:w="749" w:type="pct"/>
            <w:shd w:val="clear" w:color="auto" w:fill="auto"/>
            <w:vAlign w:val="center"/>
          </w:tcPr>
          <w:p w:rsidR="00820D43" w:rsidRPr="00DA2897" w:rsidRDefault="00820D43" w:rsidP="00903C73">
            <w:pPr>
              <w:jc w:val="right"/>
              <w:rPr>
                <w:rFonts w:eastAsia="Times New Roman" w:cs="Times New Roman"/>
                <w:bCs/>
                <w:iCs/>
                <w:lang w:eastAsia="cs-CZ"/>
              </w:rPr>
            </w:pPr>
            <w:r w:rsidRPr="00DA2897">
              <w:rPr>
                <w:rFonts w:eastAsia="Times New Roman" w:cs="Times New Roman"/>
                <w:bCs/>
                <w:iCs/>
                <w:lang w:eastAsia="cs-CZ"/>
              </w:rPr>
              <w:t>1 646</w:t>
            </w:r>
          </w:p>
        </w:tc>
        <w:tc>
          <w:tcPr>
            <w:tcW w:w="719" w:type="pct"/>
            <w:shd w:val="clear" w:color="auto" w:fill="auto"/>
            <w:vAlign w:val="center"/>
          </w:tcPr>
          <w:p w:rsidR="00820D43" w:rsidRPr="009D2914" w:rsidRDefault="00820D43" w:rsidP="00903C73">
            <w:pPr>
              <w:jc w:val="right"/>
              <w:rPr>
                <w:rFonts w:eastAsia="Times New Roman" w:cs="Times New Roman"/>
                <w:bCs/>
                <w:iCs/>
                <w:lang w:eastAsia="cs-CZ"/>
              </w:rPr>
            </w:pPr>
            <w:r w:rsidRPr="009D2914">
              <w:rPr>
                <w:rFonts w:eastAsia="Times New Roman" w:cs="Times New Roman"/>
                <w:bCs/>
                <w:iCs/>
                <w:lang w:eastAsia="cs-CZ"/>
              </w:rPr>
              <w:t>4 000</w:t>
            </w:r>
          </w:p>
        </w:tc>
        <w:tc>
          <w:tcPr>
            <w:tcW w:w="654" w:type="pct"/>
            <w:shd w:val="clear" w:color="auto" w:fill="auto"/>
            <w:vAlign w:val="center"/>
          </w:tcPr>
          <w:p w:rsidR="00820D43" w:rsidRPr="009D2914" w:rsidRDefault="00820D43" w:rsidP="00903C73">
            <w:pPr>
              <w:jc w:val="right"/>
              <w:rPr>
                <w:rFonts w:eastAsia="Times New Roman" w:cs="Times New Roman"/>
                <w:bCs/>
                <w:iCs/>
                <w:lang w:eastAsia="cs-CZ"/>
              </w:rPr>
            </w:pPr>
            <w:r w:rsidRPr="009D2914">
              <w:rPr>
                <w:rFonts w:eastAsia="Times New Roman" w:cs="Times New Roman"/>
                <w:bCs/>
                <w:iCs/>
                <w:lang w:eastAsia="cs-CZ"/>
              </w:rPr>
              <w:t>5 000</w:t>
            </w:r>
          </w:p>
        </w:tc>
        <w:tc>
          <w:tcPr>
            <w:tcW w:w="626" w:type="pct"/>
            <w:shd w:val="clear" w:color="auto" w:fill="auto"/>
            <w:vAlign w:val="center"/>
          </w:tcPr>
          <w:p w:rsidR="00820D43" w:rsidRPr="009D2914" w:rsidRDefault="00820D43" w:rsidP="00903C73">
            <w:pPr>
              <w:jc w:val="right"/>
              <w:rPr>
                <w:rFonts w:eastAsia="Times New Roman" w:cs="Times New Roman"/>
                <w:bCs/>
                <w:iCs/>
                <w:lang w:eastAsia="cs-CZ"/>
              </w:rPr>
            </w:pPr>
            <w:r w:rsidRPr="009D2914">
              <w:rPr>
                <w:rFonts w:eastAsia="Times New Roman" w:cs="Times New Roman"/>
                <w:bCs/>
                <w:iCs/>
                <w:lang w:eastAsia="cs-CZ"/>
              </w:rPr>
              <w:t>125,00</w:t>
            </w:r>
          </w:p>
        </w:tc>
      </w:tr>
    </w:tbl>
    <w:p w:rsidR="00F23ED8" w:rsidRPr="00820D43" w:rsidRDefault="00F23ED8" w:rsidP="00A34DBA">
      <w:pPr>
        <w:pStyle w:val="Nadpis9"/>
        <w:rPr>
          <w:lang w:eastAsia="cs-CZ"/>
        </w:rPr>
      </w:pPr>
      <w:r w:rsidRPr="00820D43">
        <w:rPr>
          <w:lang w:eastAsia="cs-CZ"/>
        </w:rPr>
        <w:t>Úhrada ztráty ze závazku veřejné služby ve veřejné drážní osobní dopravě</w:t>
      </w:r>
    </w:p>
    <w:p w:rsidR="00820D43" w:rsidRPr="00824A0C" w:rsidRDefault="00820D43" w:rsidP="00820D43">
      <w:pPr>
        <w:pStyle w:val="Styl1"/>
      </w:pPr>
      <w:r w:rsidRPr="00824A0C">
        <w:t xml:space="preserve">Zákon č. 194/2010 Sb., o veřejných službách v přepravě cestujících a o změně dalších zákonů, definuje dopravní obslužnost, kterou zajišťuje stát prostřednictvím Ministerstva dopravy. Z definice dopravní obslužnosti státu vyplývají výkony, které je nutno uplatňovat </w:t>
      </w:r>
      <w:r w:rsidRPr="00824A0C">
        <w:br/>
        <w:t xml:space="preserve">ze strany státu vůči dopravcům, kteří je budou zajišťovat. </w:t>
      </w:r>
    </w:p>
    <w:p w:rsidR="00F23ED8" w:rsidRPr="00820D43" w:rsidRDefault="00820D43" w:rsidP="00F23ED8">
      <w:pPr>
        <w:pStyle w:val="Styl1"/>
      </w:pPr>
      <w:r w:rsidRPr="00824A0C">
        <w:t xml:space="preserve">V souvislosti s účinností nařízení Evropského parlamentu a Rady č. 1370/2007 ze dne </w:t>
      </w:r>
      <w:r w:rsidRPr="00824A0C">
        <w:br/>
        <w:t>23. října 2007 o službách v přepravě cestujících po železnici a silnici a o zrušení nařízení Rady (EHS) č. 1191/69 a č. 1107/70 od roku 2010 jsou u dopravců zajišťujících závazek veřejné služby v rámci kompenzací za tyto služby hrazeny i ztráty vznikající v důsledku slev jízdného stanov</w:t>
      </w:r>
      <w:r>
        <w:t>ených státem nebo objednatelem.</w:t>
      </w:r>
    </w:p>
    <w:p w:rsidR="00820D43" w:rsidRPr="00DD2B30" w:rsidRDefault="00820D43" w:rsidP="00820D43">
      <w:pPr>
        <w:pStyle w:val="MDSR"/>
        <w:spacing w:before="240" w:after="80" w:line="259" w:lineRule="auto"/>
        <w:ind w:firstLine="0"/>
        <w:rPr>
          <w:rFonts w:asciiTheme="minorHAnsi" w:hAnsiTheme="minorHAnsi" w:cstheme="minorHAnsi"/>
          <w:bCs/>
          <w:color w:val="FF0000"/>
          <w:szCs w:val="24"/>
          <w:u w:val="single"/>
        </w:rPr>
      </w:pPr>
      <w:r w:rsidRPr="00824A0C">
        <w:t xml:space="preserve">Výdaje na úhradu ztráty ze závazku veřejné služby ve veřejné drážní osobní dopravě jsou </w:t>
      </w:r>
      <w:r w:rsidRPr="00824A0C">
        <w:br/>
        <w:t>na ro</w:t>
      </w:r>
      <w:r>
        <w:t>k 2021 rozpočtovány v částce 5 144 240 tis. Kč, tj. o 59 939 tis. Kč více</w:t>
      </w:r>
      <w:r w:rsidRPr="00824A0C">
        <w:t xml:space="preserve"> oproti schválenému rozpočtu roku 2020.</w:t>
      </w:r>
    </w:p>
    <w:p w:rsidR="00F23ED8" w:rsidRPr="00820D43" w:rsidRDefault="00604306" w:rsidP="00A34DBA">
      <w:pPr>
        <w:pStyle w:val="Nadpis9"/>
      </w:pPr>
      <w:r>
        <w:t>Příspěvek SŽ</w:t>
      </w:r>
      <w:r w:rsidR="00F23ED8" w:rsidRPr="00820D43">
        <w:t xml:space="preserve"> na dopravní cestu nehrazený ze SFDI </w:t>
      </w:r>
    </w:p>
    <w:p w:rsidR="00820D43" w:rsidRPr="00824A0C" w:rsidRDefault="00820D43" w:rsidP="00820D43">
      <w:pPr>
        <w:pStyle w:val="Styl1"/>
      </w:pPr>
      <w:r w:rsidRPr="00824A0C">
        <w:t>Příspěvek je určen na úhradu části neinvestičních nákladů souvisejících s provozováním dráhy. Příjemcem dotace je Správa železnic, s. o. Výdaje nejsou pro rok 2021 rozpočtovány.</w:t>
      </w:r>
    </w:p>
    <w:p w:rsidR="00F23ED8" w:rsidRPr="00820D43" w:rsidRDefault="00F23ED8" w:rsidP="00A34DBA">
      <w:pPr>
        <w:pStyle w:val="Nadpis9"/>
        <w:rPr>
          <w:lang w:eastAsia="cs-CZ"/>
        </w:rPr>
      </w:pPr>
      <w:r w:rsidRPr="00820D43">
        <w:rPr>
          <w:lang w:eastAsia="cs-CZ"/>
        </w:rPr>
        <w:lastRenderedPageBreak/>
        <w:t xml:space="preserve">Úhrada poplatků vybíraných za LNS poskytované ve vzdušném prostoru ČR </w:t>
      </w:r>
    </w:p>
    <w:p w:rsidR="00820D43" w:rsidRPr="00824A0C" w:rsidRDefault="00820D43" w:rsidP="00820D43">
      <w:pPr>
        <w:pStyle w:val="Styl1"/>
      </w:pPr>
      <w:r w:rsidRPr="00824A0C">
        <w:t xml:space="preserve">V souladu s usnesením vlády ze dne 2. </w:t>
      </w:r>
      <w:r w:rsidR="001004D1" w:rsidRPr="00824A0C">
        <w:t>11. 2005</w:t>
      </w:r>
      <w:r w:rsidRPr="00824A0C">
        <w:t xml:space="preserve"> č. 1404, k úhradě poplatků vybíraných </w:t>
      </w:r>
      <w:r w:rsidRPr="00824A0C">
        <w:br/>
        <w:t xml:space="preserve">za letové provozní služby poskytované ve vzdušném prostoru České republiky a prováděcího nařízením Komise (EU) 2019/317 ze dne 11. února 2019, kterým se stanoví systém sledování výkonnosti a systém poplatků v jednotném evropském nebi a kterým se ruší prováděcí nařízení (EU) č. 390/2013 a (EU) č. 391/2013, stát od roku 2008 hradí státnímu podniku Řízení letového provozu ČR náklady související s poskytováním letových navigačních služeb letům </w:t>
      </w:r>
      <w:r w:rsidRPr="00824A0C">
        <w:br/>
        <w:t xml:space="preserve">ve vzdušném prostoru České republiky osvobozeným od zpoplatnění. </w:t>
      </w:r>
    </w:p>
    <w:p w:rsidR="00820D43" w:rsidRPr="00824A0C" w:rsidRDefault="00820D43" w:rsidP="00820D43">
      <w:pPr>
        <w:pStyle w:val="Styl1"/>
      </w:pPr>
      <w:r w:rsidRPr="00824A0C">
        <w:t xml:space="preserve">Oproti schválenému rozpočtu na rok 2020 je úhrada poplatků za LNS rozpočtována pro </w:t>
      </w:r>
      <w:r w:rsidRPr="00824A0C">
        <w:br/>
        <w:t>rok 2021 v částce o 8 856 tis. Kč vyšší, tj. 77 777 tis. Kč. Tato částka bude plně kompenzovat očekávané náklady vynaložené ŘLP ČR, s. p., na poskytování  letových navigačních služeb letům osvobozeným od poplatků v roce 2021, a to v souladu s prováděcím nařízením Komise (EU) 2019/317.</w:t>
      </w:r>
    </w:p>
    <w:p w:rsidR="00F23ED8" w:rsidRPr="00820D43" w:rsidRDefault="00F23ED8" w:rsidP="00A34DBA">
      <w:pPr>
        <w:pStyle w:val="Nadpis9"/>
        <w:rPr>
          <w:lang w:eastAsia="cs-CZ"/>
        </w:rPr>
      </w:pPr>
      <w:r w:rsidRPr="00820D43">
        <w:rPr>
          <w:lang w:eastAsia="cs-CZ"/>
        </w:rPr>
        <w:t>Programové financování EDS/SMVS</w:t>
      </w:r>
    </w:p>
    <w:p w:rsidR="00820D43" w:rsidRPr="007F68A0" w:rsidRDefault="00820D43" w:rsidP="00820D43">
      <w:pPr>
        <w:pStyle w:val="Styl1"/>
      </w:pPr>
      <w:bookmarkStart w:id="63" w:name="_Toc368665063"/>
      <w:bookmarkStart w:id="64" w:name="_Toc463338097"/>
      <w:bookmarkStart w:id="65" w:name="_Toc15293392"/>
      <w:r w:rsidRPr="00BC0DCB">
        <w:t>V rámci neinvestičních dotací je realizován program č 127 67 „Podpory obnovy historických železničních kolejových vozidel v období 2021 - 2024“. Pro rok 2021 jsou pro tento titul navrženy prostředky ve výši 5 000 tis. Kč, tj</w:t>
      </w:r>
      <w:r>
        <w:t>.</w:t>
      </w:r>
      <w:r w:rsidRPr="00BC0DCB">
        <w:t xml:space="preserve"> o 1 000 tis. Kč více než v roce 2020.</w:t>
      </w:r>
      <w:r w:rsidRPr="00891AF7">
        <w:t xml:space="preserve"> </w:t>
      </w:r>
    </w:p>
    <w:p w:rsidR="00F23ED8" w:rsidRPr="00820D43" w:rsidRDefault="00F23ED8" w:rsidP="00F23ED8">
      <w:pPr>
        <w:keepNext/>
        <w:spacing w:after="120"/>
        <w:rPr>
          <w:rFonts w:eastAsia="Times New Roman" w:cs="Times New Roman"/>
          <w:b/>
          <w:bCs/>
          <w:sz w:val="20"/>
          <w:szCs w:val="20"/>
          <w:lang w:eastAsia="cs-CZ"/>
        </w:rPr>
      </w:pPr>
      <w:bookmarkStart w:id="66" w:name="_Toc54190951"/>
      <w:r w:rsidRPr="00820D43">
        <w:rPr>
          <w:rFonts w:eastAsia="Times New Roman" w:cs="Times New Roman"/>
          <w:b/>
          <w:bCs/>
          <w:sz w:val="20"/>
          <w:szCs w:val="20"/>
          <w:lang w:eastAsia="cs-CZ"/>
        </w:rPr>
        <w:t xml:space="preserve">Graf č. </w:t>
      </w:r>
      <w:r w:rsidRPr="00820D43">
        <w:rPr>
          <w:rFonts w:eastAsia="Times New Roman" w:cs="Times New Roman"/>
          <w:b/>
          <w:bCs/>
          <w:sz w:val="20"/>
          <w:szCs w:val="20"/>
          <w:lang w:eastAsia="cs-CZ"/>
        </w:rPr>
        <w:fldChar w:fldCharType="begin"/>
      </w:r>
      <w:r w:rsidRPr="00820D43">
        <w:rPr>
          <w:rFonts w:eastAsia="Times New Roman" w:cs="Times New Roman"/>
          <w:b/>
          <w:bCs/>
          <w:sz w:val="20"/>
          <w:szCs w:val="20"/>
          <w:lang w:eastAsia="cs-CZ"/>
        </w:rPr>
        <w:instrText xml:space="preserve"> SEQ Graf_č. \* ARABIC </w:instrText>
      </w:r>
      <w:r w:rsidRPr="00820D43">
        <w:rPr>
          <w:rFonts w:eastAsia="Times New Roman" w:cs="Times New Roman"/>
          <w:b/>
          <w:bCs/>
          <w:sz w:val="20"/>
          <w:szCs w:val="20"/>
          <w:lang w:eastAsia="cs-CZ"/>
        </w:rPr>
        <w:fldChar w:fldCharType="separate"/>
      </w:r>
      <w:r w:rsidR="006076E7">
        <w:rPr>
          <w:rFonts w:eastAsia="Times New Roman" w:cs="Times New Roman"/>
          <w:b/>
          <w:bCs/>
          <w:noProof/>
          <w:sz w:val="20"/>
          <w:szCs w:val="20"/>
          <w:lang w:eastAsia="cs-CZ"/>
        </w:rPr>
        <w:t>6</w:t>
      </w:r>
      <w:r w:rsidRPr="00820D43">
        <w:rPr>
          <w:rFonts w:eastAsia="Times New Roman" w:cs="Times New Roman"/>
          <w:b/>
          <w:bCs/>
          <w:sz w:val="20"/>
          <w:szCs w:val="20"/>
          <w:lang w:eastAsia="cs-CZ"/>
        </w:rPr>
        <w:fldChar w:fldCharType="end"/>
      </w:r>
      <w:r w:rsidRPr="00820D43">
        <w:rPr>
          <w:rFonts w:eastAsia="Times New Roman" w:cs="Times New Roman"/>
          <w:b/>
          <w:bCs/>
          <w:sz w:val="20"/>
          <w:szCs w:val="20"/>
          <w:lang w:eastAsia="cs-CZ"/>
        </w:rPr>
        <w:t xml:space="preserve">: </w:t>
      </w:r>
      <w:bookmarkEnd w:id="63"/>
      <w:bookmarkEnd w:id="64"/>
      <w:r w:rsidRPr="00820D43">
        <w:rPr>
          <w:rFonts w:eastAsia="Times New Roman" w:cs="Times New Roman"/>
          <w:b/>
          <w:bCs/>
          <w:sz w:val="20"/>
          <w:szCs w:val="20"/>
          <w:lang w:eastAsia="cs-CZ"/>
        </w:rPr>
        <w:t>Neinvestiční transfery podnikatelským subjektům</w:t>
      </w:r>
      <w:bookmarkEnd w:id="65"/>
      <w:bookmarkEnd w:id="66"/>
    </w:p>
    <w:p w:rsidR="00F23ED8" w:rsidRDefault="00F23ED8" w:rsidP="00F23ED8">
      <w:pPr>
        <w:spacing w:after="80"/>
        <w:rPr>
          <w:rFonts w:eastAsia="Times New Roman" w:cs="Times New Roman"/>
          <w:noProof/>
          <w:color w:val="FF0000"/>
          <w:szCs w:val="24"/>
          <w:lang w:eastAsia="cs-CZ"/>
        </w:rPr>
      </w:pPr>
      <w:r w:rsidRPr="00E24034">
        <w:rPr>
          <w:rFonts w:eastAsia="Times New Roman" w:cs="Times New Roman"/>
          <w:noProof/>
          <w:color w:val="FF0000"/>
          <w:szCs w:val="24"/>
          <w:highlight w:val="yellow"/>
          <w:lang w:eastAsia="cs-CZ"/>
        </w:rPr>
        <w:drawing>
          <wp:inline distT="0" distB="0" distL="0" distR="0" wp14:anchorId="1DD6A034" wp14:editId="4DCC9D18">
            <wp:extent cx="5760720" cy="3293196"/>
            <wp:effectExtent l="0" t="0" r="11430" b="2540"/>
            <wp:docPr id="12" name="Graf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A34DBA" w:rsidRDefault="00A34DBA" w:rsidP="00F23ED8">
      <w:pPr>
        <w:spacing w:after="80"/>
        <w:rPr>
          <w:rFonts w:eastAsia="Times New Roman" w:cs="Times New Roman"/>
          <w:noProof/>
          <w:color w:val="FF0000"/>
          <w:szCs w:val="24"/>
          <w:lang w:eastAsia="cs-CZ"/>
        </w:rPr>
      </w:pPr>
    </w:p>
    <w:p w:rsidR="00A34DBA" w:rsidRDefault="00A34DBA" w:rsidP="00F23ED8">
      <w:pPr>
        <w:spacing w:after="80"/>
        <w:rPr>
          <w:rFonts w:eastAsia="Times New Roman" w:cs="Times New Roman"/>
          <w:noProof/>
          <w:color w:val="FF0000"/>
          <w:szCs w:val="24"/>
          <w:lang w:eastAsia="cs-CZ"/>
        </w:rPr>
      </w:pPr>
    </w:p>
    <w:p w:rsidR="00A34DBA" w:rsidRPr="00E24034" w:rsidRDefault="00A34DBA" w:rsidP="00F23ED8">
      <w:pPr>
        <w:spacing w:after="80"/>
        <w:rPr>
          <w:rFonts w:eastAsia="Times New Roman" w:cs="Times New Roman"/>
          <w:noProof/>
          <w:color w:val="FF0000"/>
          <w:szCs w:val="24"/>
          <w:lang w:eastAsia="cs-CZ"/>
        </w:rPr>
      </w:pPr>
    </w:p>
    <w:p w:rsidR="008A1F72" w:rsidRPr="00910074" w:rsidRDefault="008A1F72" w:rsidP="007B2F4B">
      <w:pPr>
        <w:pStyle w:val="Nadpis3"/>
      </w:pPr>
      <w:bookmarkStart w:id="67" w:name="_Toc53750573"/>
      <w:r w:rsidRPr="00910074">
        <w:lastRenderedPageBreak/>
        <w:t>Neinvestiční transfery veřejným rozpočtům územní úrovně</w:t>
      </w:r>
      <w:bookmarkEnd w:id="61"/>
      <w:bookmarkEnd w:id="67"/>
    </w:p>
    <w:p w:rsidR="00F23ED8" w:rsidRDefault="00F23ED8" w:rsidP="00F23ED8">
      <w:pPr>
        <w:pStyle w:val="Titulek"/>
        <w:keepNext/>
        <w:rPr>
          <w:noProof/>
        </w:rPr>
      </w:pPr>
      <w:bookmarkStart w:id="68" w:name="_Toc462314397"/>
      <w:bookmarkStart w:id="69" w:name="_Toc489274103"/>
      <w:bookmarkEnd w:id="62"/>
      <w:r w:rsidRPr="00910074">
        <w:t xml:space="preserve">Tabulka č. </w:t>
      </w:r>
      <w:fldSimple w:instr=" SEQ Tabulka \* ARABIC ">
        <w:r w:rsidR="006076E7">
          <w:rPr>
            <w:noProof/>
          </w:rPr>
          <w:t>21</w:t>
        </w:r>
      </w:fldSimple>
      <w:r w:rsidRPr="00910074">
        <w:rPr>
          <w:noProof/>
        </w:rPr>
        <w:t xml:space="preserve"> Neinvestiční transfery veřejným výzkumným institucím (v tis. Kč)</w:t>
      </w:r>
    </w:p>
    <w:tbl>
      <w:tblPr>
        <w:tblStyle w:val="Svtltabulkasmkou1zvraznn5"/>
        <w:tblW w:w="498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39"/>
        <w:gridCol w:w="1361"/>
        <w:gridCol w:w="1260"/>
        <w:gridCol w:w="1246"/>
        <w:gridCol w:w="1020"/>
      </w:tblGrid>
      <w:tr w:rsidR="00C83010" w:rsidRPr="0056719D" w:rsidTr="00903C73">
        <w:tc>
          <w:tcPr>
            <w:tcW w:w="229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83010" w:rsidRPr="0056719D" w:rsidRDefault="00C83010" w:rsidP="00903C73">
            <w:pPr>
              <w:jc w:val="center"/>
              <w:rPr>
                <w:rFonts w:eastAsia="Times New Roman" w:cs="Times New Roman"/>
                <w:b/>
                <w:szCs w:val="24"/>
                <w:lang w:eastAsia="cs-CZ"/>
              </w:rPr>
            </w:pPr>
            <w:r w:rsidRPr="0056719D">
              <w:rPr>
                <w:rFonts w:eastAsia="Times New Roman" w:cs="Times New Roman"/>
                <w:b/>
                <w:szCs w:val="24"/>
                <w:lang w:eastAsia="cs-CZ"/>
              </w:rPr>
              <w:t>Ukazatel</w:t>
            </w:r>
          </w:p>
        </w:tc>
        <w:tc>
          <w:tcPr>
            <w:tcW w:w="75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83010" w:rsidRPr="0056719D" w:rsidRDefault="00C83010" w:rsidP="00903C73">
            <w:pPr>
              <w:jc w:val="center"/>
              <w:rPr>
                <w:rFonts w:eastAsia="Times New Roman" w:cs="Times New Roman"/>
                <w:b/>
                <w:szCs w:val="24"/>
                <w:lang w:eastAsia="cs-CZ"/>
              </w:rPr>
            </w:pPr>
            <w:r w:rsidRPr="0056719D">
              <w:rPr>
                <w:rFonts w:eastAsia="Times New Roman" w:cs="Times New Roman"/>
                <w:b/>
                <w:szCs w:val="24"/>
                <w:lang w:eastAsia="cs-CZ"/>
              </w:rPr>
              <w:t>Skutečnost</w:t>
            </w:r>
          </w:p>
          <w:p w:rsidR="00C83010" w:rsidRPr="0056719D" w:rsidRDefault="00C83010" w:rsidP="00903C73">
            <w:pPr>
              <w:jc w:val="center"/>
              <w:rPr>
                <w:rFonts w:eastAsia="Times New Roman" w:cs="Times New Roman"/>
                <w:b/>
                <w:szCs w:val="24"/>
                <w:lang w:eastAsia="cs-CZ"/>
              </w:rPr>
            </w:pPr>
            <w:r w:rsidRPr="0056719D">
              <w:rPr>
                <w:rFonts w:eastAsia="Times New Roman" w:cs="Times New Roman"/>
                <w:b/>
                <w:szCs w:val="24"/>
                <w:lang w:eastAsia="cs-CZ"/>
              </w:rPr>
              <w:t>2019</w:t>
            </w:r>
          </w:p>
        </w:tc>
        <w:tc>
          <w:tcPr>
            <w:tcW w:w="6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83010" w:rsidRPr="0056719D" w:rsidRDefault="00C83010" w:rsidP="00903C73">
            <w:pPr>
              <w:jc w:val="center"/>
              <w:rPr>
                <w:rFonts w:eastAsia="Times New Roman" w:cs="Times New Roman"/>
                <w:b/>
                <w:szCs w:val="24"/>
                <w:lang w:eastAsia="cs-CZ"/>
              </w:rPr>
            </w:pPr>
            <w:r w:rsidRPr="0056719D">
              <w:rPr>
                <w:rFonts w:eastAsia="Times New Roman" w:cs="Times New Roman"/>
                <w:b/>
                <w:szCs w:val="24"/>
                <w:lang w:eastAsia="cs-CZ"/>
              </w:rPr>
              <w:t>Schválený</w:t>
            </w:r>
          </w:p>
          <w:p w:rsidR="00C83010" w:rsidRPr="0056719D" w:rsidRDefault="00C83010" w:rsidP="00903C73">
            <w:pPr>
              <w:jc w:val="center"/>
              <w:rPr>
                <w:rFonts w:eastAsia="Times New Roman" w:cs="Times New Roman"/>
                <w:b/>
                <w:szCs w:val="24"/>
                <w:lang w:eastAsia="cs-CZ"/>
              </w:rPr>
            </w:pPr>
            <w:r w:rsidRPr="0056719D">
              <w:rPr>
                <w:rFonts w:eastAsia="Times New Roman" w:cs="Times New Roman"/>
                <w:b/>
                <w:szCs w:val="24"/>
                <w:lang w:eastAsia="cs-CZ"/>
              </w:rPr>
              <w:t>rozpočet</w:t>
            </w:r>
          </w:p>
          <w:p w:rsidR="00C83010" w:rsidRPr="0056719D" w:rsidRDefault="00C83010" w:rsidP="00903C73">
            <w:pPr>
              <w:jc w:val="center"/>
              <w:rPr>
                <w:rFonts w:eastAsia="Times New Roman" w:cs="Times New Roman"/>
                <w:b/>
                <w:szCs w:val="24"/>
                <w:lang w:eastAsia="cs-CZ"/>
              </w:rPr>
            </w:pPr>
            <w:r w:rsidRPr="0056719D">
              <w:rPr>
                <w:rFonts w:eastAsia="Times New Roman" w:cs="Times New Roman"/>
                <w:b/>
                <w:szCs w:val="24"/>
                <w:lang w:eastAsia="cs-CZ"/>
              </w:rPr>
              <w:t>2020</w:t>
            </w:r>
          </w:p>
        </w:tc>
        <w:tc>
          <w:tcPr>
            <w:tcW w:w="69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83010" w:rsidRPr="0056719D" w:rsidRDefault="00C83010" w:rsidP="00903C73">
            <w:pPr>
              <w:jc w:val="center"/>
              <w:rPr>
                <w:rFonts w:eastAsia="Times New Roman" w:cs="Times New Roman"/>
                <w:b/>
                <w:szCs w:val="24"/>
                <w:lang w:eastAsia="cs-CZ"/>
              </w:rPr>
            </w:pPr>
            <w:r w:rsidRPr="0056719D">
              <w:rPr>
                <w:rFonts w:eastAsia="Times New Roman" w:cs="Times New Roman"/>
                <w:b/>
                <w:szCs w:val="24"/>
                <w:lang w:eastAsia="cs-CZ"/>
              </w:rPr>
              <w:t>Návrh</w:t>
            </w:r>
          </w:p>
          <w:p w:rsidR="00C83010" w:rsidRPr="0056719D" w:rsidRDefault="00C83010" w:rsidP="00903C73">
            <w:pPr>
              <w:jc w:val="center"/>
              <w:rPr>
                <w:rFonts w:eastAsia="Times New Roman" w:cs="Times New Roman"/>
                <w:b/>
                <w:szCs w:val="24"/>
                <w:lang w:eastAsia="cs-CZ"/>
              </w:rPr>
            </w:pPr>
            <w:r w:rsidRPr="0056719D">
              <w:rPr>
                <w:rFonts w:eastAsia="Times New Roman" w:cs="Times New Roman"/>
                <w:b/>
                <w:szCs w:val="24"/>
                <w:lang w:eastAsia="cs-CZ"/>
              </w:rPr>
              <w:t>rozpočtu</w:t>
            </w:r>
          </w:p>
          <w:p w:rsidR="00C83010" w:rsidRPr="0056719D" w:rsidRDefault="00C83010" w:rsidP="00903C73">
            <w:pPr>
              <w:jc w:val="center"/>
              <w:rPr>
                <w:rFonts w:eastAsia="Times New Roman" w:cs="Times New Roman"/>
                <w:b/>
                <w:szCs w:val="24"/>
                <w:lang w:eastAsia="cs-CZ"/>
              </w:rPr>
            </w:pPr>
            <w:r w:rsidRPr="0056719D">
              <w:rPr>
                <w:rFonts w:eastAsia="Times New Roman" w:cs="Times New Roman"/>
                <w:b/>
                <w:szCs w:val="24"/>
                <w:lang w:eastAsia="cs-CZ"/>
              </w:rPr>
              <w:t>2021</w:t>
            </w:r>
          </w:p>
        </w:tc>
        <w:tc>
          <w:tcPr>
            <w:tcW w:w="56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83010" w:rsidRPr="0056719D" w:rsidRDefault="00C83010" w:rsidP="00903C73">
            <w:pPr>
              <w:jc w:val="center"/>
              <w:rPr>
                <w:rFonts w:eastAsia="Times New Roman" w:cs="Times New Roman"/>
                <w:b/>
                <w:szCs w:val="24"/>
                <w:lang w:eastAsia="cs-CZ"/>
              </w:rPr>
            </w:pPr>
            <w:r w:rsidRPr="0056719D">
              <w:rPr>
                <w:rFonts w:eastAsia="Times New Roman" w:cs="Times New Roman"/>
                <w:b/>
                <w:szCs w:val="24"/>
                <w:lang w:eastAsia="cs-CZ"/>
              </w:rPr>
              <w:t>Index</w:t>
            </w:r>
          </w:p>
          <w:p w:rsidR="00C83010" w:rsidRPr="0056719D" w:rsidRDefault="00C83010" w:rsidP="00903C73">
            <w:pPr>
              <w:jc w:val="center"/>
              <w:rPr>
                <w:rFonts w:eastAsia="Times New Roman" w:cs="Times New Roman"/>
                <w:b/>
                <w:szCs w:val="24"/>
                <w:lang w:eastAsia="cs-CZ"/>
              </w:rPr>
            </w:pPr>
            <w:r w:rsidRPr="0056719D">
              <w:rPr>
                <w:rFonts w:eastAsia="Times New Roman" w:cs="Times New Roman"/>
                <w:b/>
                <w:szCs w:val="24"/>
                <w:lang w:eastAsia="cs-CZ"/>
              </w:rPr>
              <w:t>2021/</w:t>
            </w:r>
            <w:r w:rsidRPr="0056719D">
              <w:rPr>
                <w:rFonts w:eastAsia="Times New Roman" w:cs="Times New Roman"/>
                <w:b/>
                <w:szCs w:val="24"/>
                <w:lang w:eastAsia="cs-CZ"/>
              </w:rPr>
              <w:br/>
              <w:t xml:space="preserve">2020 </w:t>
            </w:r>
            <w:r w:rsidRPr="0056719D">
              <w:rPr>
                <w:rFonts w:eastAsia="Times New Roman" w:cs="Times New Roman"/>
                <w:b/>
                <w:szCs w:val="24"/>
                <w:lang w:eastAsia="cs-CZ"/>
              </w:rPr>
              <w:br/>
              <w:t>(v %)</w:t>
            </w:r>
          </w:p>
        </w:tc>
      </w:tr>
      <w:tr w:rsidR="00C83010" w:rsidRPr="0056719D" w:rsidTr="00903C73">
        <w:tc>
          <w:tcPr>
            <w:tcW w:w="2293" w:type="pct"/>
            <w:tcBorders>
              <w:top w:val="single" w:sz="4" w:space="0" w:color="7F7F7F" w:themeColor="text1" w:themeTint="80"/>
              <w:bottom w:val="single" w:sz="8" w:space="0" w:color="7F7F7F" w:themeColor="text1" w:themeTint="80"/>
            </w:tcBorders>
            <w:shd w:val="clear" w:color="auto" w:fill="auto"/>
          </w:tcPr>
          <w:p w:rsidR="00C83010" w:rsidRPr="0056719D" w:rsidRDefault="00C83010" w:rsidP="00903C73">
            <w:pPr>
              <w:jc w:val="center"/>
              <w:rPr>
                <w:rFonts w:eastAsia="Times New Roman" w:cs="Times New Roman"/>
                <w:szCs w:val="24"/>
                <w:lang w:eastAsia="cs-CZ"/>
              </w:rPr>
            </w:pPr>
            <w:r w:rsidRPr="0056719D">
              <w:rPr>
                <w:rFonts w:eastAsia="Times New Roman" w:cs="Times New Roman"/>
                <w:szCs w:val="24"/>
                <w:lang w:eastAsia="cs-CZ"/>
              </w:rPr>
              <w:t>a</w:t>
            </w:r>
          </w:p>
        </w:tc>
        <w:tc>
          <w:tcPr>
            <w:tcW w:w="754" w:type="pct"/>
            <w:tcBorders>
              <w:top w:val="single" w:sz="4" w:space="0" w:color="7F7F7F" w:themeColor="text1" w:themeTint="80"/>
              <w:bottom w:val="single" w:sz="8" w:space="0" w:color="7F7F7F" w:themeColor="text1" w:themeTint="80"/>
            </w:tcBorders>
            <w:shd w:val="clear" w:color="auto" w:fill="auto"/>
          </w:tcPr>
          <w:p w:rsidR="00C83010" w:rsidRPr="0056719D" w:rsidRDefault="00C83010" w:rsidP="00903C73">
            <w:pPr>
              <w:jc w:val="center"/>
              <w:rPr>
                <w:rFonts w:eastAsia="Times New Roman" w:cs="Times New Roman"/>
                <w:szCs w:val="24"/>
                <w:lang w:eastAsia="cs-CZ"/>
              </w:rPr>
            </w:pPr>
            <w:r w:rsidRPr="0056719D">
              <w:rPr>
                <w:rFonts w:eastAsia="Times New Roman" w:cs="Times New Roman"/>
                <w:szCs w:val="24"/>
                <w:lang w:eastAsia="cs-CZ"/>
              </w:rPr>
              <w:t>1</w:t>
            </w:r>
          </w:p>
        </w:tc>
        <w:tc>
          <w:tcPr>
            <w:tcW w:w="698" w:type="pct"/>
            <w:tcBorders>
              <w:top w:val="single" w:sz="4" w:space="0" w:color="7F7F7F" w:themeColor="text1" w:themeTint="80"/>
              <w:bottom w:val="single" w:sz="8" w:space="0" w:color="7F7F7F" w:themeColor="text1" w:themeTint="80"/>
            </w:tcBorders>
            <w:shd w:val="clear" w:color="auto" w:fill="auto"/>
          </w:tcPr>
          <w:p w:rsidR="00C83010" w:rsidRPr="0056719D" w:rsidRDefault="00C83010" w:rsidP="00903C73">
            <w:pPr>
              <w:jc w:val="center"/>
              <w:rPr>
                <w:rFonts w:eastAsia="Times New Roman" w:cs="Times New Roman"/>
                <w:szCs w:val="24"/>
                <w:lang w:eastAsia="cs-CZ"/>
              </w:rPr>
            </w:pPr>
            <w:r w:rsidRPr="0056719D">
              <w:rPr>
                <w:rFonts w:eastAsia="Times New Roman" w:cs="Times New Roman"/>
                <w:szCs w:val="24"/>
                <w:lang w:eastAsia="cs-CZ"/>
              </w:rPr>
              <w:t>2</w:t>
            </w:r>
          </w:p>
        </w:tc>
        <w:tc>
          <w:tcPr>
            <w:tcW w:w="690" w:type="pct"/>
            <w:tcBorders>
              <w:top w:val="single" w:sz="4" w:space="0" w:color="7F7F7F" w:themeColor="text1" w:themeTint="80"/>
              <w:bottom w:val="single" w:sz="8" w:space="0" w:color="7F7F7F" w:themeColor="text1" w:themeTint="80"/>
            </w:tcBorders>
            <w:shd w:val="clear" w:color="auto" w:fill="auto"/>
          </w:tcPr>
          <w:p w:rsidR="00C83010" w:rsidRPr="0056719D" w:rsidRDefault="00C83010" w:rsidP="00903C73">
            <w:pPr>
              <w:jc w:val="center"/>
              <w:rPr>
                <w:rFonts w:eastAsia="Times New Roman" w:cs="Times New Roman"/>
                <w:szCs w:val="24"/>
                <w:lang w:eastAsia="cs-CZ"/>
              </w:rPr>
            </w:pPr>
            <w:r w:rsidRPr="0056719D">
              <w:rPr>
                <w:rFonts w:eastAsia="Times New Roman" w:cs="Times New Roman"/>
                <w:szCs w:val="24"/>
                <w:lang w:eastAsia="cs-CZ"/>
              </w:rPr>
              <w:t>3</w:t>
            </w:r>
          </w:p>
        </w:tc>
        <w:tc>
          <w:tcPr>
            <w:tcW w:w="565" w:type="pct"/>
            <w:tcBorders>
              <w:top w:val="single" w:sz="4" w:space="0" w:color="7F7F7F" w:themeColor="text1" w:themeTint="80"/>
              <w:bottom w:val="single" w:sz="8" w:space="0" w:color="7F7F7F" w:themeColor="text1" w:themeTint="80"/>
            </w:tcBorders>
            <w:shd w:val="clear" w:color="auto" w:fill="auto"/>
          </w:tcPr>
          <w:p w:rsidR="00C83010" w:rsidRPr="0056719D" w:rsidRDefault="00C83010" w:rsidP="00903C73">
            <w:pPr>
              <w:jc w:val="center"/>
              <w:rPr>
                <w:rFonts w:eastAsia="Times New Roman" w:cs="Times New Roman"/>
                <w:szCs w:val="24"/>
                <w:lang w:eastAsia="cs-CZ"/>
              </w:rPr>
            </w:pPr>
            <w:r w:rsidRPr="0056719D">
              <w:rPr>
                <w:rFonts w:eastAsia="Times New Roman" w:cs="Times New Roman"/>
                <w:szCs w:val="24"/>
                <w:lang w:eastAsia="cs-CZ"/>
              </w:rPr>
              <w:t>4</w:t>
            </w:r>
          </w:p>
        </w:tc>
      </w:tr>
      <w:tr w:rsidR="00C83010" w:rsidRPr="0056719D" w:rsidTr="00903C73">
        <w:tc>
          <w:tcPr>
            <w:tcW w:w="2293" w:type="pct"/>
            <w:tcBorders>
              <w:top w:val="single" w:sz="8" w:space="0" w:color="7F7F7F" w:themeColor="text1" w:themeTint="80"/>
              <w:bottom w:val="single" w:sz="8" w:space="0" w:color="7F7F7F" w:themeColor="text1" w:themeTint="80"/>
            </w:tcBorders>
            <w:shd w:val="clear" w:color="auto" w:fill="auto"/>
          </w:tcPr>
          <w:p w:rsidR="00C83010" w:rsidRPr="0056719D" w:rsidRDefault="00C83010" w:rsidP="00903C73">
            <w:pPr>
              <w:rPr>
                <w:rFonts w:eastAsia="Times New Roman" w:cs="Times New Roman"/>
                <w:b/>
                <w:lang w:eastAsia="cs-CZ"/>
              </w:rPr>
            </w:pPr>
            <w:r w:rsidRPr="0056719D">
              <w:rPr>
                <w:rFonts w:eastAsia="Times New Roman" w:cs="Times New Roman"/>
                <w:b/>
                <w:lang w:eastAsia="cs-CZ"/>
              </w:rPr>
              <w:t xml:space="preserve">Veřejné rozpočty územní úrovně </w:t>
            </w:r>
          </w:p>
          <w:p w:rsidR="00C83010" w:rsidRPr="0056719D" w:rsidRDefault="00C83010" w:rsidP="00903C73">
            <w:pPr>
              <w:rPr>
                <w:rFonts w:eastAsia="Times New Roman" w:cs="Times New Roman"/>
                <w:lang w:eastAsia="cs-CZ"/>
              </w:rPr>
            </w:pPr>
            <w:r w:rsidRPr="0056719D">
              <w:rPr>
                <w:rFonts w:eastAsia="Times New Roman" w:cs="Times New Roman"/>
                <w:b/>
                <w:lang w:eastAsia="cs-CZ"/>
              </w:rPr>
              <w:t>v tom:</w:t>
            </w:r>
          </w:p>
        </w:tc>
        <w:tc>
          <w:tcPr>
            <w:tcW w:w="754" w:type="pct"/>
            <w:tcBorders>
              <w:top w:val="single" w:sz="8" w:space="0" w:color="7F7F7F" w:themeColor="text1" w:themeTint="80"/>
              <w:bottom w:val="single" w:sz="8" w:space="0" w:color="7F7F7F" w:themeColor="text1" w:themeTint="80"/>
            </w:tcBorders>
            <w:shd w:val="clear" w:color="auto" w:fill="auto"/>
            <w:vAlign w:val="center"/>
          </w:tcPr>
          <w:p w:rsidR="00C83010" w:rsidRPr="0056719D" w:rsidRDefault="00C83010" w:rsidP="00903C73">
            <w:pPr>
              <w:jc w:val="right"/>
              <w:rPr>
                <w:rFonts w:eastAsia="Times New Roman" w:cs="Times New Roman"/>
                <w:b/>
                <w:lang w:eastAsia="cs-CZ"/>
              </w:rPr>
            </w:pPr>
            <w:r w:rsidRPr="0056719D">
              <w:rPr>
                <w:rFonts w:eastAsia="Times New Roman" w:cs="Times New Roman"/>
                <w:b/>
                <w:lang w:eastAsia="cs-CZ"/>
              </w:rPr>
              <w:t>2 968 970</w:t>
            </w:r>
          </w:p>
        </w:tc>
        <w:tc>
          <w:tcPr>
            <w:tcW w:w="698" w:type="pct"/>
            <w:tcBorders>
              <w:top w:val="single" w:sz="8" w:space="0" w:color="7F7F7F" w:themeColor="text1" w:themeTint="80"/>
              <w:bottom w:val="single" w:sz="8" w:space="0" w:color="7F7F7F" w:themeColor="text1" w:themeTint="80"/>
            </w:tcBorders>
            <w:shd w:val="clear" w:color="auto" w:fill="auto"/>
            <w:vAlign w:val="center"/>
          </w:tcPr>
          <w:p w:rsidR="00C83010" w:rsidRPr="0056719D" w:rsidRDefault="00C83010" w:rsidP="00903C73">
            <w:pPr>
              <w:jc w:val="right"/>
              <w:rPr>
                <w:rFonts w:eastAsia="Times New Roman" w:cs="Times New Roman"/>
                <w:b/>
                <w:lang w:eastAsia="cs-CZ"/>
              </w:rPr>
            </w:pPr>
            <w:r w:rsidRPr="0056719D">
              <w:rPr>
                <w:rFonts w:eastAsia="Times New Roman" w:cs="Times New Roman"/>
                <w:b/>
                <w:lang w:eastAsia="cs-CZ"/>
              </w:rPr>
              <w:t>3 136 343</w:t>
            </w:r>
          </w:p>
        </w:tc>
        <w:tc>
          <w:tcPr>
            <w:tcW w:w="690" w:type="pct"/>
            <w:tcBorders>
              <w:top w:val="single" w:sz="8" w:space="0" w:color="7F7F7F" w:themeColor="text1" w:themeTint="80"/>
              <w:bottom w:val="single" w:sz="8" w:space="0" w:color="7F7F7F" w:themeColor="text1" w:themeTint="80"/>
            </w:tcBorders>
            <w:shd w:val="clear" w:color="auto" w:fill="auto"/>
            <w:vAlign w:val="center"/>
          </w:tcPr>
          <w:p w:rsidR="00C83010" w:rsidRPr="0056719D" w:rsidRDefault="00C83010" w:rsidP="00903C73">
            <w:pPr>
              <w:jc w:val="right"/>
              <w:rPr>
                <w:rFonts w:eastAsia="Times New Roman" w:cs="Times New Roman"/>
                <w:b/>
                <w:lang w:eastAsia="cs-CZ"/>
              </w:rPr>
            </w:pPr>
            <w:r>
              <w:rPr>
                <w:rFonts w:eastAsia="Times New Roman" w:cs="Times New Roman"/>
                <w:b/>
                <w:lang w:eastAsia="cs-CZ"/>
              </w:rPr>
              <w:t>3 355 495</w:t>
            </w:r>
          </w:p>
        </w:tc>
        <w:tc>
          <w:tcPr>
            <w:tcW w:w="565" w:type="pct"/>
            <w:tcBorders>
              <w:top w:val="single" w:sz="8" w:space="0" w:color="7F7F7F" w:themeColor="text1" w:themeTint="80"/>
              <w:bottom w:val="single" w:sz="8" w:space="0" w:color="7F7F7F" w:themeColor="text1" w:themeTint="80"/>
            </w:tcBorders>
            <w:shd w:val="clear" w:color="auto" w:fill="auto"/>
            <w:vAlign w:val="center"/>
          </w:tcPr>
          <w:p w:rsidR="00C83010" w:rsidRPr="0056719D" w:rsidRDefault="00C83010" w:rsidP="00903C73">
            <w:pPr>
              <w:jc w:val="right"/>
              <w:rPr>
                <w:rFonts w:eastAsia="Times New Roman" w:cs="Times New Roman"/>
                <w:b/>
                <w:lang w:eastAsia="cs-CZ"/>
              </w:rPr>
            </w:pPr>
            <w:r>
              <w:rPr>
                <w:rFonts w:eastAsia="Times New Roman" w:cs="Times New Roman"/>
                <w:b/>
                <w:lang w:eastAsia="cs-CZ"/>
              </w:rPr>
              <w:t>106,99</w:t>
            </w:r>
          </w:p>
        </w:tc>
      </w:tr>
      <w:tr w:rsidR="00C83010" w:rsidRPr="0056719D" w:rsidTr="00903C73">
        <w:tc>
          <w:tcPr>
            <w:tcW w:w="2293" w:type="pct"/>
            <w:tcBorders>
              <w:top w:val="single" w:sz="8" w:space="0" w:color="7F7F7F" w:themeColor="text1" w:themeTint="80"/>
            </w:tcBorders>
            <w:shd w:val="clear" w:color="auto" w:fill="auto"/>
          </w:tcPr>
          <w:p w:rsidR="00C83010" w:rsidRPr="0056719D" w:rsidRDefault="00C83010" w:rsidP="00903C73">
            <w:pPr>
              <w:rPr>
                <w:rFonts w:eastAsia="Times New Roman" w:cs="Times New Roman"/>
                <w:lang w:eastAsia="cs-CZ"/>
              </w:rPr>
            </w:pPr>
            <w:r w:rsidRPr="0056719D">
              <w:rPr>
                <w:rFonts w:eastAsia="Times New Roman" w:cs="Times New Roman"/>
                <w:lang w:eastAsia="cs-CZ"/>
              </w:rPr>
              <w:t xml:space="preserve">Obce  </w:t>
            </w:r>
          </w:p>
        </w:tc>
        <w:tc>
          <w:tcPr>
            <w:tcW w:w="754" w:type="pct"/>
            <w:tcBorders>
              <w:top w:val="single" w:sz="8" w:space="0" w:color="7F7F7F" w:themeColor="text1" w:themeTint="80"/>
            </w:tcBorders>
            <w:shd w:val="clear" w:color="auto" w:fill="auto"/>
            <w:vAlign w:val="center"/>
          </w:tcPr>
          <w:p w:rsidR="00C83010" w:rsidRPr="0056719D" w:rsidRDefault="00C83010" w:rsidP="00903C73">
            <w:pPr>
              <w:jc w:val="right"/>
              <w:rPr>
                <w:rFonts w:eastAsia="Times New Roman" w:cs="Times New Roman"/>
                <w:lang w:eastAsia="cs-CZ"/>
              </w:rPr>
            </w:pPr>
            <w:r w:rsidRPr="0056719D">
              <w:rPr>
                <w:rFonts w:eastAsia="Times New Roman" w:cs="Times New Roman"/>
                <w:lang w:eastAsia="cs-CZ"/>
              </w:rPr>
              <w:t>223 811</w:t>
            </w:r>
          </w:p>
        </w:tc>
        <w:tc>
          <w:tcPr>
            <w:tcW w:w="698" w:type="pct"/>
            <w:tcBorders>
              <w:top w:val="single" w:sz="8" w:space="0" w:color="7F7F7F" w:themeColor="text1" w:themeTint="80"/>
            </w:tcBorders>
            <w:shd w:val="clear" w:color="auto" w:fill="auto"/>
            <w:vAlign w:val="center"/>
          </w:tcPr>
          <w:p w:rsidR="00C83010" w:rsidRPr="0056719D" w:rsidRDefault="00C83010" w:rsidP="00903C73">
            <w:pPr>
              <w:jc w:val="right"/>
              <w:rPr>
                <w:rFonts w:eastAsia="Times New Roman" w:cs="Times New Roman"/>
                <w:lang w:eastAsia="cs-CZ"/>
              </w:rPr>
            </w:pPr>
            <w:r w:rsidRPr="0056719D">
              <w:rPr>
                <w:rFonts w:eastAsia="Times New Roman" w:cs="Times New Roman"/>
                <w:lang w:eastAsia="cs-CZ"/>
              </w:rPr>
              <w:t>263 301</w:t>
            </w:r>
          </w:p>
        </w:tc>
        <w:tc>
          <w:tcPr>
            <w:tcW w:w="690" w:type="pct"/>
            <w:tcBorders>
              <w:top w:val="single" w:sz="8" w:space="0" w:color="7F7F7F" w:themeColor="text1" w:themeTint="80"/>
            </w:tcBorders>
            <w:shd w:val="clear" w:color="auto" w:fill="auto"/>
            <w:vAlign w:val="center"/>
          </w:tcPr>
          <w:p w:rsidR="00C83010" w:rsidRPr="0056719D" w:rsidRDefault="00C83010" w:rsidP="00903C73">
            <w:pPr>
              <w:jc w:val="right"/>
              <w:rPr>
                <w:rFonts w:eastAsia="Times New Roman" w:cs="Times New Roman"/>
                <w:lang w:eastAsia="cs-CZ"/>
              </w:rPr>
            </w:pPr>
            <w:r>
              <w:rPr>
                <w:rFonts w:eastAsia="Times New Roman" w:cs="Times New Roman"/>
                <w:lang w:eastAsia="cs-CZ"/>
              </w:rPr>
              <w:t>283 673</w:t>
            </w:r>
          </w:p>
        </w:tc>
        <w:tc>
          <w:tcPr>
            <w:tcW w:w="565" w:type="pct"/>
            <w:tcBorders>
              <w:top w:val="single" w:sz="8" w:space="0" w:color="7F7F7F" w:themeColor="text1" w:themeTint="80"/>
            </w:tcBorders>
            <w:shd w:val="clear" w:color="auto" w:fill="auto"/>
            <w:vAlign w:val="center"/>
          </w:tcPr>
          <w:p w:rsidR="00C83010" w:rsidRPr="0056719D" w:rsidRDefault="00C83010" w:rsidP="00903C73">
            <w:pPr>
              <w:jc w:val="right"/>
              <w:rPr>
                <w:rFonts w:eastAsia="Times New Roman" w:cs="Times New Roman"/>
                <w:lang w:eastAsia="cs-CZ"/>
              </w:rPr>
            </w:pPr>
            <w:r>
              <w:rPr>
                <w:rFonts w:eastAsia="Times New Roman" w:cs="Times New Roman"/>
                <w:lang w:eastAsia="cs-CZ"/>
              </w:rPr>
              <w:t>107,74</w:t>
            </w:r>
          </w:p>
        </w:tc>
      </w:tr>
      <w:tr w:rsidR="00C83010" w:rsidRPr="0056719D" w:rsidTr="00903C73">
        <w:tc>
          <w:tcPr>
            <w:tcW w:w="2293" w:type="pct"/>
            <w:shd w:val="clear" w:color="auto" w:fill="auto"/>
          </w:tcPr>
          <w:p w:rsidR="00C83010" w:rsidRPr="0056719D" w:rsidRDefault="00C83010" w:rsidP="00903C73">
            <w:pPr>
              <w:rPr>
                <w:rFonts w:eastAsia="Times New Roman" w:cs="Times New Roman"/>
                <w:lang w:eastAsia="cs-CZ"/>
              </w:rPr>
            </w:pPr>
            <w:r w:rsidRPr="0056719D">
              <w:rPr>
                <w:rFonts w:eastAsia="Times New Roman" w:cs="Times New Roman"/>
                <w:lang w:eastAsia="cs-CZ"/>
              </w:rPr>
              <w:t xml:space="preserve">Kraje </w:t>
            </w:r>
          </w:p>
        </w:tc>
        <w:tc>
          <w:tcPr>
            <w:tcW w:w="754" w:type="pct"/>
            <w:shd w:val="clear" w:color="auto" w:fill="auto"/>
            <w:vAlign w:val="center"/>
          </w:tcPr>
          <w:p w:rsidR="00C83010" w:rsidRPr="0056719D" w:rsidRDefault="00C83010" w:rsidP="00903C73">
            <w:pPr>
              <w:jc w:val="right"/>
              <w:rPr>
                <w:rFonts w:eastAsia="Times New Roman" w:cs="Times New Roman"/>
                <w:lang w:eastAsia="cs-CZ"/>
              </w:rPr>
            </w:pPr>
            <w:r w:rsidRPr="0056719D">
              <w:rPr>
                <w:rFonts w:eastAsia="Times New Roman" w:cs="Times New Roman"/>
                <w:lang w:eastAsia="cs-CZ"/>
              </w:rPr>
              <w:t>2 745 159</w:t>
            </w:r>
          </w:p>
        </w:tc>
        <w:tc>
          <w:tcPr>
            <w:tcW w:w="698" w:type="pct"/>
            <w:shd w:val="clear" w:color="auto" w:fill="auto"/>
            <w:vAlign w:val="center"/>
          </w:tcPr>
          <w:p w:rsidR="00C83010" w:rsidRPr="0056719D" w:rsidRDefault="00C83010" w:rsidP="00903C73">
            <w:pPr>
              <w:jc w:val="right"/>
              <w:rPr>
                <w:rFonts w:eastAsia="Times New Roman" w:cs="Times New Roman"/>
                <w:lang w:eastAsia="cs-CZ"/>
              </w:rPr>
            </w:pPr>
            <w:r w:rsidRPr="0056719D">
              <w:rPr>
                <w:rFonts w:eastAsia="Times New Roman" w:cs="Times New Roman"/>
                <w:lang w:eastAsia="cs-CZ"/>
              </w:rPr>
              <w:t>2 873 042</w:t>
            </w:r>
          </w:p>
        </w:tc>
        <w:tc>
          <w:tcPr>
            <w:tcW w:w="690" w:type="pct"/>
            <w:shd w:val="clear" w:color="auto" w:fill="auto"/>
            <w:vAlign w:val="center"/>
          </w:tcPr>
          <w:p w:rsidR="00C83010" w:rsidRPr="0056719D" w:rsidRDefault="00C83010" w:rsidP="00903C73">
            <w:pPr>
              <w:jc w:val="right"/>
              <w:rPr>
                <w:rFonts w:eastAsia="Times New Roman" w:cs="Times New Roman"/>
                <w:lang w:eastAsia="cs-CZ"/>
              </w:rPr>
            </w:pPr>
            <w:r>
              <w:rPr>
                <w:rFonts w:eastAsia="Times New Roman" w:cs="Times New Roman"/>
                <w:lang w:eastAsia="cs-CZ"/>
              </w:rPr>
              <w:t>3 071 822</w:t>
            </w:r>
          </w:p>
        </w:tc>
        <w:tc>
          <w:tcPr>
            <w:tcW w:w="565" w:type="pct"/>
            <w:shd w:val="clear" w:color="auto" w:fill="auto"/>
            <w:vAlign w:val="center"/>
          </w:tcPr>
          <w:p w:rsidR="00C83010" w:rsidRPr="0056719D" w:rsidRDefault="00C83010" w:rsidP="00903C73">
            <w:pPr>
              <w:jc w:val="right"/>
              <w:rPr>
                <w:rFonts w:eastAsia="Times New Roman" w:cs="Times New Roman"/>
                <w:lang w:eastAsia="cs-CZ"/>
              </w:rPr>
            </w:pPr>
            <w:r>
              <w:rPr>
                <w:rFonts w:eastAsia="Times New Roman" w:cs="Times New Roman"/>
                <w:lang w:eastAsia="cs-CZ"/>
              </w:rPr>
              <w:t>106,92</w:t>
            </w:r>
          </w:p>
        </w:tc>
      </w:tr>
    </w:tbl>
    <w:p w:rsidR="00C83010" w:rsidRPr="00C83010" w:rsidRDefault="00C83010" w:rsidP="00C83010">
      <w:pPr>
        <w:pStyle w:val="Styl1"/>
      </w:pPr>
      <w:bookmarkStart w:id="70" w:name="_Toc463338098"/>
      <w:bookmarkStart w:id="71" w:name="_Toc15293393"/>
      <w:r w:rsidRPr="00C83010">
        <w:t xml:space="preserve">V návrhu rozpočtu kapitoly 327 Ministerstvo dopravy pro rok 2021 jsou zařazeny neinvestiční transfery krajům a obcím. Tyto neinvestiční transfery jsou určeny k doplnění chybějících finančních zdrojů krajů a hl. m. Prahy na úhradu ztráty ze závazku veřejné služby ve veřejné drážní osobní dopravě ve výši 3 352 995 tis. Kč a na zvýšení ochrany měkkých cílů ve výši </w:t>
      </w:r>
      <w:r w:rsidRPr="00C83010">
        <w:br/>
        <w:t xml:space="preserve">2 500 tis. Kč.  </w:t>
      </w:r>
    </w:p>
    <w:p w:rsidR="00C83010" w:rsidRPr="00C83010" w:rsidRDefault="00C83010" w:rsidP="00C83010">
      <w:pPr>
        <w:pStyle w:val="Styl1"/>
      </w:pPr>
      <w:r w:rsidRPr="00C83010">
        <w:t xml:space="preserve">Dne 9. 3. 2016 vláda projednala a schválila usnesením č. 191 způsob financování regionální železniční dopravy po roce 2019. Zároveň uložila ministru dopravy připravit návrh právního zajištění spolufinancování regionální železniční dopravy. V návaznosti na tento úkol byl Ministerstvem dopravy předložen na schůzi vlády dne 20. července 2016 návrh Smlouvy o zajištění stabilního financování regionální železniční osobní dopravy, který byl schválen usnesením vlády č. 645/2016. </w:t>
      </w:r>
    </w:p>
    <w:p w:rsidR="00C83010" w:rsidRPr="00C83010" w:rsidRDefault="00C83010" w:rsidP="00C83010">
      <w:pPr>
        <w:pStyle w:val="Styl1"/>
      </w:pPr>
      <w:r w:rsidRPr="00C83010">
        <w:t>Změna způsobu financování (podílu) regionální železniční dopravy má dopad i na změnu poměru financování krajů a obcí (Praha).</w:t>
      </w:r>
    </w:p>
    <w:p w:rsidR="00C83010" w:rsidRPr="00C83010" w:rsidRDefault="00C83010" w:rsidP="00C83010">
      <w:pPr>
        <w:pStyle w:val="Styl1"/>
      </w:pPr>
      <w:r w:rsidRPr="00C83010">
        <w:t xml:space="preserve">Neinvestiční transfery krajům a obcím jsou pro rok 2021 rozpočtovány v částce </w:t>
      </w:r>
      <w:r>
        <w:rPr>
          <w:color w:val="FF0000"/>
        </w:rPr>
        <w:br/>
      </w:r>
      <w:r w:rsidRPr="00C83010">
        <w:t xml:space="preserve">3 352 995 tis. Kč, tj. navýšení o 226 152 tis. Kč oproti schválenému rozpočtu na rok 2020. Navržená výše prostředků odpovídá výdajům dohodnutým ve Smlouvě o zajištění stabilního financování regionální železniční osobní dopravy. </w:t>
      </w:r>
    </w:p>
    <w:p w:rsidR="00C83010" w:rsidRPr="0056719D" w:rsidRDefault="00C83010" w:rsidP="00C83010">
      <w:pPr>
        <w:pStyle w:val="Styl1"/>
      </w:pPr>
      <w:r w:rsidRPr="0056719D">
        <w:t>V souladu s usnesením vlády ze dne 24. července 2017 č. 527 k návrhu na zřízení dotačních programů za účelem zvýšení ochrany měkkých cílů jsou pro rok 2020 rozpočtovány prostředky ve výši 2 500 tis. Kč určené územním samosprávním celkům (krajům). V rámci daného dotačního programu budou poskytovány finanční prostředky na zajištění vzdělávání  a výcviku v oblasti zvýšení ochrany měkkých cílů v dopravě.</w:t>
      </w:r>
    </w:p>
    <w:p w:rsidR="00F23ED8" w:rsidRPr="004618BA" w:rsidRDefault="00F23ED8" w:rsidP="00F23ED8">
      <w:pPr>
        <w:keepNext/>
        <w:spacing w:before="240"/>
        <w:rPr>
          <w:rFonts w:eastAsia="Times New Roman" w:cs="Times New Roman"/>
          <w:b/>
          <w:bCs/>
          <w:sz w:val="20"/>
          <w:szCs w:val="20"/>
          <w:lang w:eastAsia="cs-CZ"/>
        </w:rPr>
      </w:pPr>
      <w:bookmarkStart w:id="72" w:name="_Toc54190952"/>
      <w:r w:rsidRPr="004618BA">
        <w:rPr>
          <w:rFonts w:eastAsia="Times New Roman" w:cs="Times New Roman"/>
          <w:b/>
          <w:bCs/>
          <w:sz w:val="20"/>
          <w:szCs w:val="20"/>
          <w:lang w:eastAsia="cs-CZ"/>
        </w:rPr>
        <w:lastRenderedPageBreak/>
        <w:t xml:space="preserve">Graf č. </w:t>
      </w:r>
      <w:r w:rsidRPr="004618BA">
        <w:rPr>
          <w:rFonts w:eastAsia="Times New Roman" w:cs="Times New Roman"/>
          <w:b/>
          <w:bCs/>
          <w:sz w:val="20"/>
          <w:szCs w:val="20"/>
          <w:lang w:eastAsia="cs-CZ"/>
        </w:rPr>
        <w:fldChar w:fldCharType="begin"/>
      </w:r>
      <w:r w:rsidRPr="004618BA">
        <w:rPr>
          <w:rFonts w:eastAsia="Times New Roman" w:cs="Times New Roman"/>
          <w:b/>
          <w:bCs/>
          <w:sz w:val="20"/>
          <w:szCs w:val="20"/>
          <w:lang w:eastAsia="cs-CZ"/>
        </w:rPr>
        <w:instrText xml:space="preserve"> SEQ Graf_č. \* ARABIC </w:instrText>
      </w:r>
      <w:r w:rsidRPr="004618BA">
        <w:rPr>
          <w:rFonts w:eastAsia="Times New Roman" w:cs="Times New Roman"/>
          <w:b/>
          <w:bCs/>
          <w:sz w:val="20"/>
          <w:szCs w:val="20"/>
          <w:lang w:eastAsia="cs-CZ"/>
        </w:rPr>
        <w:fldChar w:fldCharType="separate"/>
      </w:r>
      <w:r w:rsidR="006076E7">
        <w:rPr>
          <w:rFonts w:eastAsia="Times New Roman" w:cs="Times New Roman"/>
          <w:b/>
          <w:bCs/>
          <w:noProof/>
          <w:sz w:val="20"/>
          <w:szCs w:val="20"/>
          <w:lang w:eastAsia="cs-CZ"/>
        </w:rPr>
        <w:t>7</w:t>
      </w:r>
      <w:r w:rsidRPr="004618BA">
        <w:rPr>
          <w:rFonts w:eastAsia="Times New Roman" w:cs="Times New Roman"/>
          <w:b/>
          <w:bCs/>
          <w:sz w:val="20"/>
          <w:szCs w:val="20"/>
          <w:lang w:eastAsia="cs-CZ"/>
        </w:rPr>
        <w:fldChar w:fldCharType="end"/>
      </w:r>
      <w:r w:rsidRPr="004618BA">
        <w:rPr>
          <w:rFonts w:eastAsia="Times New Roman" w:cs="Times New Roman"/>
          <w:b/>
          <w:bCs/>
          <w:sz w:val="20"/>
          <w:szCs w:val="20"/>
          <w:lang w:eastAsia="cs-CZ"/>
        </w:rPr>
        <w:t>: Neinvestiční transfery veřejným rozpočtům územní úrovně (v tis. Kč)</w:t>
      </w:r>
      <w:bookmarkEnd w:id="70"/>
      <w:bookmarkEnd w:id="71"/>
      <w:bookmarkEnd w:id="72"/>
    </w:p>
    <w:p w:rsidR="00F23ED8" w:rsidRPr="00E24034" w:rsidRDefault="00F23ED8" w:rsidP="00E01950">
      <w:pPr>
        <w:pStyle w:val="Styl1"/>
        <w:rPr>
          <w:color w:val="FF0000"/>
        </w:rPr>
      </w:pPr>
      <w:r w:rsidRPr="00E24034">
        <w:rPr>
          <w:noProof/>
          <w:color w:val="FF0000"/>
        </w:rPr>
        <w:drawing>
          <wp:inline distT="0" distB="0" distL="0" distR="0" wp14:anchorId="77330A6E" wp14:editId="7C241C40">
            <wp:extent cx="5676900" cy="2695575"/>
            <wp:effectExtent l="0" t="0" r="0" b="9525"/>
            <wp:docPr id="11" name="Graf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57450B" w:rsidRPr="00CF4BB2" w:rsidRDefault="0057450B" w:rsidP="00F23ED8">
      <w:pPr>
        <w:pStyle w:val="Nadpis3"/>
      </w:pPr>
      <w:bookmarkStart w:id="73" w:name="_Toc53750574"/>
      <w:r w:rsidRPr="00CF4BB2">
        <w:t>Neinvestiční transfery neziskovým a podobným organizacím</w:t>
      </w:r>
      <w:bookmarkEnd w:id="68"/>
      <w:bookmarkEnd w:id="69"/>
      <w:bookmarkEnd w:id="73"/>
      <w:r w:rsidRPr="00CF4BB2">
        <w:t xml:space="preserve"> </w:t>
      </w:r>
    </w:p>
    <w:p w:rsidR="00F252D5" w:rsidRPr="00CF4BB2" w:rsidRDefault="00F252D5" w:rsidP="00F252D5">
      <w:pPr>
        <w:pStyle w:val="Titulek"/>
        <w:keepNext/>
      </w:pPr>
      <w:r w:rsidRPr="00CF4BB2">
        <w:t xml:space="preserve">Tabulka č. </w:t>
      </w:r>
      <w:r w:rsidRPr="00CF4BB2">
        <w:rPr>
          <w:noProof/>
        </w:rPr>
        <w:fldChar w:fldCharType="begin"/>
      </w:r>
      <w:r w:rsidRPr="00CF4BB2">
        <w:rPr>
          <w:noProof/>
        </w:rPr>
        <w:instrText xml:space="preserve"> SEQ Tabulka \* ARABIC </w:instrText>
      </w:r>
      <w:r w:rsidRPr="00CF4BB2">
        <w:rPr>
          <w:noProof/>
        </w:rPr>
        <w:fldChar w:fldCharType="separate"/>
      </w:r>
      <w:r w:rsidR="006076E7">
        <w:rPr>
          <w:noProof/>
        </w:rPr>
        <w:t>22</w:t>
      </w:r>
      <w:r w:rsidRPr="00CF4BB2">
        <w:rPr>
          <w:noProof/>
        </w:rPr>
        <w:fldChar w:fldCharType="end"/>
      </w:r>
      <w:r w:rsidRPr="00CF4BB2">
        <w:rPr>
          <w:noProof/>
        </w:rPr>
        <w:t xml:space="preserve"> Neinvestiční transfery neziskovým a podobným organizacím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457"/>
        <w:gridCol w:w="1338"/>
        <w:gridCol w:w="1257"/>
        <w:gridCol w:w="1123"/>
        <w:gridCol w:w="876"/>
      </w:tblGrid>
      <w:tr w:rsidR="00CF4BB2" w:rsidRPr="00576843" w:rsidTr="00CF4BB2">
        <w:tc>
          <w:tcPr>
            <w:tcW w:w="246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F4BB2" w:rsidRPr="005B1BBA" w:rsidRDefault="00CF4BB2" w:rsidP="00CF4BB2">
            <w:pPr>
              <w:jc w:val="center"/>
              <w:rPr>
                <w:rFonts w:eastAsia="Times New Roman" w:cs="Times New Roman"/>
                <w:b/>
                <w:szCs w:val="24"/>
                <w:lang w:eastAsia="cs-CZ"/>
              </w:rPr>
            </w:pPr>
            <w:r w:rsidRPr="005B1BBA">
              <w:rPr>
                <w:rFonts w:eastAsia="Times New Roman" w:cs="Times New Roman"/>
                <w:b/>
                <w:szCs w:val="24"/>
                <w:lang w:eastAsia="cs-CZ"/>
              </w:rPr>
              <w:t>Ukazatel</w:t>
            </w:r>
          </w:p>
        </w:tc>
        <w:tc>
          <w:tcPr>
            <w:tcW w:w="73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F4BB2" w:rsidRPr="005B1BBA" w:rsidRDefault="00CF4BB2" w:rsidP="00CF4BB2">
            <w:pPr>
              <w:jc w:val="center"/>
              <w:rPr>
                <w:rFonts w:eastAsia="Times New Roman" w:cs="Times New Roman"/>
                <w:b/>
                <w:szCs w:val="24"/>
                <w:lang w:eastAsia="cs-CZ"/>
              </w:rPr>
            </w:pPr>
            <w:r w:rsidRPr="005B1BBA">
              <w:rPr>
                <w:rFonts w:eastAsia="Times New Roman" w:cs="Times New Roman"/>
                <w:b/>
                <w:szCs w:val="24"/>
                <w:lang w:eastAsia="cs-CZ"/>
              </w:rPr>
              <w:t>Skutečnost</w:t>
            </w:r>
          </w:p>
          <w:p w:rsidR="00CF4BB2" w:rsidRPr="005B1BBA" w:rsidRDefault="00CF4BB2" w:rsidP="00CF4BB2">
            <w:pPr>
              <w:jc w:val="center"/>
              <w:rPr>
                <w:rFonts w:eastAsia="Times New Roman" w:cs="Times New Roman"/>
                <w:b/>
                <w:szCs w:val="24"/>
                <w:lang w:eastAsia="cs-CZ"/>
              </w:rPr>
            </w:pPr>
            <w:r w:rsidRPr="005B1BBA">
              <w:rPr>
                <w:rFonts w:eastAsia="Times New Roman" w:cs="Times New Roman"/>
                <w:b/>
                <w:szCs w:val="24"/>
                <w:lang w:eastAsia="cs-CZ"/>
              </w:rPr>
              <w:t>2019</w:t>
            </w:r>
          </w:p>
        </w:tc>
        <w:tc>
          <w:tcPr>
            <w:tcW w:w="69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F4BB2" w:rsidRPr="005B1BBA" w:rsidRDefault="00CF4BB2" w:rsidP="00CF4BB2">
            <w:pPr>
              <w:jc w:val="center"/>
              <w:rPr>
                <w:rFonts w:eastAsia="Times New Roman" w:cs="Times New Roman"/>
                <w:b/>
                <w:szCs w:val="24"/>
                <w:lang w:eastAsia="cs-CZ"/>
              </w:rPr>
            </w:pPr>
            <w:r w:rsidRPr="005B1BBA">
              <w:rPr>
                <w:rFonts w:eastAsia="Times New Roman" w:cs="Times New Roman"/>
                <w:b/>
                <w:szCs w:val="24"/>
                <w:lang w:eastAsia="cs-CZ"/>
              </w:rPr>
              <w:t>Schválený</w:t>
            </w:r>
          </w:p>
          <w:p w:rsidR="00CF4BB2" w:rsidRPr="005B1BBA" w:rsidRDefault="00CF4BB2" w:rsidP="00CF4BB2">
            <w:pPr>
              <w:jc w:val="center"/>
              <w:rPr>
                <w:rFonts w:eastAsia="Times New Roman" w:cs="Times New Roman"/>
                <w:b/>
                <w:szCs w:val="24"/>
                <w:lang w:eastAsia="cs-CZ"/>
              </w:rPr>
            </w:pPr>
            <w:r w:rsidRPr="005B1BBA">
              <w:rPr>
                <w:rFonts w:eastAsia="Times New Roman" w:cs="Times New Roman"/>
                <w:b/>
                <w:szCs w:val="24"/>
                <w:lang w:eastAsia="cs-CZ"/>
              </w:rPr>
              <w:t>rozpočet</w:t>
            </w:r>
          </w:p>
          <w:p w:rsidR="00CF4BB2" w:rsidRPr="005B1BBA" w:rsidRDefault="00CF4BB2" w:rsidP="00CF4BB2">
            <w:pPr>
              <w:jc w:val="center"/>
              <w:rPr>
                <w:rFonts w:eastAsia="Times New Roman" w:cs="Times New Roman"/>
                <w:b/>
                <w:szCs w:val="24"/>
                <w:lang w:eastAsia="cs-CZ"/>
              </w:rPr>
            </w:pPr>
            <w:r w:rsidRPr="005B1BBA">
              <w:rPr>
                <w:rFonts w:eastAsia="Times New Roman" w:cs="Times New Roman"/>
                <w:b/>
                <w:szCs w:val="24"/>
                <w:lang w:eastAsia="cs-CZ"/>
              </w:rPr>
              <w:t>2020</w:t>
            </w:r>
          </w:p>
        </w:tc>
        <w:tc>
          <w:tcPr>
            <w:tcW w:w="62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F4BB2" w:rsidRPr="005B1BBA" w:rsidRDefault="00CF4BB2" w:rsidP="00CF4BB2">
            <w:pPr>
              <w:jc w:val="center"/>
              <w:rPr>
                <w:rFonts w:eastAsia="Times New Roman" w:cs="Times New Roman"/>
                <w:b/>
                <w:szCs w:val="24"/>
                <w:lang w:eastAsia="cs-CZ"/>
              </w:rPr>
            </w:pPr>
            <w:r w:rsidRPr="005B1BBA">
              <w:rPr>
                <w:rFonts w:eastAsia="Times New Roman" w:cs="Times New Roman"/>
                <w:b/>
                <w:szCs w:val="24"/>
                <w:lang w:eastAsia="cs-CZ"/>
              </w:rPr>
              <w:t>Návrh</w:t>
            </w:r>
          </w:p>
          <w:p w:rsidR="00CF4BB2" w:rsidRPr="005B1BBA" w:rsidRDefault="00CF4BB2" w:rsidP="00CF4BB2">
            <w:pPr>
              <w:jc w:val="center"/>
              <w:rPr>
                <w:rFonts w:eastAsia="Times New Roman" w:cs="Times New Roman"/>
                <w:b/>
                <w:szCs w:val="24"/>
                <w:lang w:eastAsia="cs-CZ"/>
              </w:rPr>
            </w:pPr>
            <w:r w:rsidRPr="005B1BBA">
              <w:rPr>
                <w:rFonts w:eastAsia="Times New Roman" w:cs="Times New Roman"/>
                <w:b/>
                <w:szCs w:val="24"/>
                <w:lang w:eastAsia="cs-CZ"/>
              </w:rPr>
              <w:t>rozpočtu</w:t>
            </w:r>
          </w:p>
          <w:p w:rsidR="00CF4BB2" w:rsidRPr="005B1BBA" w:rsidRDefault="00CF4BB2" w:rsidP="00CF4BB2">
            <w:pPr>
              <w:jc w:val="center"/>
              <w:rPr>
                <w:rFonts w:eastAsia="Times New Roman" w:cs="Times New Roman"/>
                <w:b/>
                <w:szCs w:val="24"/>
                <w:lang w:eastAsia="cs-CZ"/>
              </w:rPr>
            </w:pPr>
            <w:r w:rsidRPr="005B1BBA">
              <w:rPr>
                <w:rFonts w:eastAsia="Times New Roman" w:cs="Times New Roman"/>
                <w:b/>
                <w:szCs w:val="24"/>
                <w:lang w:eastAsia="cs-CZ"/>
              </w:rPr>
              <w:t>2021</w:t>
            </w:r>
          </w:p>
        </w:tc>
        <w:tc>
          <w:tcPr>
            <w:tcW w:w="48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CF4BB2" w:rsidRPr="005B1BBA" w:rsidRDefault="00CF4BB2" w:rsidP="00CF4BB2">
            <w:pPr>
              <w:jc w:val="center"/>
              <w:rPr>
                <w:rFonts w:eastAsia="Times New Roman" w:cs="Times New Roman"/>
                <w:b/>
                <w:szCs w:val="24"/>
                <w:lang w:eastAsia="cs-CZ"/>
              </w:rPr>
            </w:pPr>
            <w:r w:rsidRPr="005B1BBA">
              <w:rPr>
                <w:rFonts w:eastAsia="Times New Roman" w:cs="Times New Roman"/>
                <w:b/>
                <w:szCs w:val="24"/>
                <w:lang w:eastAsia="cs-CZ"/>
              </w:rPr>
              <w:t>Index</w:t>
            </w:r>
          </w:p>
          <w:p w:rsidR="00CF4BB2" w:rsidRPr="005B1BBA" w:rsidRDefault="00CF4BB2" w:rsidP="00CF4BB2">
            <w:pPr>
              <w:jc w:val="center"/>
              <w:rPr>
                <w:rFonts w:eastAsia="Times New Roman" w:cs="Times New Roman"/>
                <w:b/>
                <w:szCs w:val="24"/>
                <w:lang w:eastAsia="cs-CZ"/>
              </w:rPr>
            </w:pPr>
            <w:r w:rsidRPr="005B1BBA">
              <w:rPr>
                <w:rFonts w:eastAsia="Times New Roman" w:cs="Times New Roman"/>
                <w:b/>
                <w:szCs w:val="24"/>
                <w:lang w:eastAsia="cs-CZ"/>
              </w:rPr>
              <w:t>2021/</w:t>
            </w:r>
            <w:r w:rsidRPr="005B1BBA">
              <w:rPr>
                <w:rFonts w:eastAsia="Times New Roman" w:cs="Times New Roman"/>
                <w:b/>
                <w:szCs w:val="24"/>
                <w:lang w:eastAsia="cs-CZ"/>
              </w:rPr>
              <w:br/>
              <w:t xml:space="preserve">2020 </w:t>
            </w:r>
            <w:r w:rsidRPr="005B1BBA">
              <w:rPr>
                <w:rFonts w:eastAsia="Times New Roman" w:cs="Times New Roman"/>
                <w:b/>
                <w:szCs w:val="24"/>
                <w:lang w:eastAsia="cs-CZ"/>
              </w:rPr>
              <w:br/>
              <w:t>(v %)</w:t>
            </w:r>
          </w:p>
        </w:tc>
      </w:tr>
      <w:tr w:rsidR="00CF4BB2" w:rsidRPr="00576843" w:rsidTr="00CF4BB2">
        <w:tc>
          <w:tcPr>
            <w:tcW w:w="2462" w:type="pct"/>
            <w:tcBorders>
              <w:top w:val="single" w:sz="4" w:space="0" w:color="7F7F7F" w:themeColor="text1" w:themeTint="80"/>
              <w:bottom w:val="single" w:sz="8" w:space="0" w:color="7F7F7F" w:themeColor="text1" w:themeTint="80"/>
            </w:tcBorders>
            <w:shd w:val="clear" w:color="auto" w:fill="auto"/>
          </w:tcPr>
          <w:p w:rsidR="00CF4BB2" w:rsidRPr="005B1BBA" w:rsidRDefault="00CF4BB2" w:rsidP="00CF4BB2">
            <w:pPr>
              <w:jc w:val="center"/>
              <w:rPr>
                <w:rFonts w:eastAsia="Times New Roman" w:cs="Times New Roman"/>
                <w:szCs w:val="24"/>
                <w:lang w:eastAsia="cs-CZ"/>
              </w:rPr>
            </w:pPr>
            <w:r w:rsidRPr="005B1BBA">
              <w:rPr>
                <w:rFonts w:eastAsia="Times New Roman" w:cs="Times New Roman"/>
                <w:szCs w:val="24"/>
                <w:lang w:eastAsia="cs-CZ"/>
              </w:rPr>
              <w:t>a</w:t>
            </w:r>
          </w:p>
        </w:tc>
        <w:tc>
          <w:tcPr>
            <w:tcW w:w="739" w:type="pct"/>
            <w:tcBorders>
              <w:top w:val="single" w:sz="4" w:space="0" w:color="7F7F7F" w:themeColor="text1" w:themeTint="80"/>
              <w:bottom w:val="single" w:sz="8" w:space="0" w:color="7F7F7F" w:themeColor="text1" w:themeTint="80"/>
            </w:tcBorders>
            <w:shd w:val="clear" w:color="auto" w:fill="auto"/>
          </w:tcPr>
          <w:p w:rsidR="00CF4BB2" w:rsidRPr="005B1BBA" w:rsidRDefault="00CF4BB2" w:rsidP="00CF4BB2">
            <w:pPr>
              <w:jc w:val="center"/>
              <w:rPr>
                <w:rFonts w:eastAsia="Times New Roman" w:cs="Times New Roman"/>
                <w:szCs w:val="24"/>
                <w:lang w:eastAsia="cs-CZ"/>
              </w:rPr>
            </w:pPr>
            <w:r w:rsidRPr="005B1BBA">
              <w:rPr>
                <w:rFonts w:eastAsia="Times New Roman" w:cs="Times New Roman"/>
                <w:szCs w:val="24"/>
                <w:lang w:eastAsia="cs-CZ"/>
              </w:rPr>
              <w:t>1</w:t>
            </w:r>
          </w:p>
        </w:tc>
        <w:tc>
          <w:tcPr>
            <w:tcW w:w="694" w:type="pct"/>
            <w:tcBorders>
              <w:top w:val="single" w:sz="4" w:space="0" w:color="7F7F7F" w:themeColor="text1" w:themeTint="80"/>
              <w:bottom w:val="single" w:sz="8" w:space="0" w:color="7F7F7F" w:themeColor="text1" w:themeTint="80"/>
            </w:tcBorders>
            <w:shd w:val="clear" w:color="auto" w:fill="auto"/>
          </w:tcPr>
          <w:p w:rsidR="00CF4BB2" w:rsidRPr="005B1BBA" w:rsidRDefault="00CF4BB2" w:rsidP="00CF4BB2">
            <w:pPr>
              <w:jc w:val="center"/>
              <w:rPr>
                <w:rFonts w:eastAsia="Times New Roman" w:cs="Times New Roman"/>
                <w:szCs w:val="24"/>
                <w:lang w:eastAsia="cs-CZ"/>
              </w:rPr>
            </w:pPr>
            <w:r w:rsidRPr="005B1BBA">
              <w:rPr>
                <w:rFonts w:eastAsia="Times New Roman" w:cs="Times New Roman"/>
                <w:szCs w:val="24"/>
                <w:lang w:eastAsia="cs-CZ"/>
              </w:rPr>
              <w:t>2</w:t>
            </w:r>
          </w:p>
        </w:tc>
        <w:tc>
          <w:tcPr>
            <w:tcW w:w="620" w:type="pct"/>
            <w:tcBorders>
              <w:top w:val="single" w:sz="4" w:space="0" w:color="7F7F7F" w:themeColor="text1" w:themeTint="80"/>
              <w:bottom w:val="single" w:sz="8" w:space="0" w:color="7F7F7F" w:themeColor="text1" w:themeTint="80"/>
            </w:tcBorders>
            <w:shd w:val="clear" w:color="auto" w:fill="auto"/>
          </w:tcPr>
          <w:p w:rsidR="00CF4BB2" w:rsidRPr="005B1BBA" w:rsidRDefault="00CF4BB2" w:rsidP="00CF4BB2">
            <w:pPr>
              <w:jc w:val="center"/>
              <w:rPr>
                <w:rFonts w:eastAsia="Times New Roman" w:cs="Times New Roman"/>
                <w:szCs w:val="24"/>
                <w:lang w:eastAsia="cs-CZ"/>
              </w:rPr>
            </w:pPr>
            <w:r w:rsidRPr="005B1BBA">
              <w:rPr>
                <w:rFonts w:eastAsia="Times New Roman" w:cs="Times New Roman"/>
                <w:szCs w:val="24"/>
                <w:lang w:eastAsia="cs-CZ"/>
              </w:rPr>
              <w:t>3</w:t>
            </w:r>
          </w:p>
        </w:tc>
        <w:tc>
          <w:tcPr>
            <w:tcW w:w="484" w:type="pct"/>
            <w:tcBorders>
              <w:top w:val="single" w:sz="4" w:space="0" w:color="7F7F7F" w:themeColor="text1" w:themeTint="80"/>
              <w:bottom w:val="single" w:sz="8" w:space="0" w:color="7F7F7F" w:themeColor="text1" w:themeTint="80"/>
            </w:tcBorders>
            <w:shd w:val="clear" w:color="auto" w:fill="auto"/>
          </w:tcPr>
          <w:p w:rsidR="00CF4BB2" w:rsidRPr="005B1BBA" w:rsidRDefault="00CF4BB2" w:rsidP="00CF4BB2">
            <w:pPr>
              <w:jc w:val="center"/>
              <w:rPr>
                <w:rFonts w:eastAsia="Times New Roman" w:cs="Times New Roman"/>
                <w:szCs w:val="24"/>
                <w:lang w:eastAsia="cs-CZ"/>
              </w:rPr>
            </w:pPr>
            <w:r w:rsidRPr="005B1BBA">
              <w:rPr>
                <w:rFonts w:eastAsia="Times New Roman" w:cs="Times New Roman"/>
                <w:szCs w:val="24"/>
                <w:lang w:eastAsia="cs-CZ"/>
              </w:rPr>
              <w:t>4</w:t>
            </w:r>
          </w:p>
        </w:tc>
      </w:tr>
      <w:tr w:rsidR="00CF4BB2" w:rsidRPr="00576843" w:rsidTr="00CF4BB2">
        <w:tc>
          <w:tcPr>
            <w:tcW w:w="2462" w:type="pct"/>
            <w:tcBorders>
              <w:top w:val="single" w:sz="8" w:space="0" w:color="7F7F7F" w:themeColor="text1" w:themeTint="80"/>
              <w:bottom w:val="single" w:sz="8" w:space="0" w:color="7F7F7F" w:themeColor="text1" w:themeTint="80"/>
            </w:tcBorders>
            <w:shd w:val="clear" w:color="auto" w:fill="auto"/>
          </w:tcPr>
          <w:p w:rsidR="00CF4BB2" w:rsidRPr="005B1BBA" w:rsidRDefault="00CF4BB2" w:rsidP="00CF4BB2">
            <w:pPr>
              <w:rPr>
                <w:rFonts w:eastAsia="Times New Roman" w:cs="Times New Roman"/>
                <w:b/>
                <w:lang w:eastAsia="cs-CZ"/>
              </w:rPr>
            </w:pPr>
            <w:r w:rsidRPr="005B1BBA">
              <w:rPr>
                <w:rFonts w:eastAsia="Times New Roman" w:cs="Times New Roman"/>
                <w:b/>
                <w:lang w:eastAsia="cs-CZ"/>
              </w:rPr>
              <w:t xml:space="preserve">Neziskové a podobné organizace </w:t>
            </w:r>
            <w:r w:rsidRPr="005B1BBA">
              <w:rPr>
                <w:rFonts w:eastAsia="Times New Roman" w:cs="Times New Roman"/>
                <w:lang w:eastAsia="cs-CZ"/>
              </w:rPr>
              <w:t>v tom:</w:t>
            </w:r>
          </w:p>
        </w:tc>
        <w:tc>
          <w:tcPr>
            <w:tcW w:w="739" w:type="pct"/>
            <w:tcBorders>
              <w:top w:val="single" w:sz="8" w:space="0" w:color="7F7F7F" w:themeColor="text1" w:themeTint="80"/>
              <w:bottom w:val="single" w:sz="8" w:space="0" w:color="7F7F7F" w:themeColor="text1" w:themeTint="80"/>
            </w:tcBorders>
            <w:shd w:val="clear" w:color="auto" w:fill="auto"/>
            <w:vAlign w:val="center"/>
          </w:tcPr>
          <w:p w:rsidR="00CF4BB2" w:rsidRPr="005B1BBA" w:rsidRDefault="00CF4BB2" w:rsidP="00CF4BB2">
            <w:pPr>
              <w:jc w:val="right"/>
              <w:rPr>
                <w:rFonts w:eastAsia="Times New Roman" w:cs="Times New Roman"/>
                <w:b/>
                <w:lang w:eastAsia="cs-CZ"/>
              </w:rPr>
            </w:pPr>
            <w:r w:rsidRPr="005B1BBA">
              <w:rPr>
                <w:rFonts w:eastAsia="Times New Roman" w:cs="Times New Roman"/>
                <w:b/>
                <w:lang w:eastAsia="cs-CZ"/>
              </w:rPr>
              <w:t>12 462</w:t>
            </w:r>
          </w:p>
        </w:tc>
        <w:tc>
          <w:tcPr>
            <w:tcW w:w="694" w:type="pct"/>
            <w:tcBorders>
              <w:top w:val="single" w:sz="8" w:space="0" w:color="7F7F7F" w:themeColor="text1" w:themeTint="80"/>
              <w:bottom w:val="single" w:sz="8" w:space="0" w:color="7F7F7F" w:themeColor="text1" w:themeTint="80"/>
            </w:tcBorders>
            <w:shd w:val="clear" w:color="auto" w:fill="auto"/>
            <w:vAlign w:val="center"/>
          </w:tcPr>
          <w:p w:rsidR="00CF4BB2" w:rsidRPr="005B1BBA" w:rsidRDefault="00CF4BB2" w:rsidP="00CF4BB2">
            <w:pPr>
              <w:jc w:val="right"/>
              <w:rPr>
                <w:rFonts w:eastAsia="Times New Roman" w:cs="Times New Roman"/>
                <w:b/>
                <w:lang w:eastAsia="cs-CZ"/>
              </w:rPr>
            </w:pPr>
            <w:r w:rsidRPr="005B1BBA">
              <w:rPr>
                <w:rFonts w:eastAsia="Times New Roman" w:cs="Times New Roman"/>
                <w:b/>
                <w:lang w:eastAsia="cs-CZ"/>
              </w:rPr>
              <w:t>9 600</w:t>
            </w:r>
          </w:p>
        </w:tc>
        <w:tc>
          <w:tcPr>
            <w:tcW w:w="620" w:type="pct"/>
            <w:tcBorders>
              <w:top w:val="single" w:sz="8" w:space="0" w:color="7F7F7F" w:themeColor="text1" w:themeTint="80"/>
              <w:bottom w:val="single" w:sz="8" w:space="0" w:color="7F7F7F" w:themeColor="text1" w:themeTint="80"/>
            </w:tcBorders>
            <w:shd w:val="clear" w:color="auto" w:fill="auto"/>
            <w:vAlign w:val="center"/>
          </w:tcPr>
          <w:p w:rsidR="00CF4BB2" w:rsidRPr="00967889" w:rsidRDefault="00CF4BB2" w:rsidP="00CF4BB2">
            <w:pPr>
              <w:jc w:val="right"/>
              <w:rPr>
                <w:rFonts w:eastAsia="Times New Roman" w:cs="Times New Roman"/>
                <w:b/>
                <w:lang w:eastAsia="cs-CZ"/>
              </w:rPr>
            </w:pPr>
            <w:r w:rsidRPr="00967889">
              <w:rPr>
                <w:rFonts w:eastAsia="Times New Roman" w:cs="Times New Roman"/>
                <w:b/>
                <w:lang w:eastAsia="cs-CZ"/>
              </w:rPr>
              <w:t>8 900</w:t>
            </w:r>
          </w:p>
        </w:tc>
        <w:tc>
          <w:tcPr>
            <w:tcW w:w="484" w:type="pct"/>
            <w:tcBorders>
              <w:top w:val="single" w:sz="8" w:space="0" w:color="7F7F7F" w:themeColor="text1" w:themeTint="80"/>
              <w:bottom w:val="single" w:sz="8" w:space="0" w:color="7F7F7F" w:themeColor="text1" w:themeTint="80"/>
            </w:tcBorders>
            <w:shd w:val="clear" w:color="auto" w:fill="auto"/>
            <w:vAlign w:val="center"/>
          </w:tcPr>
          <w:p w:rsidR="00CF4BB2" w:rsidRPr="00967889" w:rsidRDefault="00CF4BB2" w:rsidP="00CF4BB2">
            <w:pPr>
              <w:jc w:val="right"/>
              <w:rPr>
                <w:rFonts w:eastAsia="Times New Roman" w:cs="Times New Roman"/>
                <w:b/>
                <w:lang w:eastAsia="cs-CZ"/>
              </w:rPr>
            </w:pPr>
            <w:r w:rsidRPr="00967889">
              <w:rPr>
                <w:rFonts w:eastAsia="Times New Roman" w:cs="Times New Roman"/>
                <w:b/>
                <w:lang w:eastAsia="cs-CZ"/>
              </w:rPr>
              <w:t>92,71</w:t>
            </w:r>
          </w:p>
        </w:tc>
      </w:tr>
      <w:tr w:rsidR="00CF4BB2" w:rsidRPr="00576843" w:rsidTr="00CF4BB2">
        <w:tc>
          <w:tcPr>
            <w:tcW w:w="2462" w:type="pct"/>
            <w:tcBorders>
              <w:top w:val="single" w:sz="8" w:space="0" w:color="7F7F7F" w:themeColor="text1" w:themeTint="80"/>
              <w:bottom w:val="nil"/>
            </w:tcBorders>
            <w:shd w:val="clear" w:color="auto" w:fill="auto"/>
          </w:tcPr>
          <w:p w:rsidR="00CF4BB2" w:rsidRPr="005B1BBA" w:rsidRDefault="00CF4BB2" w:rsidP="00CF4BB2">
            <w:pPr>
              <w:rPr>
                <w:rFonts w:eastAsia="Times New Roman" w:cs="Times New Roman"/>
                <w:lang w:eastAsia="cs-CZ"/>
              </w:rPr>
            </w:pPr>
            <w:r w:rsidRPr="005B1BBA">
              <w:rPr>
                <w:rFonts w:eastAsia="Times New Roman" w:cs="Times New Roman"/>
                <w:lang w:eastAsia="cs-CZ"/>
              </w:rPr>
              <w:t>Spolky</w:t>
            </w:r>
          </w:p>
        </w:tc>
        <w:tc>
          <w:tcPr>
            <w:tcW w:w="739" w:type="pct"/>
            <w:tcBorders>
              <w:top w:val="single" w:sz="8" w:space="0" w:color="7F7F7F" w:themeColor="text1" w:themeTint="80"/>
              <w:bottom w:val="nil"/>
            </w:tcBorders>
            <w:shd w:val="clear" w:color="auto" w:fill="auto"/>
            <w:vAlign w:val="center"/>
          </w:tcPr>
          <w:p w:rsidR="00CF4BB2" w:rsidRPr="005B1BBA" w:rsidRDefault="00CF4BB2" w:rsidP="00CF4BB2">
            <w:pPr>
              <w:jc w:val="right"/>
              <w:rPr>
                <w:rFonts w:eastAsia="Times New Roman" w:cs="Times New Roman"/>
                <w:lang w:eastAsia="cs-CZ"/>
              </w:rPr>
            </w:pPr>
            <w:r w:rsidRPr="005B1BBA">
              <w:rPr>
                <w:rFonts w:eastAsia="Times New Roman" w:cs="Times New Roman"/>
                <w:lang w:eastAsia="cs-CZ"/>
              </w:rPr>
              <w:t>11 616</w:t>
            </w:r>
          </w:p>
        </w:tc>
        <w:tc>
          <w:tcPr>
            <w:tcW w:w="694" w:type="pct"/>
            <w:tcBorders>
              <w:top w:val="single" w:sz="8" w:space="0" w:color="7F7F7F" w:themeColor="text1" w:themeTint="80"/>
              <w:bottom w:val="nil"/>
            </w:tcBorders>
            <w:shd w:val="clear" w:color="auto" w:fill="auto"/>
            <w:vAlign w:val="center"/>
          </w:tcPr>
          <w:p w:rsidR="00CF4BB2" w:rsidRPr="005B1BBA" w:rsidRDefault="00CF4BB2" w:rsidP="00CF4BB2">
            <w:pPr>
              <w:jc w:val="right"/>
              <w:rPr>
                <w:rFonts w:eastAsia="Times New Roman" w:cs="Times New Roman"/>
                <w:lang w:eastAsia="cs-CZ"/>
              </w:rPr>
            </w:pPr>
            <w:r w:rsidRPr="005B1BBA">
              <w:rPr>
                <w:rFonts w:eastAsia="Times New Roman" w:cs="Times New Roman"/>
                <w:lang w:eastAsia="cs-CZ"/>
              </w:rPr>
              <w:t>9 600</w:t>
            </w:r>
          </w:p>
        </w:tc>
        <w:tc>
          <w:tcPr>
            <w:tcW w:w="620" w:type="pct"/>
            <w:tcBorders>
              <w:top w:val="single" w:sz="8" w:space="0" w:color="7F7F7F" w:themeColor="text1" w:themeTint="80"/>
              <w:bottom w:val="nil"/>
            </w:tcBorders>
            <w:shd w:val="clear" w:color="auto" w:fill="auto"/>
            <w:vAlign w:val="center"/>
          </w:tcPr>
          <w:p w:rsidR="00CF4BB2" w:rsidRPr="00967889" w:rsidRDefault="00CF4BB2" w:rsidP="00CF4BB2">
            <w:pPr>
              <w:jc w:val="right"/>
              <w:rPr>
                <w:rFonts w:eastAsia="Times New Roman" w:cs="Times New Roman"/>
                <w:lang w:eastAsia="cs-CZ"/>
              </w:rPr>
            </w:pPr>
            <w:r w:rsidRPr="00967889">
              <w:rPr>
                <w:rFonts w:eastAsia="Times New Roman" w:cs="Times New Roman"/>
                <w:lang w:eastAsia="cs-CZ"/>
              </w:rPr>
              <w:t>8 900</w:t>
            </w:r>
          </w:p>
        </w:tc>
        <w:tc>
          <w:tcPr>
            <w:tcW w:w="484" w:type="pct"/>
            <w:tcBorders>
              <w:top w:val="single" w:sz="8" w:space="0" w:color="7F7F7F" w:themeColor="text1" w:themeTint="80"/>
              <w:bottom w:val="nil"/>
            </w:tcBorders>
            <w:shd w:val="clear" w:color="auto" w:fill="auto"/>
            <w:vAlign w:val="center"/>
          </w:tcPr>
          <w:p w:rsidR="00CF4BB2" w:rsidRPr="00967889" w:rsidRDefault="00CF4BB2" w:rsidP="00CF4BB2">
            <w:pPr>
              <w:jc w:val="right"/>
              <w:rPr>
                <w:rFonts w:eastAsia="Times New Roman" w:cs="Times New Roman"/>
                <w:lang w:eastAsia="cs-CZ"/>
              </w:rPr>
            </w:pPr>
            <w:r w:rsidRPr="00967889">
              <w:rPr>
                <w:rFonts w:eastAsia="Times New Roman" w:cs="Times New Roman"/>
                <w:lang w:eastAsia="cs-CZ"/>
              </w:rPr>
              <w:t>92,71</w:t>
            </w:r>
          </w:p>
        </w:tc>
      </w:tr>
      <w:tr w:rsidR="00CF4BB2" w:rsidRPr="00576843" w:rsidTr="00CF4BB2">
        <w:tc>
          <w:tcPr>
            <w:tcW w:w="2462" w:type="pct"/>
            <w:tcBorders>
              <w:top w:val="nil"/>
              <w:bottom w:val="single" w:sz="4" w:space="0" w:color="7F7F7F" w:themeColor="text1" w:themeTint="80"/>
            </w:tcBorders>
            <w:shd w:val="clear" w:color="auto" w:fill="auto"/>
          </w:tcPr>
          <w:p w:rsidR="00CF4BB2" w:rsidRPr="005B1BBA" w:rsidRDefault="00CF4BB2" w:rsidP="00A34DBA">
            <w:pPr>
              <w:jc w:val="left"/>
              <w:rPr>
                <w:rFonts w:eastAsia="Times New Roman" w:cs="Times New Roman"/>
                <w:i/>
                <w:lang w:eastAsia="cs-CZ"/>
              </w:rPr>
            </w:pPr>
            <w:r w:rsidRPr="005B1BBA">
              <w:rPr>
                <w:rFonts w:eastAsia="Times New Roman" w:cs="Times New Roman"/>
                <w:lang w:eastAsia="cs-CZ"/>
              </w:rPr>
              <w:t xml:space="preserve"> </w:t>
            </w:r>
            <w:r w:rsidRPr="005B1BBA">
              <w:rPr>
                <w:rFonts w:eastAsia="Times New Roman" w:cs="Times New Roman"/>
                <w:i/>
                <w:lang w:eastAsia="cs-CZ"/>
              </w:rPr>
              <w:t>z toho: programové financování (EDS/SMVS)</w:t>
            </w:r>
          </w:p>
        </w:tc>
        <w:tc>
          <w:tcPr>
            <w:tcW w:w="739" w:type="pct"/>
            <w:tcBorders>
              <w:top w:val="nil"/>
              <w:bottom w:val="single" w:sz="4" w:space="0" w:color="7F7F7F" w:themeColor="text1" w:themeTint="80"/>
            </w:tcBorders>
            <w:shd w:val="clear" w:color="auto" w:fill="auto"/>
            <w:vAlign w:val="center"/>
          </w:tcPr>
          <w:p w:rsidR="00CF4BB2" w:rsidRPr="00576843" w:rsidRDefault="00CF4BB2" w:rsidP="00CF4BB2">
            <w:pPr>
              <w:jc w:val="right"/>
              <w:rPr>
                <w:rFonts w:eastAsia="Times New Roman" w:cs="Times New Roman"/>
                <w:i/>
                <w:color w:val="FF0000"/>
                <w:lang w:eastAsia="cs-CZ"/>
              </w:rPr>
            </w:pPr>
            <w:r w:rsidRPr="005B1BBA">
              <w:rPr>
                <w:rFonts w:eastAsia="Times New Roman" w:cs="Times New Roman"/>
                <w:i/>
                <w:lang w:eastAsia="cs-CZ"/>
              </w:rPr>
              <w:t>2 016</w:t>
            </w:r>
          </w:p>
        </w:tc>
        <w:tc>
          <w:tcPr>
            <w:tcW w:w="694" w:type="pct"/>
            <w:tcBorders>
              <w:top w:val="nil"/>
              <w:bottom w:val="single" w:sz="4" w:space="0" w:color="7F7F7F" w:themeColor="text1" w:themeTint="80"/>
            </w:tcBorders>
            <w:shd w:val="clear" w:color="auto" w:fill="auto"/>
            <w:vAlign w:val="center"/>
          </w:tcPr>
          <w:p w:rsidR="00CF4BB2" w:rsidRPr="005B1BBA" w:rsidRDefault="00CF4BB2" w:rsidP="00CF4BB2">
            <w:pPr>
              <w:jc w:val="right"/>
              <w:rPr>
                <w:rFonts w:eastAsia="Times New Roman" w:cs="Times New Roman"/>
                <w:i/>
                <w:lang w:eastAsia="cs-CZ"/>
              </w:rPr>
            </w:pPr>
            <w:r w:rsidRPr="005B1BBA">
              <w:rPr>
                <w:rFonts w:eastAsia="Times New Roman" w:cs="Times New Roman"/>
                <w:i/>
                <w:lang w:eastAsia="cs-CZ"/>
              </w:rPr>
              <w:t>0</w:t>
            </w:r>
          </w:p>
        </w:tc>
        <w:tc>
          <w:tcPr>
            <w:tcW w:w="620" w:type="pct"/>
            <w:tcBorders>
              <w:top w:val="nil"/>
              <w:bottom w:val="single" w:sz="4" w:space="0" w:color="7F7F7F" w:themeColor="text1" w:themeTint="80"/>
            </w:tcBorders>
            <w:shd w:val="clear" w:color="auto" w:fill="auto"/>
            <w:vAlign w:val="center"/>
          </w:tcPr>
          <w:p w:rsidR="00CF4BB2" w:rsidRPr="00967889" w:rsidRDefault="00CF4BB2" w:rsidP="00CF4BB2">
            <w:pPr>
              <w:jc w:val="right"/>
              <w:rPr>
                <w:rFonts w:eastAsia="Times New Roman" w:cs="Times New Roman"/>
                <w:i/>
                <w:lang w:eastAsia="cs-CZ"/>
              </w:rPr>
            </w:pPr>
            <w:r w:rsidRPr="00967889">
              <w:rPr>
                <w:rFonts w:eastAsia="Times New Roman" w:cs="Times New Roman"/>
                <w:i/>
                <w:lang w:eastAsia="cs-CZ"/>
              </w:rPr>
              <w:t>0</w:t>
            </w:r>
          </w:p>
        </w:tc>
        <w:tc>
          <w:tcPr>
            <w:tcW w:w="484" w:type="pct"/>
            <w:tcBorders>
              <w:top w:val="nil"/>
              <w:bottom w:val="single" w:sz="4" w:space="0" w:color="7F7F7F" w:themeColor="text1" w:themeTint="80"/>
            </w:tcBorders>
            <w:shd w:val="clear" w:color="auto" w:fill="auto"/>
            <w:vAlign w:val="center"/>
          </w:tcPr>
          <w:p w:rsidR="00CF4BB2" w:rsidRPr="00967889" w:rsidRDefault="00CF4BB2" w:rsidP="00CF4BB2">
            <w:pPr>
              <w:jc w:val="right"/>
              <w:rPr>
                <w:rFonts w:eastAsia="Times New Roman" w:cs="Times New Roman"/>
                <w:i/>
                <w:lang w:eastAsia="cs-CZ"/>
              </w:rPr>
            </w:pPr>
            <w:r w:rsidRPr="00967889">
              <w:rPr>
                <w:rFonts w:eastAsia="Times New Roman" w:cs="Times New Roman"/>
                <w:i/>
                <w:lang w:eastAsia="cs-CZ"/>
              </w:rPr>
              <w:t>x</w:t>
            </w:r>
          </w:p>
        </w:tc>
      </w:tr>
      <w:tr w:rsidR="00CF4BB2" w:rsidRPr="00576843" w:rsidTr="00CF4BB2">
        <w:tc>
          <w:tcPr>
            <w:tcW w:w="2462" w:type="pct"/>
            <w:tcBorders>
              <w:top w:val="single" w:sz="4" w:space="0" w:color="7F7F7F" w:themeColor="text1" w:themeTint="80"/>
              <w:bottom w:val="nil"/>
            </w:tcBorders>
            <w:shd w:val="clear" w:color="auto" w:fill="auto"/>
          </w:tcPr>
          <w:p w:rsidR="00CF4BB2" w:rsidRPr="005B1BBA" w:rsidRDefault="00CF4BB2" w:rsidP="00CF4BB2">
            <w:pPr>
              <w:rPr>
                <w:rFonts w:eastAsia="Times New Roman" w:cs="Times New Roman"/>
                <w:lang w:eastAsia="cs-CZ"/>
              </w:rPr>
            </w:pPr>
            <w:r w:rsidRPr="005B1BBA">
              <w:rPr>
                <w:rFonts w:eastAsia="Times New Roman" w:cs="Times New Roman"/>
                <w:lang w:eastAsia="cs-CZ"/>
              </w:rPr>
              <w:t>Obecně prospěšné společnosti</w:t>
            </w:r>
          </w:p>
        </w:tc>
        <w:tc>
          <w:tcPr>
            <w:tcW w:w="739" w:type="pct"/>
            <w:tcBorders>
              <w:top w:val="single" w:sz="4" w:space="0" w:color="7F7F7F" w:themeColor="text1" w:themeTint="80"/>
              <w:bottom w:val="nil"/>
            </w:tcBorders>
            <w:shd w:val="clear" w:color="auto" w:fill="auto"/>
            <w:vAlign w:val="center"/>
          </w:tcPr>
          <w:p w:rsidR="00CF4BB2" w:rsidRPr="00576843" w:rsidRDefault="00CF4BB2" w:rsidP="00CF4BB2">
            <w:pPr>
              <w:jc w:val="right"/>
              <w:rPr>
                <w:rFonts w:eastAsia="Times New Roman" w:cs="Times New Roman"/>
                <w:color w:val="FF0000"/>
                <w:lang w:eastAsia="cs-CZ"/>
              </w:rPr>
            </w:pPr>
            <w:r w:rsidRPr="005B1BBA">
              <w:rPr>
                <w:rFonts w:eastAsia="Times New Roman" w:cs="Times New Roman"/>
                <w:lang w:eastAsia="cs-CZ"/>
              </w:rPr>
              <w:t>846</w:t>
            </w:r>
          </w:p>
        </w:tc>
        <w:tc>
          <w:tcPr>
            <w:tcW w:w="694" w:type="pct"/>
            <w:tcBorders>
              <w:top w:val="single" w:sz="4" w:space="0" w:color="7F7F7F" w:themeColor="text1" w:themeTint="80"/>
              <w:bottom w:val="nil"/>
            </w:tcBorders>
            <w:shd w:val="clear" w:color="auto" w:fill="auto"/>
            <w:vAlign w:val="center"/>
          </w:tcPr>
          <w:p w:rsidR="00CF4BB2" w:rsidRPr="005B1BBA" w:rsidRDefault="00CF4BB2" w:rsidP="00CF4BB2">
            <w:pPr>
              <w:jc w:val="right"/>
              <w:rPr>
                <w:rFonts w:eastAsia="Times New Roman" w:cs="Times New Roman"/>
                <w:lang w:eastAsia="cs-CZ"/>
              </w:rPr>
            </w:pPr>
            <w:r w:rsidRPr="005B1BBA">
              <w:rPr>
                <w:rFonts w:eastAsia="Times New Roman" w:cs="Times New Roman"/>
                <w:lang w:eastAsia="cs-CZ"/>
              </w:rPr>
              <w:t>0</w:t>
            </w:r>
          </w:p>
        </w:tc>
        <w:tc>
          <w:tcPr>
            <w:tcW w:w="620" w:type="pct"/>
            <w:tcBorders>
              <w:top w:val="single" w:sz="4" w:space="0" w:color="7F7F7F" w:themeColor="text1" w:themeTint="80"/>
              <w:bottom w:val="nil"/>
            </w:tcBorders>
            <w:shd w:val="clear" w:color="auto" w:fill="auto"/>
            <w:vAlign w:val="center"/>
          </w:tcPr>
          <w:p w:rsidR="00CF4BB2" w:rsidRPr="00967889" w:rsidRDefault="00CF4BB2" w:rsidP="00CF4BB2">
            <w:pPr>
              <w:jc w:val="right"/>
              <w:rPr>
                <w:rFonts w:eastAsia="Times New Roman" w:cs="Times New Roman"/>
                <w:lang w:eastAsia="cs-CZ"/>
              </w:rPr>
            </w:pPr>
            <w:r w:rsidRPr="00967889">
              <w:rPr>
                <w:rFonts w:eastAsia="Times New Roman" w:cs="Times New Roman"/>
                <w:lang w:eastAsia="cs-CZ"/>
              </w:rPr>
              <w:t>0</w:t>
            </w:r>
          </w:p>
        </w:tc>
        <w:tc>
          <w:tcPr>
            <w:tcW w:w="484" w:type="pct"/>
            <w:tcBorders>
              <w:top w:val="single" w:sz="4" w:space="0" w:color="7F7F7F" w:themeColor="text1" w:themeTint="80"/>
              <w:bottom w:val="nil"/>
            </w:tcBorders>
            <w:shd w:val="clear" w:color="auto" w:fill="auto"/>
            <w:vAlign w:val="center"/>
          </w:tcPr>
          <w:p w:rsidR="00CF4BB2" w:rsidRPr="00967889" w:rsidRDefault="00CF4BB2" w:rsidP="00CF4BB2">
            <w:pPr>
              <w:jc w:val="right"/>
              <w:rPr>
                <w:rFonts w:eastAsia="Times New Roman" w:cs="Times New Roman"/>
                <w:lang w:eastAsia="cs-CZ"/>
              </w:rPr>
            </w:pPr>
            <w:r w:rsidRPr="00967889">
              <w:rPr>
                <w:rFonts w:eastAsia="Times New Roman" w:cs="Times New Roman"/>
                <w:lang w:eastAsia="cs-CZ"/>
              </w:rPr>
              <w:t>x</w:t>
            </w:r>
          </w:p>
        </w:tc>
      </w:tr>
      <w:tr w:rsidR="00CF4BB2" w:rsidRPr="00576843" w:rsidTr="00CF4BB2">
        <w:tc>
          <w:tcPr>
            <w:tcW w:w="2462" w:type="pct"/>
            <w:tcBorders>
              <w:top w:val="nil"/>
              <w:bottom w:val="single" w:sz="8" w:space="0" w:color="7F7F7F" w:themeColor="text1" w:themeTint="80"/>
            </w:tcBorders>
            <w:shd w:val="clear" w:color="auto" w:fill="auto"/>
          </w:tcPr>
          <w:p w:rsidR="00CF4BB2" w:rsidRPr="005B1BBA" w:rsidRDefault="00CF4BB2" w:rsidP="00A34DBA">
            <w:pPr>
              <w:jc w:val="left"/>
              <w:rPr>
                <w:rFonts w:eastAsia="Times New Roman" w:cs="Times New Roman"/>
                <w:i/>
                <w:lang w:eastAsia="cs-CZ"/>
              </w:rPr>
            </w:pPr>
            <w:r w:rsidRPr="005B1BBA">
              <w:rPr>
                <w:rFonts w:eastAsia="Times New Roman" w:cs="Times New Roman"/>
                <w:lang w:eastAsia="cs-CZ"/>
              </w:rPr>
              <w:t xml:space="preserve"> </w:t>
            </w:r>
            <w:r w:rsidRPr="005B1BBA">
              <w:rPr>
                <w:rFonts w:eastAsia="Times New Roman" w:cs="Times New Roman"/>
                <w:i/>
                <w:lang w:eastAsia="cs-CZ"/>
              </w:rPr>
              <w:t>z toho: programové financování (EDS/SMVS)</w:t>
            </w:r>
          </w:p>
        </w:tc>
        <w:tc>
          <w:tcPr>
            <w:tcW w:w="739" w:type="pct"/>
            <w:tcBorders>
              <w:top w:val="nil"/>
              <w:bottom w:val="single" w:sz="8" w:space="0" w:color="7F7F7F" w:themeColor="text1" w:themeTint="80"/>
            </w:tcBorders>
            <w:shd w:val="clear" w:color="auto" w:fill="auto"/>
            <w:vAlign w:val="center"/>
          </w:tcPr>
          <w:p w:rsidR="00CF4BB2" w:rsidRPr="00576843" w:rsidRDefault="00CF4BB2" w:rsidP="00CF4BB2">
            <w:pPr>
              <w:jc w:val="right"/>
              <w:rPr>
                <w:rFonts w:eastAsia="Times New Roman" w:cs="Times New Roman"/>
                <w:i/>
                <w:color w:val="FF0000"/>
                <w:lang w:eastAsia="cs-CZ"/>
              </w:rPr>
            </w:pPr>
            <w:r w:rsidRPr="005B1BBA">
              <w:rPr>
                <w:rFonts w:eastAsia="Times New Roman" w:cs="Times New Roman"/>
                <w:i/>
                <w:lang w:eastAsia="cs-CZ"/>
              </w:rPr>
              <w:t>846</w:t>
            </w:r>
          </w:p>
        </w:tc>
        <w:tc>
          <w:tcPr>
            <w:tcW w:w="694" w:type="pct"/>
            <w:tcBorders>
              <w:top w:val="nil"/>
              <w:bottom w:val="single" w:sz="8" w:space="0" w:color="7F7F7F" w:themeColor="text1" w:themeTint="80"/>
            </w:tcBorders>
            <w:shd w:val="clear" w:color="auto" w:fill="auto"/>
            <w:vAlign w:val="center"/>
          </w:tcPr>
          <w:p w:rsidR="00CF4BB2" w:rsidRPr="005B1BBA" w:rsidRDefault="00CF4BB2" w:rsidP="00CF4BB2">
            <w:pPr>
              <w:jc w:val="right"/>
              <w:rPr>
                <w:rFonts w:eastAsia="Times New Roman" w:cs="Times New Roman"/>
                <w:i/>
                <w:lang w:eastAsia="cs-CZ"/>
              </w:rPr>
            </w:pPr>
            <w:r w:rsidRPr="005B1BBA">
              <w:rPr>
                <w:rFonts w:eastAsia="Times New Roman" w:cs="Times New Roman"/>
                <w:i/>
                <w:lang w:eastAsia="cs-CZ"/>
              </w:rPr>
              <w:t>0</w:t>
            </w:r>
          </w:p>
        </w:tc>
        <w:tc>
          <w:tcPr>
            <w:tcW w:w="620" w:type="pct"/>
            <w:tcBorders>
              <w:top w:val="nil"/>
              <w:bottom w:val="single" w:sz="8" w:space="0" w:color="7F7F7F" w:themeColor="text1" w:themeTint="80"/>
            </w:tcBorders>
            <w:shd w:val="clear" w:color="auto" w:fill="auto"/>
            <w:vAlign w:val="center"/>
          </w:tcPr>
          <w:p w:rsidR="00CF4BB2" w:rsidRPr="00967889" w:rsidRDefault="00CF4BB2" w:rsidP="00CF4BB2">
            <w:pPr>
              <w:jc w:val="right"/>
              <w:rPr>
                <w:rFonts w:eastAsia="Times New Roman" w:cs="Times New Roman"/>
                <w:i/>
                <w:lang w:eastAsia="cs-CZ"/>
              </w:rPr>
            </w:pPr>
            <w:r w:rsidRPr="00967889">
              <w:rPr>
                <w:rFonts w:eastAsia="Times New Roman" w:cs="Times New Roman"/>
                <w:i/>
                <w:lang w:eastAsia="cs-CZ"/>
              </w:rPr>
              <w:t>0</w:t>
            </w:r>
          </w:p>
        </w:tc>
        <w:tc>
          <w:tcPr>
            <w:tcW w:w="484" w:type="pct"/>
            <w:tcBorders>
              <w:top w:val="nil"/>
              <w:bottom w:val="single" w:sz="8" w:space="0" w:color="7F7F7F" w:themeColor="text1" w:themeTint="80"/>
            </w:tcBorders>
            <w:shd w:val="clear" w:color="auto" w:fill="auto"/>
            <w:vAlign w:val="center"/>
          </w:tcPr>
          <w:p w:rsidR="00CF4BB2" w:rsidRPr="00967889" w:rsidRDefault="00CF4BB2" w:rsidP="00CF4BB2">
            <w:pPr>
              <w:jc w:val="right"/>
              <w:rPr>
                <w:rFonts w:eastAsia="Times New Roman" w:cs="Times New Roman"/>
                <w:i/>
                <w:lang w:eastAsia="cs-CZ"/>
              </w:rPr>
            </w:pPr>
            <w:r w:rsidRPr="00967889">
              <w:rPr>
                <w:rFonts w:eastAsia="Times New Roman" w:cs="Times New Roman"/>
                <w:i/>
                <w:lang w:eastAsia="cs-CZ"/>
              </w:rPr>
              <w:t>x</w:t>
            </w:r>
          </w:p>
        </w:tc>
      </w:tr>
    </w:tbl>
    <w:p w:rsidR="00CF4BB2" w:rsidRPr="00967889" w:rsidRDefault="00CF4BB2" w:rsidP="00CF4BB2">
      <w:pPr>
        <w:pStyle w:val="Styl1"/>
      </w:pPr>
      <w:bookmarkStart w:id="74" w:name="_Toc462314398"/>
      <w:bookmarkStart w:id="75" w:name="_Toc489274104"/>
      <w:r w:rsidRPr="00967889">
        <w:t xml:space="preserve">V rámci návrhu rozpočtu na rok 2021 je zapracována dotace spolkům ve výši 8 900 tis. Kč, </w:t>
      </w:r>
      <w:r w:rsidR="00A34DBA">
        <w:br/>
      </w:r>
      <w:r w:rsidRPr="00967889">
        <w:t>tj. snížení oproti předchozímu roku 2020 o 700 tis. Kč.</w:t>
      </w:r>
      <w:r>
        <w:t xml:space="preserve"> Důvodem snížení je řádné ukončení podpory projektu Legiovlak v roce 2020.</w:t>
      </w:r>
      <w:r>
        <w:rPr>
          <w:rStyle w:val="Znakapoznpodarou"/>
        </w:rPr>
        <w:footnoteReference w:id="1"/>
      </w:r>
    </w:p>
    <w:p w:rsidR="00CF4BB2" w:rsidRDefault="00CF4BB2" w:rsidP="00CF4BB2">
      <w:pPr>
        <w:pStyle w:val="Styl1"/>
      </w:pPr>
      <w:r w:rsidRPr="00967889">
        <w:t>Dotace ve výši 8 900 tis. Kč je určena pro spolek Letecká amatérská asociace ČR, který zajišťuje přenesený výkon státní správy ve specifických oblastech civilního letectví (sportovní létající zařízení) a šetří některé incidenty a letecké nehody sportovních létajících zařízení dle zákona č. 49/1997 Sb., o civilním letectví, ve znění pozdějších předpisů.</w:t>
      </w:r>
    </w:p>
    <w:p w:rsidR="00A34DBA" w:rsidRDefault="00A34DBA" w:rsidP="00CF4BB2">
      <w:pPr>
        <w:pStyle w:val="Styl1"/>
      </w:pPr>
    </w:p>
    <w:p w:rsidR="00A34DBA" w:rsidRDefault="00A34DBA" w:rsidP="00CF4BB2">
      <w:pPr>
        <w:pStyle w:val="Styl1"/>
      </w:pPr>
    </w:p>
    <w:p w:rsidR="0057450B" w:rsidRPr="00CF4BB2" w:rsidRDefault="0057450B" w:rsidP="007B2F4B">
      <w:pPr>
        <w:pStyle w:val="Nadpis3"/>
      </w:pPr>
      <w:bookmarkStart w:id="76" w:name="_Toc53750575"/>
      <w:r w:rsidRPr="00CF4BB2">
        <w:lastRenderedPageBreak/>
        <w:t>Neinvestiční transfery do zahraničí</w:t>
      </w:r>
      <w:bookmarkEnd w:id="74"/>
      <w:bookmarkEnd w:id="75"/>
      <w:bookmarkEnd w:id="76"/>
    </w:p>
    <w:p w:rsidR="0057450B" w:rsidRDefault="0057450B" w:rsidP="0057450B">
      <w:pPr>
        <w:pStyle w:val="Titulek"/>
        <w:keepNext/>
        <w:rPr>
          <w:noProof/>
        </w:rPr>
      </w:pPr>
      <w:r w:rsidRPr="00CF4BB2">
        <w:t xml:space="preserve">Tabulka č. </w:t>
      </w:r>
      <w:r w:rsidR="0001421C" w:rsidRPr="00CF4BB2">
        <w:rPr>
          <w:noProof/>
        </w:rPr>
        <w:fldChar w:fldCharType="begin"/>
      </w:r>
      <w:r w:rsidR="0001421C" w:rsidRPr="00CF4BB2">
        <w:rPr>
          <w:noProof/>
        </w:rPr>
        <w:instrText xml:space="preserve"> SEQ Tabulka \* ARABIC </w:instrText>
      </w:r>
      <w:r w:rsidR="0001421C" w:rsidRPr="00CF4BB2">
        <w:rPr>
          <w:noProof/>
        </w:rPr>
        <w:fldChar w:fldCharType="separate"/>
      </w:r>
      <w:r w:rsidR="006076E7">
        <w:rPr>
          <w:noProof/>
        </w:rPr>
        <w:t>23</w:t>
      </w:r>
      <w:r w:rsidR="0001421C" w:rsidRPr="00CF4BB2">
        <w:rPr>
          <w:noProof/>
        </w:rPr>
        <w:fldChar w:fldCharType="end"/>
      </w:r>
      <w:r w:rsidRPr="00CF4BB2">
        <w:rPr>
          <w:noProof/>
        </w:rPr>
        <w:t xml:space="preserve"> Nei</w:t>
      </w:r>
      <w:r w:rsidR="009431FD" w:rsidRPr="00CF4BB2">
        <w:rPr>
          <w:noProof/>
        </w:rPr>
        <w:t>n</w:t>
      </w:r>
      <w:r w:rsidRPr="00CF4BB2">
        <w:rPr>
          <w:noProof/>
        </w:rPr>
        <w:t>vestiční transfery do zahraničí (v tis. Kč)</w:t>
      </w:r>
    </w:p>
    <w:tbl>
      <w:tblPr>
        <w:tblStyle w:val="Svtltabulkasmkou1zvraznn5"/>
        <w:tblW w:w="9346"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85"/>
        <w:gridCol w:w="1134"/>
        <w:gridCol w:w="1275"/>
        <w:gridCol w:w="1276"/>
        <w:gridCol w:w="1276"/>
      </w:tblGrid>
      <w:tr w:rsidR="00860150" w:rsidRPr="00576843" w:rsidTr="001B037B">
        <w:tc>
          <w:tcPr>
            <w:tcW w:w="438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351291" w:rsidRDefault="00860150" w:rsidP="001B037B">
            <w:pPr>
              <w:jc w:val="center"/>
              <w:rPr>
                <w:rFonts w:eastAsia="Times New Roman" w:cs="Times New Roman"/>
                <w:b/>
                <w:szCs w:val="24"/>
                <w:lang w:eastAsia="cs-CZ"/>
              </w:rPr>
            </w:pPr>
            <w:r w:rsidRPr="00351291">
              <w:rPr>
                <w:rFonts w:eastAsia="Times New Roman" w:cs="Times New Roman"/>
                <w:b/>
                <w:szCs w:val="24"/>
                <w:lang w:eastAsia="cs-CZ"/>
              </w:rPr>
              <w:t>Ukazatel</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351291" w:rsidRDefault="00860150" w:rsidP="001B037B">
            <w:pPr>
              <w:ind w:left="-113" w:right="-110"/>
              <w:jc w:val="center"/>
              <w:rPr>
                <w:rFonts w:eastAsia="Times New Roman" w:cs="Times New Roman"/>
                <w:b/>
                <w:szCs w:val="24"/>
                <w:lang w:eastAsia="cs-CZ"/>
              </w:rPr>
            </w:pPr>
            <w:r w:rsidRPr="00351291">
              <w:rPr>
                <w:rFonts w:eastAsia="Times New Roman" w:cs="Times New Roman"/>
                <w:b/>
                <w:szCs w:val="24"/>
                <w:lang w:eastAsia="cs-CZ"/>
              </w:rPr>
              <w:t>Skutečnost</w:t>
            </w:r>
          </w:p>
          <w:p w:rsidR="00860150" w:rsidRPr="00351291" w:rsidRDefault="00860150" w:rsidP="001B037B">
            <w:pPr>
              <w:jc w:val="center"/>
              <w:rPr>
                <w:rFonts w:eastAsia="Times New Roman" w:cs="Times New Roman"/>
                <w:b/>
                <w:szCs w:val="24"/>
                <w:lang w:eastAsia="cs-CZ"/>
              </w:rPr>
            </w:pPr>
            <w:r w:rsidRPr="00351291">
              <w:rPr>
                <w:rFonts w:eastAsia="Times New Roman" w:cs="Times New Roman"/>
                <w:b/>
                <w:szCs w:val="24"/>
                <w:lang w:eastAsia="cs-CZ"/>
              </w:rPr>
              <w:t>2019</w:t>
            </w:r>
          </w:p>
        </w:tc>
        <w:tc>
          <w:tcPr>
            <w:tcW w:w="127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351291" w:rsidRDefault="00860150" w:rsidP="001B037B">
            <w:pPr>
              <w:jc w:val="center"/>
              <w:rPr>
                <w:rFonts w:eastAsia="Times New Roman" w:cs="Times New Roman"/>
                <w:b/>
                <w:szCs w:val="24"/>
                <w:lang w:eastAsia="cs-CZ"/>
              </w:rPr>
            </w:pPr>
            <w:r w:rsidRPr="00351291">
              <w:rPr>
                <w:rFonts w:eastAsia="Times New Roman" w:cs="Times New Roman"/>
                <w:b/>
                <w:szCs w:val="24"/>
                <w:lang w:eastAsia="cs-CZ"/>
              </w:rPr>
              <w:t>Schválený</w:t>
            </w:r>
          </w:p>
          <w:p w:rsidR="00860150" w:rsidRPr="00351291" w:rsidRDefault="00860150" w:rsidP="001B037B">
            <w:pPr>
              <w:jc w:val="center"/>
              <w:rPr>
                <w:rFonts w:eastAsia="Times New Roman" w:cs="Times New Roman"/>
                <w:b/>
                <w:szCs w:val="24"/>
                <w:lang w:eastAsia="cs-CZ"/>
              </w:rPr>
            </w:pPr>
            <w:r w:rsidRPr="00351291">
              <w:rPr>
                <w:rFonts w:eastAsia="Times New Roman" w:cs="Times New Roman"/>
                <w:b/>
                <w:szCs w:val="24"/>
                <w:lang w:eastAsia="cs-CZ"/>
              </w:rPr>
              <w:t>rozpočet</w:t>
            </w:r>
          </w:p>
          <w:p w:rsidR="00860150" w:rsidRPr="00351291" w:rsidRDefault="00860150" w:rsidP="001B037B">
            <w:pPr>
              <w:jc w:val="center"/>
              <w:rPr>
                <w:rFonts w:eastAsia="Times New Roman" w:cs="Times New Roman"/>
                <w:b/>
                <w:szCs w:val="24"/>
                <w:lang w:eastAsia="cs-CZ"/>
              </w:rPr>
            </w:pPr>
            <w:r w:rsidRPr="00351291">
              <w:rPr>
                <w:rFonts w:eastAsia="Times New Roman" w:cs="Times New Roman"/>
                <w:b/>
                <w:szCs w:val="24"/>
                <w:lang w:eastAsia="cs-CZ"/>
              </w:rPr>
              <w:t>2020</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351291" w:rsidRDefault="00860150" w:rsidP="001B037B">
            <w:pPr>
              <w:jc w:val="center"/>
              <w:rPr>
                <w:rFonts w:eastAsia="Times New Roman" w:cs="Times New Roman"/>
                <w:b/>
                <w:szCs w:val="24"/>
                <w:lang w:eastAsia="cs-CZ"/>
              </w:rPr>
            </w:pPr>
            <w:r w:rsidRPr="00351291">
              <w:rPr>
                <w:rFonts w:eastAsia="Times New Roman" w:cs="Times New Roman"/>
                <w:b/>
                <w:szCs w:val="24"/>
                <w:lang w:eastAsia="cs-CZ"/>
              </w:rPr>
              <w:t>Návrh</w:t>
            </w:r>
          </w:p>
          <w:p w:rsidR="00860150" w:rsidRPr="00351291" w:rsidRDefault="00860150" w:rsidP="001B037B">
            <w:pPr>
              <w:ind w:left="39"/>
              <w:jc w:val="center"/>
              <w:rPr>
                <w:rFonts w:eastAsia="Times New Roman" w:cs="Times New Roman"/>
                <w:b/>
                <w:szCs w:val="24"/>
                <w:lang w:eastAsia="cs-CZ"/>
              </w:rPr>
            </w:pPr>
            <w:r w:rsidRPr="00351291">
              <w:rPr>
                <w:rFonts w:eastAsia="Times New Roman" w:cs="Times New Roman"/>
                <w:b/>
                <w:szCs w:val="24"/>
                <w:lang w:eastAsia="cs-CZ"/>
              </w:rPr>
              <w:t>rozpočtu</w:t>
            </w:r>
          </w:p>
          <w:p w:rsidR="00860150" w:rsidRPr="00351291" w:rsidRDefault="00860150" w:rsidP="001B037B">
            <w:pPr>
              <w:jc w:val="center"/>
              <w:rPr>
                <w:rFonts w:eastAsia="Times New Roman" w:cs="Times New Roman"/>
                <w:b/>
                <w:szCs w:val="24"/>
                <w:lang w:eastAsia="cs-CZ"/>
              </w:rPr>
            </w:pPr>
            <w:r w:rsidRPr="00351291">
              <w:rPr>
                <w:rFonts w:eastAsia="Times New Roman" w:cs="Times New Roman"/>
                <w:b/>
                <w:szCs w:val="24"/>
                <w:lang w:eastAsia="cs-CZ"/>
              </w:rPr>
              <w:t>2021</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351291" w:rsidRDefault="00860150" w:rsidP="001B037B">
            <w:pPr>
              <w:jc w:val="center"/>
              <w:rPr>
                <w:rFonts w:eastAsia="Times New Roman" w:cs="Times New Roman"/>
                <w:b/>
                <w:szCs w:val="24"/>
                <w:lang w:eastAsia="cs-CZ"/>
              </w:rPr>
            </w:pPr>
            <w:r w:rsidRPr="00351291">
              <w:rPr>
                <w:rFonts w:eastAsia="Times New Roman" w:cs="Times New Roman"/>
                <w:b/>
                <w:szCs w:val="24"/>
                <w:lang w:eastAsia="cs-CZ"/>
              </w:rPr>
              <w:t>Index</w:t>
            </w:r>
          </w:p>
          <w:p w:rsidR="00860150" w:rsidRPr="00351291" w:rsidRDefault="00860150" w:rsidP="001B037B">
            <w:pPr>
              <w:jc w:val="center"/>
              <w:rPr>
                <w:rFonts w:eastAsia="Times New Roman" w:cs="Times New Roman"/>
                <w:b/>
                <w:szCs w:val="24"/>
                <w:lang w:eastAsia="cs-CZ"/>
              </w:rPr>
            </w:pPr>
            <w:r w:rsidRPr="00351291">
              <w:rPr>
                <w:rFonts w:eastAsia="Times New Roman" w:cs="Times New Roman"/>
                <w:b/>
                <w:szCs w:val="24"/>
                <w:lang w:eastAsia="cs-CZ"/>
              </w:rPr>
              <w:t>2021/</w:t>
            </w:r>
            <w:r w:rsidRPr="00351291">
              <w:rPr>
                <w:rFonts w:eastAsia="Times New Roman" w:cs="Times New Roman"/>
                <w:b/>
                <w:szCs w:val="24"/>
                <w:lang w:eastAsia="cs-CZ"/>
              </w:rPr>
              <w:br/>
              <w:t xml:space="preserve">2020 </w:t>
            </w:r>
            <w:r w:rsidRPr="00351291">
              <w:rPr>
                <w:rFonts w:eastAsia="Times New Roman" w:cs="Times New Roman"/>
                <w:b/>
                <w:szCs w:val="24"/>
                <w:lang w:eastAsia="cs-CZ"/>
              </w:rPr>
              <w:br/>
              <w:t>(v %)</w:t>
            </w:r>
          </w:p>
        </w:tc>
      </w:tr>
      <w:tr w:rsidR="00860150" w:rsidRPr="00576843" w:rsidTr="001B037B">
        <w:tc>
          <w:tcPr>
            <w:tcW w:w="4385" w:type="dxa"/>
            <w:tcBorders>
              <w:top w:val="single" w:sz="4" w:space="0" w:color="7F7F7F" w:themeColor="text1" w:themeTint="80"/>
              <w:bottom w:val="single" w:sz="8" w:space="0" w:color="7F7F7F" w:themeColor="text1" w:themeTint="80"/>
            </w:tcBorders>
            <w:shd w:val="clear" w:color="auto" w:fill="auto"/>
          </w:tcPr>
          <w:p w:rsidR="00860150" w:rsidRPr="00351291" w:rsidRDefault="00860150" w:rsidP="001B037B">
            <w:pPr>
              <w:jc w:val="center"/>
              <w:rPr>
                <w:rFonts w:eastAsia="Times New Roman" w:cs="Times New Roman"/>
                <w:szCs w:val="24"/>
                <w:lang w:eastAsia="cs-CZ"/>
              </w:rPr>
            </w:pPr>
            <w:r w:rsidRPr="00351291">
              <w:rPr>
                <w:rFonts w:eastAsia="Times New Roman" w:cs="Times New Roman"/>
                <w:szCs w:val="24"/>
                <w:lang w:eastAsia="cs-CZ"/>
              </w:rPr>
              <w:t>a</w:t>
            </w:r>
          </w:p>
        </w:tc>
        <w:tc>
          <w:tcPr>
            <w:tcW w:w="1134" w:type="dxa"/>
            <w:tcBorders>
              <w:top w:val="single" w:sz="4" w:space="0" w:color="7F7F7F" w:themeColor="text1" w:themeTint="80"/>
              <w:bottom w:val="single" w:sz="8" w:space="0" w:color="7F7F7F" w:themeColor="text1" w:themeTint="80"/>
            </w:tcBorders>
            <w:shd w:val="clear" w:color="auto" w:fill="auto"/>
          </w:tcPr>
          <w:p w:rsidR="00860150" w:rsidRPr="00351291" w:rsidRDefault="00860150" w:rsidP="001B037B">
            <w:pPr>
              <w:jc w:val="center"/>
              <w:rPr>
                <w:rFonts w:eastAsia="Times New Roman" w:cs="Times New Roman"/>
                <w:szCs w:val="24"/>
                <w:lang w:eastAsia="cs-CZ"/>
              </w:rPr>
            </w:pPr>
            <w:r w:rsidRPr="00351291">
              <w:rPr>
                <w:rFonts w:eastAsia="Times New Roman" w:cs="Times New Roman"/>
                <w:szCs w:val="24"/>
                <w:lang w:eastAsia="cs-CZ"/>
              </w:rPr>
              <w:t>1</w:t>
            </w:r>
          </w:p>
        </w:tc>
        <w:tc>
          <w:tcPr>
            <w:tcW w:w="1275" w:type="dxa"/>
            <w:tcBorders>
              <w:top w:val="single" w:sz="4" w:space="0" w:color="7F7F7F" w:themeColor="text1" w:themeTint="80"/>
              <w:bottom w:val="single" w:sz="8" w:space="0" w:color="7F7F7F" w:themeColor="text1" w:themeTint="80"/>
            </w:tcBorders>
            <w:shd w:val="clear" w:color="auto" w:fill="auto"/>
          </w:tcPr>
          <w:p w:rsidR="00860150" w:rsidRPr="00351291" w:rsidRDefault="00860150" w:rsidP="001B037B">
            <w:pPr>
              <w:jc w:val="center"/>
              <w:rPr>
                <w:rFonts w:eastAsia="Times New Roman" w:cs="Times New Roman"/>
                <w:szCs w:val="24"/>
                <w:lang w:eastAsia="cs-CZ"/>
              </w:rPr>
            </w:pPr>
            <w:r w:rsidRPr="00351291">
              <w:rPr>
                <w:rFonts w:eastAsia="Times New Roman" w:cs="Times New Roman"/>
                <w:szCs w:val="24"/>
                <w:lang w:eastAsia="cs-CZ"/>
              </w:rPr>
              <w:t>2</w:t>
            </w:r>
          </w:p>
        </w:tc>
        <w:tc>
          <w:tcPr>
            <w:tcW w:w="1276" w:type="dxa"/>
            <w:tcBorders>
              <w:top w:val="single" w:sz="4" w:space="0" w:color="7F7F7F" w:themeColor="text1" w:themeTint="80"/>
              <w:bottom w:val="single" w:sz="8" w:space="0" w:color="7F7F7F" w:themeColor="text1" w:themeTint="80"/>
            </w:tcBorders>
            <w:shd w:val="clear" w:color="auto" w:fill="auto"/>
          </w:tcPr>
          <w:p w:rsidR="00860150" w:rsidRPr="00351291" w:rsidRDefault="00860150" w:rsidP="001B037B">
            <w:pPr>
              <w:jc w:val="center"/>
              <w:rPr>
                <w:rFonts w:eastAsia="Times New Roman" w:cs="Times New Roman"/>
                <w:szCs w:val="24"/>
                <w:lang w:eastAsia="cs-CZ"/>
              </w:rPr>
            </w:pPr>
            <w:r w:rsidRPr="00351291">
              <w:rPr>
                <w:rFonts w:eastAsia="Times New Roman" w:cs="Times New Roman"/>
                <w:szCs w:val="24"/>
                <w:lang w:eastAsia="cs-CZ"/>
              </w:rPr>
              <w:t>3</w:t>
            </w:r>
          </w:p>
        </w:tc>
        <w:tc>
          <w:tcPr>
            <w:tcW w:w="1276" w:type="dxa"/>
            <w:tcBorders>
              <w:top w:val="single" w:sz="4" w:space="0" w:color="7F7F7F" w:themeColor="text1" w:themeTint="80"/>
              <w:bottom w:val="single" w:sz="8" w:space="0" w:color="7F7F7F" w:themeColor="text1" w:themeTint="80"/>
            </w:tcBorders>
            <w:shd w:val="clear" w:color="auto" w:fill="auto"/>
          </w:tcPr>
          <w:p w:rsidR="00860150" w:rsidRPr="00351291" w:rsidRDefault="00860150" w:rsidP="001B037B">
            <w:pPr>
              <w:jc w:val="center"/>
              <w:rPr>
                <w:rFonts w:eastAsia="Times New Roman" w:cs="Times New Roman"/>
                <w:szCs w:val="24"/>
                <w:lang w:eastAsia="cs-CZ"/>
              </w:rPr>
            </w:pPr>
            <w:r w:rsidRPr="00351291">
              <w:rPr>
                <w:rFonts w:eastAsia="Times New Roman" w:cs="Times New Roman"/>
                <w:szCs w:val="24"/>
                <w:lang w:eastAsia="cs-CZ"/>
              </w:rPr>
              <w:t>4</w:t>
            </w:r>
          </w:p>
        </w:tc>
      </w:tr>
      <w:tr w:rsidR="00860150" w:rsidRPr="00576843" w:rsidTr="001B037B">
        <w:trPr>
          <w:trHeight w:val="334"/>
        </w:trPr>
        <w:tc>
          <w:tcPr>
            <w:tcW w:w="4385" w:type="dxa"/>
            <w:tcBorders>
              <w:top w:val="single" w:sz="8" w:space="0" w:color="7F7F7F" w:themeColor="text1" w:themeTint="80"/>
              <w:bottom w:val="single" w:sz="8" w:space="0" w:color="7F7F7F" w:themeColor="text1" w:themeTint="80"/>
            </w:tcBorders>
            <w:shd w:val="clear" w:color="auto" w:fill="auto"/>
          </w:tcPr>
          <w:p w:rsidR="00860150" w:rsidRPr="00351291" w:rsidRDefault="00860150" w:rsidP="001B037B">
            <w:pPr>
              <w:spacing w:before="60"/>
              <w:rPr>
                <w:rFonts w:eastAsia="Times New Roman" w:cs="Times New Roman"/>
                <w:lang w:eastAsia="cs-CZ"/>
              </w:rPr>
            </w:pPr>
            <w:r w:rsidRPr="00351291">
              <w:rPr>
                <w:rFonts w:eastAsia="Times New Roman" w:cs="Times New Roman"/>
                <w:b/>
                <w:lang w:eastAsia="cs-CZ"/>
              </w:rPr>
              <w:t xml:space="preserve">Neinvestiční transfery do zahraničí </w:t>
            </w:r>
            <w:r w:rsidRPr="00351291">
              <w:rPr>
                <w:rFonts w:eastAsia="Times New Roman" w:cs="Times New Roman"/>
                <w:lang w:eastAsia="cs-CZ"/>
              </w:rPr>
              <w:t>v tom:</w:t>
            </w:r>
          </w:p>
        </w:tc>
        <w:tc>
          <w:tcPr>
            <w:tcW w:w="1134" w:type="dxa"/>
            <w:tcBorders>
              <w:top w:val="single" w:sz="8" w:space="0" w:color="7F7F7F" w:themeColor="text1" w:themeTint="80"/>
              <w:bottom w:val="single" w:sz="8" w:space="0" w:color="7F7F7F" w:themeColor="text1" w:themeTint="80"/>
            </w:tcBorders>
            <w:shd w:val="clear" w:color="auto" w:fill="auto"/>
            <w:vAlign w:val="center"/>
          </w:tcPr>
          <w:p w:rsidR="00860150" w:rsidRPr="00351291" w:rsidRDefault="00860150" w:rsidP="001B037B">
            <w:pPr>
              <w:spacing w:before="60"/>
              <w:jc w:val="right"/>
              <w:rPr>
                <w:rFonts w:eastAsia="Times New Roman" w:cs="Times New Roman"/>
                <w:b/>
                <w:lang w:eastAsia="cs-CZ"/>
              </w:rPr>
            </w:pPr>
            <w:r w:rsidRPr="00351291">
              <w:rPr>
                <w:rFonts w:eastAsia="Times New Roman" w:cs="Times New Roman"/>
                <w:b/>
                <w:lang w:eastAsia="cs-CZ"/>
              </w:rPr>
              <w:t>941 977</w:t>
            </w:r>
          </w:p>
        </w:tc>
        <w:tc>
          <w:tcPr>
            <w:tcW w:w="1275" w:type="dxa"/>
            <w:tcBorders>
              <w:top w:val="single" w:sz="8" w:space="0" w:color="7F7F7F" w:themeColor="text1" w:themeTint="80"/>
              <w:bottom w:val="single" w:sz="8" w:space="0" w:color="7F7F7F" w:themeColor="text1" w:themeTint="80"/>
            </w:tcBorders>
            <w:shd w:val="clear" w:color="auto" w:fill="auto"/>
            <w:vAlign w:val="center"/>
          </w:tcPr>
          <w:p w:rsidR="00860150" w:rsidRPr="00351291" w:rsidRDefault="00860150" w:rsidP="001B037B">
            <w:pPr>
              <w:spacing w:before="60"/>
              <w:jc w:val="right"/>
              <w:rPr>
                <w:rFonts w:eastAsia="Times New Roman" w:cs="Times New Roman"/>
                <w:b/>
                <w:lang w:eastAsia="cs-CZ"/>
              </w:rPr>
            </w:pPr>
            <w:r w:rsidRPr="00351291">
              <w:rPr>
                <w:rFonts w:eastAsia="Times New Roman" w:cs="Times New Roman"/>
                <w:b/>
                <w:lang w:eastAsia="cs-CZ"/>
              </w:rPr>
              <w:t>1 227 802</w:t>
            </w:r>
          </w:p>
        </w:tc>
        <w:tc>
          <w:tcPr>
            <w:tcW w:w="1276" w:type="dxa"/>
            <w:tcBorders>
              <w:top w:val="single" w:sz="8" w:space="0" w:color="7F7F7F" w:themeColor="text1" w:themeTint="80"/>
              <w:bottom w:val="single" w:sz="8" w:space="0" w:color="7F7F7F" w:themeColor="text1" w:themeTint="80"/>
            </w:tcBorders>
            <w:shd w:val="clear" w:color="auto" w:fill="auto"/>
            <w:vAlign w:val="center"/>
          </w:tcPr>
          <w:p w:rsidR="00860150" w:rsidRPr="00576843" w:rsidRDefault="00860150" w:rsidP="001B037B">
            <w:pPr>
              <w:spacing w:before="60"/>
              <w:jc w:val="right"/>
              <w:rPr>
                <w:rFonts w:eastAsia="Times New Roman" w:cs="Times New Roman"/>
                <w:b/>
                <w:color w:val="FF0000"/>
                <w:lang w:eastAsia="cs-CZ"/>
              </w:rPr>
            </w:pPr>
            <w:r>
              <w:rPr>
                <w:rFonts w:eastAsia="Times New Roman" w:cs="Times New Roman"/>
                <w:b/>
                <w:lang w:eastAsia="cs-CZ"/>
              </w:rPr>
              <w:t>1 224 436</w:t>
            </w:r>
          </w:p>
        </w:tc>
        <w:tc>
          <w:tcPr>
            <w:tcW w:w="1276" w:type="dxa"/>
            <w:tcBorders>
              <w:top w:val="single" w:sz="8" w:space="0" w:color="7F7F7F" w:themeColor="text1" w:themeTint="80"/>
              <w:bottom w:val="single" w:sz="8" w:space="0" w:color="7F7F7F" w:themeColor="text1" w:themeTint="80"/>
            </w:tcBorders>
            <w:shd w:val="clear" w:color="auto" w:fill="auto"/>
            <w:vAlign w:val="center"/>
          </w:tcPr>
          <w:p w:rsidR="00860150" w:rsidRPr="00576843" w:rsidRDefault="00860150" w:rsidP="001B037B">
            <w:pPr>
              <w:spacing w:before="60"/>
              <w:jc w:val="right"/>
              <w:rPr>
                <w:rFonts w:eastAsia="Times New Roman" w:cs="Times New Roman"/>
                <w:b/>
                <w:color w:val="FF0000"/>
                <w:lang w:eastAsia="cs-CZ"/>
              </w:rPr>
            </w:pPr>
            <w:r>
              <w:rPr>
                <w:rFonts w:eastAsia="Times New Roman" w:cs="Times New Roman"/>
                <w:b/>
                <w:lang w:eastAsia="cs-CZ"/>
              </w:rPr>
              <w:t>99,73</w:t>
            </w:r>
          </w:p>
        </w:tc>
      </w:tr>
      <w:tr w:rsidR="00860150" w:rsidRPr="00576843" w:rsidTr="001B037B">
        <w:tc>
          <w:tcPr>
            <w:tcW w:w="4385" w:type="dxa"/>
            <w:tcBorders>
              <w:top w:val="single" w:sz="8" w:space="0" w:color="7F7F7F" w:themeColor="text1" w:themeTint="80"/>
              <w:bottom w:val="nil"/>
            </w:tcBorders>
            <w:shd w:val="clear" w:color="auto" w:fill="auto"/>
          </w:tcPr>
          <w:p w:rsidR="00860150" w:rsidRPr="00351291" w:rsidRDefault="00860150" w:rsidP="001B037B">
            <w:pPr>
              <w:rPr>
                <w:rFonts w:eastAsia="Times New Roman" w:cs="Times New Roman"/>
                <w:lang w:eastAsia="cs-CZ"/>
              </w:rPr>
            </w:pPr>
            <w:r w:rsidRPr="00351291">
              <w:rPr>
                <w:rFonts w:eastAsia="Times New Roman" w:cs="Times New Roman"/>
                <w:lang w:eastAsia="cs-CZ"/>
              </w:rPr>
              <w:t>Neinvestiční transfery mezinár. vlád. org.</w:t>
            </w:r>
          </w:p>
        </w:tc>
        <w:tc>
          <w:tcPr>
            <w:tcW w:w="1134" w:type="dxa"/>
            <w:tcBorders>
              <w:top w:val="single" w:sz="8" w:space="0" w:color="7F7F7F" w:themeColor="text1" w:themeTint="80"/>
              <w:bottom w:val="nil"/>
            </w:tcBorders>
            <w:shd w:val="clear" w:color="auto" w:fill="auto"/>
            <w:vAlign w:val="center"/>
          </w:tcPr>
          <w:p w:rsidR="00860150" w:rsidRPr="00351291" w:rsidRDefault="00860150" w:rsidP="001B037B">
            <w:pPr>
              <w:jc w:val="right"/>
              <w:rPr>
                <w:rFonts w:eastAsia="Times New Roman" w:cs="Times New Roman"/>
                <w:lang w:eastAsia="cs-CZ"/>
              </w:rPr>
            </w:pPr>
            <w:r w:rsidRPr="00351291">
              <w:rPr>
                <w:rFonts w:eastAsia="Times New Roman" w:cs="Times New Roman"/>
                <w:lang w:eastAsia="cs-CZ"/>
              </w:rPr>
              <w:t>939 833</w:t>
            </w:r>
          </w:p>
        </w:tc>
        <w:tc>
          <w:tcPr>
            <w:tcW w:w="1275" w:type="dxa"/>
            <w:tcBorders>
              <w:top w:val="single" w:sz="8" w:space="0" w:color="7F7F7F" w:themeColor="text1" w:themeTint="80"/>
              <w:bottom w:val="nil"/>
            </w:tcBorders>
            <w:shd w:val="clear" w:color="auto" w:fill="auto"/>
            <w:vAlign w:val="center"/>
          </w:tcPr>
          <w:p w:rsidR="00860150" w:rsidRPr="00351291" w:rsidRDefault="00860150" w:rsidP="001B037B">
            <w:pPr>
              <w:jc w:val="right"/>
              <w:rPr>
                <w:rFonts w:eastAsia="Times New Roman" w:cs="Times New Roman"/>
                <w:lang w:eastAsia="cs-CZ"/>
              </w:rPr>
            </w:pPr>
            <w:r w:rsidRPr="00351291">
              <w:rPr>
                <w:rFonts w:eastAsia="Times New Roman" w:cs="Times New Roman"/>
                <w:lang w:eastAsia="cs-CZ"/>
              </w:rPr>
              <w:t>1</w:t>
            </w:r>
            <w:r>
              <w:rPr>
                <w:rFonts w:eastAsia="Times New Roman" w:cs="Times New Roman"/>
                <w:lang w:eastAsia="cs-CZ"/>
              </w:rPr>
              <w:t xml:space="preserve"> </w:t>
            </w:r>
            <w:r w:rsidRPr="00351291">
              <w:rPr>
                <w:rFonts w:eastAsia="Times New Roman" w:cs="Times New Roman"/>
                <w:lang w:eastAsia="cs-CZ"/>
              </w:rPr>
              <w:t>227 572</w:t>
            </w:r>
          </w:p>
        </w:tc>
        <w:tc>
          <w:tcPr>
            <w:tcW w:w="1276" w:type="dxa"/>
            <w:tcBorders>
              <w:top w:val="single" w:sz="8" w:space="0" w:color="7F7F7F" w:themeColor="text1" w:themeTint="80"/>
              <w:bottom w:val="nil"/>
            </w:tcBorders>
            <w:shd w:val="clear" w:color="auto" w:fill="auto"/>
            <w:vAlign w:val="center"/>
          </w:tcPr>
          <w:p w:rsidR="00860150" w:rsidRPr="00576843" w:rsidRDefault="00860150" w:rsidP="001B037B">
            <w:pPr>
              <w:jc w:val="right"/>
              <w:rPr>
                <w:rFonts w:eastAsia="Times New Roman" w:cs="Times New Roman"/>
                <w:color w:val="FF0000"/>
                <w:lang w:eastAsia="cs-CZ"/>
              </w:rPr>
            </w:pPr>
            <w:r w:rsidRPr="00BC39C4">
              <w:rPr>
                <w:rFonts w:eastAsia="Times New Roman" w:cs="Times New Roman"/>
                <w:lang w:eastAsia="cs-CZ"/>
              </w:rPr>
              <w:t>1 </w:t>
            </w:r>
            <w:r>
              <w:rPr>
                <w:rFonts w:eastAsia="Times New Roman" w:cs="Times New Roman"/>
                <w:lang w:eastAsia="cs-CZ"/>
              </w:rPr>
              <w:t>2</w:t>
            </w:r>
            <w:r w:rsidRPr="00BC39C4">
              <w:rPr>
                <w:rFonts w:eastAsia="Times New Roman" w:cs="Times New Roman"/>
                <w:lang w:eastAsia="cs-CZ"/>
              </w:rPr>
              <w:t>05 002</w:t>
            </w:r>
          </w:p>
        </w:tc>
        <w:tc>
          <w:tcPr>
            <w:tcW w:w="1276" w:type="dxa"/>
            <w:tcBorders>
              <w:top w:val="single" w:sz="8" w:space="0" w:color="7F7F7F" w:themeColor="text1" w:themeTint="80"/>
              <w:bottom w:val="nil"/>
            </w:tcBorders>
            <w:shd w:val="clear" w:color="auto" w:fill="auto"/>
            <w:vAlign w:val="center"/>
          </w:tcPr>
          <w:p w:rsidR="00860150" w:rsidRPr="00CA6E2E" w:rsidRDefault="00CA6E2E" w:rsidP="001B037B">
            <w:pPr>
              <w:jc w:val="right"/>
              <w:rPr>
                <w:rFonts w:eastAsia="Times New Roman" w:cs="Times New Roman"/>
                <w:lang w:eastAsia="cs-CZ"/>
              </w:rPr>
            </w:pPr>
            <w:r w:rsidRPr="00CA6E2E">
              <w:rPr>
                <w:rFonts w:eastAsia="Times New Roman" w:cs="Times New Roman"/>
                <w:lang w:eastAsia="cs-CZ"/>
              </w:rPr>
              <w:t>98,16</w:t>
            </w:r>
          </w:p>
        </w:tc>
      </w:tr>
      <w:tr w:rsidR="00860150" w:rsidRPr="00576843" w:rsidTr="001B037B">
        <w:tc>
          <w:tcPr>
            <w:tcW w:w="4385" w:type="dxa"/>
            <w:tcBorders>
              <w:top w:val="nil"/>
              <w:bottom w:val="single" w:sz="4" w:space="0" w:color="auto"/>
            </w:tcBorders>
            <w:shd w:val="clear" w:color="auto" w:fill="auto"/>
          </w:tcPr>
          <w:p w:rsidR="00860150" w:rsidRPr="00351291" w:rsidRDefault="00860150" w:rsidP="001B037B">
            <w:pPr>
              <w:rPr>
                <w:rFonts w:eastAsia="Times New Roman" w:cs="Times New Roman"/>
                <w:i/>
                <w:lang w:eastAsia="cs-CZ"/>
              </w:rPr>
            </w:pPr>
            <w:r w:rsidRPr="00351291">
              <w:rPr>
                <w:rFonts w:eastAsia="Times New Roman" w:cs="Times New Roman"/>
                <w:i/>
                <w:lang w:eastAsia="cs-CZ"/>
              </w:rPr>
              <w:t xml:space="preserve"> z toho: volitelné programy ESA</w:t>
            </w:r>
          </w:p>
        </w:tc>
        <w:tc>
          <w:tcPr>
            <w:tcW w:w="1134" w:type="dxa"/>
            <w:tcBorders>
              <w:top w:val="nil"/>
              <w:bottom w:val="single" w:sz="4" w:space="0" w:color="auto"/>
            </w:tcBorders>
            <w:shd w:val="clear" w:color="auto" w:fill="auto"/>
            <w:vAlign w:val="center"/>
          </w:tcPr>
          <w:p w:rsidR="00860150" w:rsidRPr="00351291" w:rsidRDefault="00860150" w:rsidP="001B037B">
            <w:pPr>
              <w:jc w:val="right"/>
              <w:rPr>
                <w:rFonts w:eastAsia="Times New Roman" w:cs="Times New Roman"/>
                <w:i/>
                <w:lang w:eastAsia="cs-CZ"/>
              </w:rPr>
            </w:pPr>
            <w:r w:rsidRPr="00351291">
              <w:rPr>
                <w:rFonts w:eastAsia="Times New Roman" w:cs="Times New Roman"/>
                <w:i/>
                <w:lang w:eastAsia="cs-CZ"/>
              </w:rPr>
              <w:t xml:space="preserve">926 </w:t>
            </w:r>
            <w:r>
              <w:rPr>
                <w:rFonts w:eastAsia="Times New Roman" w:cs="Times New Roman"/>
                <w:i/>
                <w:lang w:eastAsia="cs-CZ"/>
              </w:rPr>
              <w:t>253</w:t>
            </w:r>
          </w:p>
        </w:tc>
        <w:tc>
          <w:tcPr>
            <w:tcW w:w="1275" w:type="dxa"/>
            <w:tcBorders>
              <w:top w:val="nil"/>
              <w:bottom w:val="single" w:sz="4" w:space="0" w:color="auto"/>
            </w:tcBorders>
            <w:shd w:val="clear" w:color="auto" w:fill="auto"/>
            <w:vAlign w:val="center"/>
          </w:tcPr>
          <w:p w:rsidR="00860150" w:rsidRPr="00351291" w:rsidRDefault="00860150" w:rsidP="001B037B">
            <w:pPr>
              <w:jc w:val="right"/>
              <w:rPr>
                <w:rFonts w:eastAsia="Times New Roman" w:cs="Times New Roman"/>
                <w:i/>
                <w:lang w:eastAsia="cs-CZ"/>
              </w:rPr>
            </w:pPr>
            <w:r w:rsidRPr="00351291">
              <w:rPr>
                <w:rFonts w:eastAsia="Times New Roman" w:cs="Times New Roman"/>
                <w:i/>
                <w:lang w:eastAsia="cs-CZ"/>
              </w:rPr>
              <w:t>1 205 000</w:t>
            </w:r>
          </w:p>
        </w:tc>
        <w:tc>
          <w:tcPr>
            <w:tcW w:w="1276" w:type="dxa"/>
            <w:tcBorders>
              <w:top w:val="nil"/>
              <w:bottom w:val="single" w:sz="4" w:space="0" w:color="auto"/>
            </w:tcBorders>
            <w:shd w:val="clear" w:color="auto" w:fill="auto"/>
            <w:vAlign w:val="center"/>
          </w:tcPr>
          <w:p w:rsidR="00860150" w:rsidRPr="00576843" w:rsidRDefault="00860150" w:rsidP="001B037B">
            <w:pPr>
              <w:jc w:val="right"/>
              <w:rPr>
                <w:rFonts w:eastAsia="Times New Roman" w:cs="Times New Roman"/>
                <w:i/>
                <w:color w:val="FF0000"/>
                <w:lang w:eastAsia="cs-CZ"/>
              </w:rPr>
            </w:pPr>
            <w:r>
              <w:rPr>
                <w:rFonts w:eastAsia="Times New Roman" w:cs="Times New Roman"/>
                <w:i/>
                <w:lang w:eastAsia="cs-CZ"/>
              </w:rPr>
              <w:t>1 2</w:t>
            </w:r>
            <w:r w:rsidRPr="00AE3E3F">
              <w:rPr>
                <w:rFonts w:eastAsia="Times New Roman" w:cs="Times New Roman"/>
                <w:i/>
                <w:lang w:eastAsia="cs-CZ"/>
              </w:rPr>
              <w:t>05 000</w:t>
            </w:r>
          </w:p>
        </w:tc>
        <w:tc>
          <w:tcPr>
            <w:tcW w:w="1276" w:type="dxa"/>
            <w:tcBorders>
              <w:top w:val="nil"/>
              <w:bottom w:val="single" w:sz="4" w:space="0" w:color="auto"/>
            </w:tcBorders>
            <w:shd w:val="clear" w:color="auto" w:fill="auto"/>
            <w:vAlign w:val="center"/>
          </w:tcPr>
          <w:p w:rsidR="00860150" w:rsidRPr="00576843" w:rsidRDefault="00860150" w:rsidP="001B037B">
            <w:pPr>
              <w:jc w:val="right"/>
              <w:rPr>
                <w:rFonts w:eastAsia="Times New Roman" w:cs="Times New Roman"/>
                <w:color w:val="FF0000"/>
                <w:lang w:eastAsia="cs-CZ"/>
              </w:rPr>
            </w:pPr>
            <w:r w:rsidRPr="006D2FDA">
              <w:rPr>
                <w:rFonts w:eastAsia="Times New Roman" w:cs="Times New Roman"/>
                <w:lang w:eastAsia="cs-CZ"/>
              </w:rPr>
              <w:t>100,00</w:t>
            </w:r>
          </w:p>
        </w:tc>
      </w:tr>
      <w:tr w:rsidR="00860150" w:rsidRPr="00576843" w:rsidTr="001B037B">
        <w:tc>
          <w:tcPr>
            <w:tcW w:w="4385" w:type="dxa"/>
            <w:tcBorders>
              <w:top w:val="nil"/>
              <w:bottom w:val="single" w:sz="4" w:space="0" w:color="auto"/>
            </w:tcBorders>
            <w:shd w:val="clear" w:color="auto" w:fill="auto"/>
          </w:tcPr>
          <w:p w:rsidR="00860150" w:rsidRPr="00351291" w:rsidRDefault="00860150" w:rsidP="001B037B">
            <w:pPr>
              <w:rPr>
                <w:rFonts w:eastAsia="Times New Roman" w:cs="Times New Roman"/>
                <w:lang w:eastAsia="cs-CZ"/>
              </w:rPr>
            </w:pPr>
            <w:r w:rsidRPr="00351291">
              <w:rPr>
                <w:rFonts w:eastAsia="Times New Roman" w:cs="Times New Roman"/>
                <w:lang w:eastAsia="cs-CZ"/>
              </w:rPr>
              <w:t>Ostatní neinvestiční transfery do zahraničí</w:t>
            </w:r>
          </w:p>
        </w:tc>
        <w:tc>
          <w:tcPr>
            <w:tcW w:w="1134" w:type="dxa"/>
            <w:tcBorders>
              <w:top w:val="nil"/>
              <w:bottom w:val="single" w:sz="4" w:space="0" w:color="auto"/>
            </w:tcBorders>
            <w:shd w:val="clear" w:color="auto" w:fill="auto"/>
            <w:vAlign w:val="center"/>
          </w:tcPr>
          <w:p w:rsidR="00860150" w:rsidRPr="00351291" w:rsidRDefault="00860150" w:rsidP="001B037B">
            <w:pPr>
              <w:jc w:val="right"/>
              <w:rPr>
                <w:rFonts w:eastAsia="Times New Roman" w:cs="Times New Roman"/>
                <w:lang w:eastAsia="cs-CZ"/>
              </w:rPr>
            </w:pPr>
            <w:r w:rsidRPr="00351291">
              <w:rPr>
                <w:rFonts w:eastAsia="Times New Roman" w:cs="Times New Roman"/>
                <w:lang w:eastAsia="cs-CZ"/>
              </w:rPr>
              <w:t>129</w:t>
            </w:r>
          </w:p>
        </w:tc>
        <w:tc>
          <w:tcPr>
            <w:tcW w:w="1275" w:type="dxa"/>
            <w:tcBorders>
              <w:top w:val="nil"/>
              <w:bottom w:val="single" w:sz="4" w:space="0" w:color="auto"/>
            </w:tcBorders>
            <w:shd w:val="clear" w:color="auto" w:fill="auto"/>
            <w:vAlign w:val="center"/>
          </w:tcPr>
          <w:p w:rsidR="00860150" w:rsidRPr="00351291" w:rsidRDefault="00860150" w:rsidP="001B037B">
            <w:pPr>
              <w:jc w:val="right"/>
              <w:rPr>
                <w:rFonts w:eastAsia="Times New Roman" w:cs="Times New Roman"/>
                <w:lang w:eastAsia="cs-CZ"/>
              </w:rPr>
            </w:pPr>
            <w:r w:rsidRPr="00351291">
              <w:rPr>
                <w:rFonts w:eastAsia="Times New Roman" w:cs="Times New Roman"/>
                <w:lang w:eastAsia="cs-CZ"/>
              </w:rPr>
              <w:t>170</w:t>
            </w:r>
          </w:p>
        </w:tc>
        <w:tc>
          <w:tcPr>
            <w:tcW w:w="1276" w:type="dxa"/>
            <w:tcBorders>
              <w:top w:val="nil"/>
              <w:bottom w:val="single" w:sz="4" w:space="0" w:color="auto"/>
            </w:tcBorders>
            <w:shd w:val="clear" w:color="auto" w:fill="auto"/>
            <w:vAlign w:val="center"/>
          </w:tcPr>
          <w:p w:rsidR="00860150" w:rsidRPr="00576843" w:rsidRDefault="00860150" w:rsidP="001B037B">
            <w:pPr>
              <w:jc w:val="right"/>
              <w:rPr>
                <w:rFonts w:eastAsia="Times New Roman" w:cs="Times New Roman"/>
                <w:color w:val="FF0000"/>
                <w:lang w:eastAsia="cs-CZ"/>
              </w:rPr>
            </w:pPr>
            <w:r w:rsidRPr="00BC39C4">
              <w:rPr>
                <w:rFonts w:eastAsia="Times New Roman" w:cs="Times New Roman"/>
                <w:lang w:eastAsia="cs-CZ"/>
              </w:rPr>
              <w:t>280</w:t>
            </w:r>
          </w:p>
        </w:tc>
        <w:tc>
          <w:tcPr>
            <w:tcW w:w="1276" w:type="dxa"/>
            <w:tcBorders>
              <w:top w:val="nil"/>
              <w:bottom w:val="single" w:sz="4" w:space="0" w:color="auto"/>
            </w:tcBorders>
            <w:shd w:val="clear" w:color="auto" w:fill="auto"/>
            <w:vAlign w:val="center"/>
          </w:tcPr>
          <w:p w:rsidR="00860150" w:rsidRPr="00576843" w:rsidRDefault="00CA6E2E" w:rsidP="001B037B">
            <w:pPr>
              <w:jc w:val="right"/>
              <w:rPr>
                <w:rFonts w:eastAsia="Times New Roman" w:cs="Times New Roman"/>
                <w:color w:val="FF0000"/>
                <w:lang w:eastAsia="cs-CZ"/>
              </w:rPr>
            </w:pPr>
            <w:r w:rsidRPr="00CA6E2E">
              <w:rPr>
                <w:rFonts w:eastAsia="Times New Roman" w:cs="Times New Roman"/>
                <w:lang w:eastAsia="cs-CZ"/>
              </w:rPr>
              <w:t>164,71</w:t>
            </w:r>
          </w:p>
        </w:tc>
      </w:tr>
      <w:tr w:rsidR="00860150" w:rsidRPr="00576843" w:rsidTr="001B037B">
        <w:tc>
          <w:tcPr>
            <w:tcW w:w="4385" w:type="dxa"/>
            <w:tcBorders>
              <w:top w:val="nil"/>
              <w:bottom w:val="nil"/>
            </w:tcBorders>
            <w:shd w:val="clear" w:color="auto" w:fill="auto"/>
          </w:tcPr>
          <w:p w:rsidR="00860150" w:rsidRPr="00351291" w:rsidRDefault="00860150" w:rsidP="001B037B">
            <w:pPr>
              <w:rPr>
                <w:rFonts w:eastAsia="Times New Roman" w:cs="Times New Roman"/>
                <w:lang w:eastAsia="cs-CZ"/>
              </w:rPr>
            </w:pPr>
            <w:r w:rsidRPr="00351291">
              <w:rPr>
                <w:rFonts w:eastAsia="Times New Roman" w:cs="Times New Roman"/>
                <w:lang w:eastAsia="cs-CZ"/>
              </w:rPr>
              <w:t xml:space="preserve">Členské příspěvky mezinár. vládním org. </w:t>
            </w:r>
          </w:p>
        </w:tc>
        <w:tc>
          <w:tcPr>
            <w:tcW w:w="1134" w:type="dxa"/>
            <w:tcBorders>
              <w:top w:val="nil"/>
              <w:bottom w:val="nil"/>
            </w:tcBorders>
            <w:shd w:val="clear" w:color="auto" w:fill="auto"/>
            <w:vAlign w:val="center"/>
          </w:tcPr>
          <w:p w:rsidR="00860150" w:rsidRPr="00351291" w:rsidRDefault="00860150" w:rsidP="001B037B">
            <w:pPr>
              <w:jc w:val="right"/>
              <w:rPr>
                <w:rFonts w:eastAsia="Times New Roman" w:cs="Times New Roman"/>
                <w:lang w:eastAsia="cs-CZ"/>
              </w:rPr>
            </w:pPr>
            <w:r w:rsidRPr="00351291">
              <w:rPr>
                <w:rFonts w:eastAsia="Times New Roman" w:cs="Times New Roman"/>
                <w:lang w:eastAsia="cs-CZ"/>
              </w:rPr>
              <w:t>1 449</w:t>
            </w:r>
          </w:p>
        </w:tc>
        <w:tc>
          <w:tcPr>
            <w:tcW w:w="1275" w:type="dxa"/>
            <w:tcBorders>
              <w:top w:val="nil"/>
              <w:bottom w:val="nil"/>
            </w:tcBorders>
            <w:shd w:val="clear" w:color="auto" w:fill="auto"/>
            <w:vAlign w:val="center"/>
          </w:tcPr>
          <w:p w:rsidR="00860150" w:rsidRPr="00351291" w:rsidRDefault="00860150" w:rsidP="001B037B">
            <w:pPr>
              <w:jc w:val="right"/>
              <w:rPr>
                <w:rFonts w:eastAsia="Times New Roman" w:cs="Times New Roman"/>
                <w:lang w:eastAsia="cs-CZ"/>
              </w:rPr>
            </w:pPr>
            <w:r w:rsidRPr="00351291">
              <w:rPr>
                <w:rFonts w:eastAsia="Times New Roman" w:cs="Times New Roman"/>
                <w:lang w:eastAsia="cs-CZ"/>
              </w:rPr>
              <w:t>60</w:t>
            </w:r>
          </w:p>
        </w:tc>
        <w:tc>
          <w:tcPr>
            <w:tcW w:w="1276" w:type="dxa"/>
            <w:tcBorders>
              <w:top w:val="nil"/>
              <w:bottom w:val="nil"/>
            </w:tcBorders>
            <w:shd w:val="clear" w:color="auto" w:fill="auto"/>
            <w:vAlign w:val="center"/>
          </w:tcPr>
          <w:p w:rsidR="00860150" w:rsidRPr="00576843" w:rsidRDefault="00860150" w:rsidP="001B037B">
            <w:pPr>
              <w:jc w:val="right"/>
              <w:rPr>
                <w:rFonts w:eastAsia="Times New Roman" w:cs="Times New Roman"/>
                <w:color w:val="FF0000"/>
                <w:lang w:eastAsia="cs-CZ"/>
              </w:rPr>
            </w:pPr>
            <w:r w:rsidRPr="00BC39C4">
              <w:rPr>
                <w:rFonts w:eastAsia="Times New Roman" w:cs="Times New Roman"/>
                <w:lang w:eastAsia="cs-CZ"/>
              </w:rPr>
              <w:t>18 328</w:t>
            </w:r>
          </w:p>
        </w:tc>
        <w:tc>
          <w:tcPr>
            <w:tcW w:w="1276" w:type="dxa"/>
            <w:tcBorders>
              <w:top w:val="nil"/>
              <w:bottom w:val="nil"/>
            </w:tcBorders>
            <w:shd w:val="clear" w:color="auto" w:fill="auto"/>
            <w:vAlign w:val="center"/>
          </w:tcPr>
          <w:p w:rsidR="00860150" w:rsidRPr="00576843" w:rsidRDefault="00860150" w:rsidP="001B037B">
            <w:pPr>
              <w:jc w:val="right"/>
              <w:rPr>
                <w:rFonts w:eastAsia="Times New Roman" w:cs="Times New Roman"/>
                <w:color w:val="FF0000"/>
                <w:lang w:eastAsia="cs-CZ"/>
              </w:rPr>
            </w:pPr>
            <w:r w:rsidRPr="00BC39C4">
              <w:rPr>
                <w:rFonts w:eastAsia="Times New Roman" w:cs="Times New Roman"/>
                <w:lang w:eastAsia="cs-CZ"/>
              </w:rPr>
              <w:t>30 546,67</w:t>
            </w:r>
          </w:p>
        </w:tc>
      </w:tr>
      <w:tr w:rsidR="00860150" w:rsidRPr="00576843" w:rsidTr="001B037B">
        <w:tc>
          <w:tcPr>
            <w:tcW w:w="4385" w:type="dxa"/>
            <w:tcBorders>
              <w:top w:val="nil"/>
              <w:bottom w:val="single" w:sz="4" w:space="0" w:color="auto"/>
            </w:tcBorders>
            <w:shd w:val="clear" w:color="auto" w:fill="auto"/>
          </w:tcPr>
          <w:p w:rsidR="00860150" w:rsidRPr="00351291" w:rsidRDefault="00860150" w:rsidP="001B037B">
            <w:pPr>
              <w:rPr>
                <w:rFonts w:eastAsia="Times New Roman" w:cs="Times New Roman"/>
                <w:lang w:eastAsia="cs-CZ"/>
              </w:rPr>
            </w:pPr>
            <w:r w:rsidRPr="00351291">
              <w:rPr>
                <w:rFonts w:eastAsia="Times New Roman" w:cs="Times New Roman"/>
                <w:lang w:eastAsia="cs-CZ"/>
              </w:rPr>
              <w:t>Členské příspěvky mezinár. nevládním org.</w:t>
            </w:r>
          </w:p>
        </w:tc>
        <w:tc>
          <w:tcPr>
            <w:tcW w:w="1134" w:type="dxa"/>
            <w:tcBorders>
              <w:top w:val="nil"/>
              <w:bottom w:val="single" w:sz="4" w:space="0" w:color="auto"/>
            </w:tcBorders>
            <w:shd w:val="clear" w:color="auto" w:fill="auto"/>
            <w:vAlign w:val="center"/>
          </w:tcPr>
          <w:p w:rsidR="00860150" w:rsidRPr="00351291" w:rsidRDefault="00860150" w:rsidP="001B037B">
            <w:pPr>
              <w:jc w:val="right"/>
              <w:rPr>
                <w:rFonts w:eastAsia="Times New Roman" w:cs="Times New Roman"/>
                <w:lang w:eastAsia="cs-CZ"/>
              </w:rPr>
            </w:pPr>
            <w:r w:rsidRPr="00351291">
              <w:rPr>
                <w:rFonts w:eastAsia="Times New Roman" w:cs="Times New Roman"/>
                <w:lang w:eastAsia="cs-CZ"/>
              </w:rPr>
              <w:t>566</w:t>
            </w:r>
          </w:p>
        </w:tc>
        <w:tc>
          <w:tcPr>
            <w:tcW w:w="1275" w:type="dxa"/>
            <w:tcBorders>
              <w:top w:val="nil"/>
              <w:bottom w:val="single" w:sz="4" w:space="0" w:color="auto"/>
            </w:tcBorders>
            <w:shd w:val="clear" w:color="auto" w:fill="auto"/>
            <w:vAlign w:val="center"/>
          </w:tcPr>
          <w:p w:rsidR="00860150" w:rsidRPr="00351291" w:rsidRDefault="00860150" w:rsidP="001B037B">
            <w:pPr>
              <w:jc w:val="right"/>
              <w:rPr>
                <w:rFonts w:eastAsia="Times New Roman" w:cs="Times New Roman"/>
                <w:lang w:eastAsia="cs-CZ"/>
              </w:rPr>
            </w:pPr>
            <w:r w:rsidRPr="00351291">
              <w:rPr>
                <w:rFonts w:eastAsia="Times New Roman" w:cs="Times New Roman"/>
                <w:lang w:eastAsia="cs-CZ"/>
              </w:rPr>
              <w:t>0</w:t>
            </w:r>
          </w:p>
        </w:tc>
        <w:tc>
          <w:tcPr>
            <w:tcW w:w="1276" w:type="dxa"/>
            <w:tcBorders>
              <w:top w:val="nil"/>
              <w:bottom w:val="single" w:sz="4" w:space="0" w:color="auto"/>
            </w:tcBorders>
            <w:shd w:val="clear" w:color="auto" w:fill="auto"/>
            <w:vAlign w:val="center"/>
          </w:tcPr>
          <w:p w:rsidR="00860150" w:rsidRPr="00576843" w:rsidRDefault="00860150" w:rsidP="001B037B">
            <w:pPr>
              <w:jc w:val="right"/>
              <w:rPr>
                <w:rFonts w:eastAsia="Times New Roman" w:cs="Times New Roman"/>
                <w:color w:val="FF0000"/>
                <w:lang w:eastAsia="cs-CZ"/>
              </w:rPr>
            </w:pPr>
            <w:r w:rsidRPr="00BC39C4">
              <w:rPr>
                <w:rFonts w:eastAsia="Times New Roman" w:cs="Times New Roman"/>
                <w:lang w:eastAsia="cs-CZ"/>
              </w:rPr>
              <w:t>826</w:t>
            </w:r>
          </w:p>
        </w:tc>
        <w:tc>
          <w:tcPr>
            <w:tcW w:w="1276" w:type="dxa"/>
            <w:tcBorders>
              <w:top w:val="nil"/>
              <w:bottom w:val="single" w:sz="4" w:space="0" w:color="auto"/>
            </w:tcBorders>
            <w:shd w:val="clear" w:color="auto" w:fill="auto"/>
            <w:vAlign w:val="center"/>
          </w:tcPr>
          <w:p w:rsidR="00860150" w:rsidRPr="00BC39C4" w:rsidRDefault="00860150" w:rsidP="001B037B">
            <w:pPr>
              <w:jc w:val="right"/>
              <w:rPr>
                <w:rFonts w:eastAsia="Times New Roman" w:cs="Times New Roman"/>
                <w:lang w:eastAsia="cs-CZ"/>
              </w:rPr>
            </w:pPr>
            <w:r w:rsidRPr="00BC39C4">
              <w:rPr>
                <w:rFonts w:eastAsia="Times New Roman" w:cs="Times New Roman"/>
                <w:lang w:eastAsia="cs-CZ"/>
              </w:rPr>
              <w:t>x</w:t>
            </w:r>
          </w:p>
        </w:tc>
      </w:tr>
    </w:tbl>
    <w:p w:rsidR="00860150" w:rsidRPr="00001660" w:rsidRDefault="00860150" w:rsidP="00860150">
      <w:pPr>
        <w:pStyle w:val="Styl1"/>
        <w:rPr>
          <w:i/>
        </w:rPr>
      </w:pPr>
      <w:r w:rsidRPr="005820C6">
        <w:rPr>
          <w:i/>
        </w:rPr>
        <w:t>Pozn. k tabulce: Na základě konzultací s MF došlo k přesunu jednotlivých položek v rámci druhového třídění.</w:t>
      </w:r>
    </w:p>
    <w:p w:rsidR="00860150" w:rsidRPr="00576843" w:rsidRDefault="00860150" w:rsidP="00860150">
      <w:pPr>
        <w:pStyle w:val="Styl1"/>
        <w:rPr>
          <w:color w:val="FF0000"/>
        </w:rPr>
      </w:pPr>
      <w:r w:rsidRPr="00154831">
        <w:t xml:space="preserve">V návrhu rozpočtu kapitoly 327 </w:t>
      </w:r>
      <w:r>
        <w:t>Ministerstvo dopravy na rok 2021</w:t>
      </w:r>
      <w:r w:rsidRPr="00154831">
        <w:t xml:space="preserve"> jsou zahrnuty i neinvestiční transfery do zahraničí ve výši </w:t>
      </w:r>
      <w:r>
        <w:t>1 224</w:t>
      </w:r>
      <w:r w:rsidRPr="00154831">
        <w:t xml:space="preserve"> </w:t>
      </w:r>
      <w:r>
        <w:t>436</w:t>
      </w:r>
      <w:r w:rsidRPr="00154831">
        <w:t xml:space="preserve"> tis. Kč, tj. o </w:t>
      </w:r>
      <w:r>
        <w:t>3 366</w:t>
      </w:r>
      <w:r w:rsidRPr="00154831">
        <w:t xml:space="preserve"> tis. Kč méně než v roce 2020. </w:t>
      </w:r>
      <w:r w:rsidR="009210B6">
        <w:t>Detailní rozdělení lze nalézt  v příloze č. 9.</w:t>
      </w:r>
    </w:p>
    <w:p w:rsidR="00860150" w:rsidRPr="00774090" w:rsidRDefault="00860150" w:rsidP="005820C6">
      <w:pPr>
        <w:pStyle w:val="Nadpis9"/>
        <w:rPr>
          <w:lang w:eastAsia="cs-CZ"/>
        </w:rPr>
      </w:pPr>
      <w:r w:rsidRPr="00774090">
        <w:rPr>
          <w:lang w:eastAsia="cs-CZ"/>
        </w:rPr>
        <w:t xml:space="preserve">Neinvestiční transfery mezinárodním vládním organizacím </w:t>
      </w:r>
    </w:p>
    <w:p w:rsidR="00860150" w:rsidRPr="00774090" w:rsidRDefault="00860150" w:rsidP="00860150">
      <w:pPr>
        <w:pStyle w:val="Styl1"/>
      </w:pPr>
      <w:r w:rsidRPr="00774090">
        <w:t xml:space="preserve">Transfery mezinárodním vládním organizacím jsou pro rok 2021 navrhovány ve výši </w:t>
      </w:r>
      <w:r w:rsidRPr="00774090">
        <w:br/>
        <w:t>1 </w:t>
      </w:r>
      <w:r>
        <w:t>2</w:t>
      </w:r>
      <w:r w:rsidRPr="00774090">
        <w:t>05 002 tis. Kč, přičemž jde především o účast ČR ve volitelných programech Evropské kosmické agentury (ESA)</w:t>
      </w:r>
      <w:r>
        <w:t xml:space="preserve"> ve výši 1 2</w:t>
      </w:r>
      <w:r w:rsidRPr="00774090">
        <w:t xml:space="preserve">05 000 tis. Kč. </w:t>
      </w:r>
    </w:p>
    <w:p w:rsidR="00860150" w:rsidRPr="00774090" w:rsidRDefault="00860150" w:rsidP="005820C6">
      <w:pPr>
        <w:pStyle w:val="Nadpis9"/>
        <w:rPr>
          <w:lang w:eastAsia="cs-CZ"/>
        </w:rPr>
      </w:pPr>
      <w:r w:rsidRPr="00774090">
        <w:rPr>
          <w:lang w:eastAsia="cs-CZ"/>
        </w:rPr>
        <w:t xml:space="preserve">Ostatní neinvestiční </w:t>
      </w:r>
      <w:r w:rsidRPr="005820C6">
        <w:t>transfery</w:t>
      </w:r>
      <w:r w:rsidRPr="00774090">
        <w:rPr>
          <w:lang w:eastAsia="cs-CZ"/>
        </w:rPr>
        <w:t xml:space="preserve"> do zahraničí</w:t>
      </w:r>
    </w:p>
    <w:p w:rsidR="00860150" w:rsidRPr="00576843" w:rsidRDefault="00860150" w:rsidP="00860150">
      <w:pPr>
        <w:pStyle w:val="Styl1"/>
        <w:rPr>
          <w:color w:val="FF0000"/>
        </w:rPr>
      </w:pPr>
      <w:r w:rsidRPr="00BC39C4">
        <w:t>Ostatní neinvestiční transfery do zahraničí jsou pro rok 2021 navrhovány ve výši 280 tis. Kč.</w:t>
      </w:r>
    </w:p>
    <w:p w:rsidR="00860150" w:rsidRPr="00774090" w:rsidRDefault="00860150" w:rsidP="005820C6">
      <w:pPr>
        <w:pStyle w:val="Nadpis9"/>
      </w:pPr>
      <w:r w:rsidRPr="00774090">
        <w:t xml:space="preserve">Členské příspěvky mezinárodním vládním organizacím </w:t>
      </w:r>
    </w:p>
    <w:p w:rsidR="00860150" w:rsidRPr="00576843" w:rsidRDefault="00860150" w:rsidP="00860150">
      <w:pPr>
        <w:pStyle w:val="Styl1"/>
        <w:rPr>
          <w:color w:val="FF0000"/>
        </w:rPr>
      </w:pPr>
      <w:r w:rsidRPr="00BC39C4">
        <w:t>Členské příspěvky mezinárodním vládním organizacím jsou pro rok</w:t>
      </w:r>
      <w:r>
        <w:rPr>
          <w:color w:val="FF0000"/>
        </w:rPr>
        <w:t xml:space="preserve"> </w:t>
      </w:r>
      <w:r w:rsidRPr="00BC39C4">
        <w:t>2021 navrhovány ve výši 18 328 tis. Kč.</w:t>
      </w:r>
    </w:p>
    <w:p w:rsidR="00860150" w:rsidRPr="00774090" w:rsidRDefault="00860150" w:rsidP="005820C6">
      <w:pPr>
        <w:pStyle w:val="Nadpis9"/>
      </w:pPr>
      <w:r w:rsidRPr="00774090">
        <w:t xml:space="preserve">Členské příspěvky mezinárodním </w:t>
      </w:r>
      <w:r>
        <w:t>ne</w:t>
      </w:r>
      <w:r w:rsidRPr="00774090">
        <w:t xml:space="preserve">vládním organizacím </w:t>
      </w:r>
    </w:p>
    <w:p w:rsidR="00860150" w:rsidRDefault="00860150" w:rsidP="00860150">
      <w:pPr>
        <w:pStyle w:val="Styl1"/>
      </w:pPr>
      <w:r w:rsidRPr="00BC39C4">
        <w:t xml:space="preserve">Členské příspěvky mezinárodním </w:t>
      </w:r>
      <w:r>
        <w:t>ne</w:t>
      </w:r>
      <w:r w:rsidRPr="00BC39C4">
        <w:t>vládním organizacím jsou pro rok</w:t>
      </w:r>
      <w:r>
        <w:rPr>
          <w:color w:val="FF0000"/>
        </w:rPr>
        <w:t xml:space="preserve"> </w:t>
      </w:r>
      <w:r w:rsidRPr="00BC39C4">
        <w:t xml:space="preserve">2021 navrhovány ve výši </w:t>
      </w:r>
      <w:r>
        <w:t>826</w:t>
      </w:r>
      <w:r w:rsidRPr="00BC39C4">
        <w:t xml:space="preserve"> tis. Kč.</w:t>
      </w:r>
    </w:p>
    <w:p w:rsidR="005820C6" w:rsidRDefault="005820C6" w:rsidP="00860150">
      <w:pPr>
        <w:pStyle w:val="Styl1"/>
      </w:pPr>
    </w:p>
    <w:p w:rsidR="005820C6" w:rsidRDefault="005820C6" w:rsidP="00860150">
      <w:pPr>
        <w:pStyle w:val="Styl1"/>
      </w:pPr>
    </w:p>
    <w:p w:rsidR="005820C6" w:rsidRDefault="005820C6" w:rsidP="00860150">
      <w:pPr>
        <w:pStyle w:val="Styl1"/>
      </w:pPr>
    </w:p>
    <w:p w:rsidR="005820C6" w:rsidRDefault="005820C6" w:rsidP="00860150">
      <w:pPr>
        <w:pStyle w:val="Styl1"/>
      </w:pPr>
    </w:p>
    <w:p w:rsidR="00144267" w:rsidRPr="00910074" w:rsidRDefault="00144267" w:rsidP="007B2F4B">
      <w:pPr>
        <w:pStyle w:val="Nadpis3"/>
      </w:pPr>
      <w:bookmarkStart w:id="77" w:name="_Toc53750576"/>
      <w:r w:rsidRPr="00910074">
        <w:lastRenderedPageBreak/>
        <w:t>Neinvestiční transfery státním fondům</w:t>
      </w:r>
      <w:bookmarkEnd w:id="59"/>
      <w:bookmarkEnd w:id="77"/>
    </w:p>
    <w:p w:rsidR="00910074" w:rsidRPr="00E24034" w:rsidRDefault="00910074" w:rsidP="00910074">
      <w:pPr>
        <w:pStyle w:val="Styl1"/>
        <w:rPr>
          <w:color w:val="FF0000"/>
        </w:rPr>
      </w:pPr>
      <w:r w:rsidRPr="000C4647">
        <w:t>Neinvestiční tran</w:t>
      </w:r>
      <w:r>
        <w:t>sfer státním fondům pro rok 2021</w:t>
      </w:r>
      <w:r w:rsidRPr="000C4647">
        <w:t xml:space="preserve"> je navrhován Státnímu fondu dopravní infrastruktury (SFDI), a to v celkové výši </w:t>
      </w:r>
      <w:r w:rsidRPr="000C4647">
        <w:rPr>
          <w:b/>
        </w:rPr>
        <w:t>15 063 554 tis. Kč</w:t>
      </w:r>
      <w:r w:rsidRPr="000C4647">
        <w:t xml:space="preserve">.                                                                                                                         </w:t>
      </w:r>
    </w:p>
    <w:p w:rsidR="00910074" w:rsidRPr="000C4647" w:rsidRDefault="00910074" w:rsidP="00910074">
      <w:pPr>
        <w:pStyle w:val="Titulek"/>
        <w:keepNext/>
        <w:rPr>
          <w:noProof/>
        </w:rPr>
      </w:pPr>
      <w:r w:rsidRPr="000C4647">
        <w:t xml:space="preserve">Tabulka č. </w:t>
      </w:r>
      <w:r w:rsidRPr="000C4647">
        <w:rPr>
          <w:noProof/>
        </w:rPr>
        <w:fldChar w:fldCharType="begin"/>
      </w:r>
      <w:r w:rsidRPr="000C4647">
        <w:rPr>
          <w:noProof/>
        </w:rPr>
        <w:instrText xml:space="preserve"> SEQ Tabulka \* ARABIC </w:instrText>
      </w:r>
      <w:r w:rsidRPr="000C4647">
        <w:rPr>
          <w:noProof/>
        </w:rPr>
        <w:fldChar w:fldCharType="separate"/>
      </w:r>
      <w:r w:rsidR="006076E7">
        <w:rPr>
          <w:noProof/>
        </w:rPr>
        <w:t>24</w:t>
      </w:r>
      <w:r w:rsidRPr="000C4647">
        <w:rPr>
          <w:noProof/>
        </w:rPr>
        <w:fldChar w:fldCharType="end"/>
      </w:r>
      <w:r w:rsidRPr="000C4647">
        <w:rPr>
          <w:noProof/>
        </w:rPr>
        <w:t xml:space="preserve"> Neinvestiční transfery státním fondům (v tis. Kč)</w:t>
      </w:r>
    </w:p>
    <w:tbl>
      <w:tblPr>
        <w:tblStyle w:val="Svtltabulkasmkou1zvraznn5"/>
        <w:tblW w:w="9356"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47"/>
        <w:gridCol w:w="1414"/>
        <w:gridCol w:w="1304"/>
        <w:gridCol w:w="1393"/>
        <w:gridCol w:w="998"/>
      </w:tblGrid>
      <w:tr w:rsidR="00910074" w:rsidRPr="00E24034" w:rsidTr="00910074">
        <w:tc>
          <w:tcPr>
            <w:tcW w:w="410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0C4647" w:rsidRDefault="00910074" w:rsidP="00910074">
            <w:pPr>
              <w:jc w:val="center"/>
              <w:rPr>
                <w:rFonts w:eastAsia="Times New Roman" w:cs="Times New Roman"/>
                <w:b/>
                <w:szCs w:val="24"/>
                <w:lang w:eastAsia="cs-CZ"/>
              </w:rPr>
            </w:pPr>
            <w:r w:rsidRPr="000C4647">
              <w:rPr>
                <w:rFonts w:eastAsia="Times New Roman" w:cs="Times New Roman"/>
                <w:b/>
                <w:szCs w:val="24"/>
                <w:lang w:eastAsia="cs-CZ"/>
              </w:rPr>
              <w:t>Ukazatel</w:t>
            </w:r>
          </w:p>
        </w:tc>
        <w:tc>
          <w:tcPr>
            <w:tcW w:w="1365"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rsidR="00910074" w:rsidRPr="000C4647" w:rsidRDefault="00910074" w:rsidP="00910074">
            <w:pPr>
              <w:jc w:val="center"/>
              <w:rPr>
                <w:rFonts w:eastAsia="Times New Roman" w:cs="Times New Roman"/>
                <w:b/>
                <w:szCs w:val="24"/>
                <w:lang w:eastAsia="cs-CZ"/>
              </w:rPr>
            </w:pPr>
            <w:r w:rsidRPr="000C4647">
              <w:rPr>
                <w:rFonts w:eastAsia="Times New Roman" w:cs="Times New Roman"/>
                <w:b/>
                <w:szCs w:val="24"/>
                <w:lang w:eastAsia="cs-CZ"/>
              </w:rPr>
              <w:t>Skutečnost</w:t>
            </w:r>
          </w:p>
          <w:p w:rsidR="00910074" w:rsidRPr="000C4647" w:rsidRDefault="00910074" w:rsidP="00910074">
            <w:pPr>
              <w:jc w:val="center"/>
              <w:rPr>
                <w:rFonts w:eastAsia="Times New Roman" w:cs="Times New Roman"/>
                <w:b/>
                <w:szCs w:val="24"/>
                <w:lang w:eastAsia="cs-CZ"/>
              </w:rPr>
            </w:pPr>
            <w:r w:rsidRPr="000C4647">
              <w:rPr>
                <w:rFonts w:eastAsia="Times New Roman" w:cs="Times New Roman"/>
                <w:b/>
                <w:szCs w:val="24"/>
                <w:lang w:eastAsia="cs-CZ"/>
              </w:rPr>
              <w:t>2019</w:t>
            </w:r>
          </w:p>
        </w:tc>
        <w:tc>
          <w:tcPr>
            <w:tcW w:w="1259"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rsidR="00910074" w:rsidRPr="000C4647" w:rsidRDefault="00910074" w:rsidP="00910074">
            <w:pPr>
              <w:jc w:val="center"/>
              <w:rPr>
                <w:rFonts w:eastAsia="Times New Roman" w:cs="Times New Roman"/>
                <w:b/>
                <w:szCs w:val="24"/>
                <w:lang w:eastAsia="cs-CZ"/>
              </w:rPr>
            </w:pPr>
            <w:r w:rsidRPr="000C4647">
              <w:rPr>
                <w:rFonts w:eastAsia="Times New Roman" w:cs="Times New Roman"/>
                <w:b/>
                <w:szCs w:val="24"/>
                <w:lang w:eastAsia="cs-CZ"/>
              </w:rPr>
              <w:t>Schválený</w:t>
            </w:r>
          </w:p>
          <w:p w:rsidR="00910074" w:rsidRPr="000C4647" w:rsidRDefault="00910074" w:rsidP="00910074">
            <w:pPr>
              <w:jc w:val="center"/>
              <w:rPr>
                <w:rFonts w:eastAsia="Times New Roman" w:cs="Times New Roman"/>
                <w:b/>
                <w:szCs w:val="24"/>
                <w:lang w:eastAsia="cs-CZ"/>
              </w:rPr>
            </w:pPr>
            <w:r w:rsidRPr="000C4647">
              <w:rPr>
                <w:rFonts w:eastAsia="Times New Roman" w:cs="Times New Roman"/>
                <w:b/>
                <w:szCs w:val="24"/>
                <w:lang w:eastAsia="cs-CZ"/>
              </w:rPr>
              <w:t>rozpočet</w:t>
            </w:r>
          </w:p>
          <w:p w:rsidR="00910074" w:rsidRPr="000C4647" w:rsidRDefault="00910074" w:rsidP="00910074">
            <w:pPr>
              <w:jc w:val="center"/>
              <w:rPr>
                <w:rFonts w:eastAsia="Times New Roman" w:cs="Times New Roman"/>
                <w:b/>
                <w:szCs w:val="24"/>
                <w:lang w:eastAsia="cs-CZ"/>
              </w:rPr>
            </w:pPr>
            <w:r w:rsidRPr="000C4647">
              <w:rPr>
                <w:rFonts w:eastAsia="Times New Roman" w:cs="Times New Roman"/>
                <w:b/>
                <w:szCs w:val="24"/>
                <w:lang w:eastAsia="cs-CZ"/>
              </w:rPr>
              <w:t>2020</w:t>
            </w:r>
          </w:p>
        </w:tc>
        <w:tc>
          <w:tcPr>
            <w:tcW w:w="1345"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rsidR="00910074" w:rsidRPr="000C4647" w:rsidRDefault="00910074" w:rsidP="00910074">
            <w:pPr>
              <w:jc w:val="center"/>
              <w:rPr>
                <w:rFonts w:eastAsia="Times New Roman" w:cs="Times New Roman"/>
                <w:b/>
                <w:szCs w:val="24"/>
                <w:lang w:eastAsia="cs-CZ"/>
              </w:rPr>
            </w:pPr>
            <w:r w:rsidRPr="000C4647">
              <w:rPr>
                <w:rFonts w:eastAsia="Times New Roman" w:cs="Times New Roman"/>
                <w:b/>
                <w:szCs w:val="24"/>
                <w:lang w:eastAsia="cs-CZ"/>
              </w:rPr>
              <w:t>Návrh</w:t>
            </w:r>
          </w:p>
          <w:p w:rsidR="00910074" w:rsidRPr="000C4647" w:rsidRDefault="00910074" w:rsidP="00910074">
            <w:pPr>
              <w:jc w:val="center"/>
              <w:rPr>
                <w:rFonts w:eastAsia="Times New Roman" w:cs="Times New Roman"/>
                <w:b/>
                <w:szCs w:val="24"/>
                <w:lang w:eastAsia="cs-CZ"/>
              </w:rPr>
            </w:pPr>
            <w:r w:rsidRPr="000C4647">
              <w:rPr>
                <w:rFonts w:eastAsia="Times New Roman" w:cs="Times New Roman"/>
                <w:b/>
                <w:szCs w:val="24"/>
                <w:lang w:eastAsia="cs-CZ"/>
              </w:rPr>
              <w:t>rozpočtu</w:t>
            </w:r>
          </w:p>
          <w:p w:rsidR="00910074" w:rsidRPr="000C4647" w:rsidRDefault="00910074" w:rsidP="00910074">
            <w:pPr>
              <w:jc w:val="center"/>
              <w:rPr>
                <w:rFonts w:eastAsia="Times New Roman" w:cs="Times New Roman"/>
                <w:b/>
                <w:szCs w:val="24"/>
                <w:lang w:eastAsia="cs-CZ"/>
              </w:rPr>
            </w:pPr>
            <w:r w:rsidRPr="000C4647">
              <w:rPr>
                <w:rFonts w:eastAsia="Times New Roman" w:cs="Times New Roman"/>
                <w:b/>
                <w:szCs w:val="24"/>
                <w:lang w:eastAsia="cs-CZ"/>
              </w:rPr>
              <w:t>2021</w:t>
            </w:r>
          </w:p>
        </w:tc>
        <w:tc>
          <w:tcPr>
            <w:tcW w:w="964"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rsidR="00910074" w:rsidRPr="000C4647" w:rsidRDefault="00910074" w:rsidP="00910074">
            <w:pPr>
              <w:jc w:val="center"/>
              <w:rPr>
                <w:rFonts w:eastAsia="Times New Roman" w:cs="Times New Roman"/>
                <w:b/>
                <w:szCs w:val="24"/>
                <w:lang w:eastAsia="cs-CZ"/>
              </w:rPr>
            </w:pPr>
            <w:r w:rsidRPr="000C4647">
              <w:rPr>
                <w:rFonts w:eastAsia="Times New Roman" w:cs="Times New Roman"/>
                <w:b/>
                <w:szCs w:val="24"/>
                <w:lang w:eastAsia="cs-CZ"/>
              </w:rPr>
              <w:t>Index</w:t>
            </w:r>
          </w:p>
          <w:p w:rsidR="00910074" w:rsidRPr="000C4647" w:rsidRDefault="00910074" w:rsidP="00910074">
            <w:pPr>
              <w:jc w:val="center"/>
              <w:rPr>
                <w:rFonts w:eastAsia="Times New Roman" w:cs="Times New Roman"/>
                <w:b/>
                <w:szCs w:val="24"/>
                <w:lang w:eastAsia="cs-CZ"/>
              </w:rPr>
            </w:pPr>
            <w:r w:rsidRPr="000C4647">
              <w:rPr>
                <w:rFonts w:eastAsia="Times New Roman" w:cs="Times New Roman"/>
                <w:b/>
                <w:szCs w:val="24"/>
                <w:lang w:eastAsia="cs-CZ"/>
              </w:rPr>
              <w:t>2021/</w:t>
            </w:r>
            <w:r w:rsidRPr="000C4647">
              <w:rPr>
                <w:rFonts w:eastAsia="Times New Roman" w:cs="Times New Roman"/>
                <w:b/>
                <w:szCs w:val="24"/>
                <w:lang w:eastAsia="cs-CZ"/>
              </w:rPr>
              <w:br/>
              <w:t xml:space="preserve">2020  </w:t>
            </w:r>
            <w:r w:rsidRPr="000C4647">
              <w:rPr>
                <w:rFonts w:eastAsia="Times New Roman" w:cs="Times New Roman"/>
                <w:b/>
                <w:szCs w:val="24"/>
                <w:lang w:eastAsia="cs-CZ"/>
              </w:rPr>
              <w:br/>
              <w:t>(v %)</w:t>
            </w:r>
          </w:p>
        </w:tc>
      </w:tr>
      <w:tr w:rsidR="00910074" w:rsidRPr="00E24034" w:rsidTr="00910074">
        <w:tc>
          <w:tcPr>
            <w:tcW w:w="4101" w:type="dxa"/>
            <w:tcBorders>
              <w:top w:val="single" w:sz="4" w:space="0" w:color="7F7F7F" w:themeColor="text1" w:themeTint="80"/>
              <w:bottom w:val="single" w:sz="8" w:space="0" w:color="7F7F7F" w:themeColor="text1" w:themeTint="80"/>
            </w:tcBorders>
            <w:shd w:val="clear" w:color="auto" w:fill="auto"/>
          </w:tcPr>
          <w:p w:rsidR="00910074" w:rsidRPr="000C4647" w:rsidRDefault="00910074" w:rsidP="00910074">
            <w:pPr>
              <w:jc w:val="center"/>
              <w:rPr>
                <w:rFonts w:eastAsia="Times New Roman" w:cs="Times New Roman"/>
                <w:szCs w:val="24"/>
                <w:lang w:eastAsia="cs-CZ"/>
              </w:rPr>
            </w:pPr>
            <w:r w:rsidRPr="000C4647">
              <w:rPr>
                <w:rFonts w:eastAsia="Times New Roman" w:cs="Times New Roman"/>
                <w:szCs w:val="24"/>
                <w:lang w:eastAsia="cs-CZ"/>
              </w:rPr>
              <w:t>a</w:t>
            </w:r>
          </w:p>
        </w:tc>
        <w:tc>
          <w:tcPr>
            <w:tcW w:w="1365" w:type="dxa"/>
            <w:tcBorders>
              <w:top w:val="single" w:sz="4" w:space="0" w:color="7F7F7F" w:themeColor="text1" w:themeTint="80"/>
              <w:bottom w:val="single" w:sz="8" w:space="0" w:color="7F7F7F" w:themeColor="text1" w:themeTint="80"/>
            </w:tcBorders>
            <w:shd w:val="clear" w:color="auto" w:fill="auto"/>
          </w:tcPr>
          <w:p w:rsidR="00910074" w:rsidRPr="000C4647" w:rsidRDefault="00910074" w:rsidP="00910074">
            <w:pPr>
              <w:jc w:val="center"/>
              <w:rPr>
                <w:rFonts w:eastAsia="Times New Roman" w:cs="Times New Roman"/>
                <w:szCs w:val="24"/>
                <w:lang w:eastAsia="cs-CZ"/>
              </w:rPr>
            </w:pPr>
            <w:r w:rsidRPr="000C4647">
              <w:rPr>
                <w:rFonts w:eastAsia="Times New Roman" w:cs="Times New Roman"/>
                <w:szCs w:val="24"/>
                <w:lang w:eastAsia="cs-CZ"/>
              </w:rPr>
              <w:t>1</w:t>
            </w:r>
          </w:p>
        </w:tc>
        <w:tc>
          <w:tcPr>
            <w:tcW w:w="1259" w:type="dxa"/>
            <w:tcBorders>
              <w:top w:val="single" w:sz="4" w:space="0" w:color="7F7F7F" w:themeColor="text1" w:themeTint="80"/>
              <w:bottom w:val="single" w:sz="8" w:space="0" w:color="7F7F7F" w:themeColor="text1" w:themeTint="80"/>
            </w:tcBorders>
            <w:shd w:val="clear" w:color="auto" w:fill="auto"/>
          </w:tcPr>
          <w:p w:rsidR="00910074" w:rsidRPr="000C4647" w:rsidRDefault="00910074" w:rsidP="00910074">
            <w:pPr>
              <w:jc w:val="center"/>
              <w:rPr>
                <w:rFonts w:eastAsia="Times New Roman" w:cs="Times New Roman"/>
                <w:szCs w:val="24"/>
                <w:lang w:eastAsia="cs-CZ"/>
              </w:rPr>
            </w:pPr>
            <w:r w:rsidRPr="000C4647">
              <w:rPr>
                <w:rFonts w:eastAsia="Times New Roman" w:cs="Times New Roman"/>
                <w:szCs w:val="24"/>
                <w:lang w:eastAsia="cs-CZ"/>
              </w:rPr>
              <w:t>2</w:t>
            </w:r>
          </w:p>
        </w:tc>
        <w:tc>
          <w:tcPr>
            <w:tcW w:w="1345" w:type="dxa"/>
            <w:tcBorders>
              <w:top w:val="single" w:sz="4" w:space="0" w:color="7F7F7F" w:themeColor="text1" w:themeTint="80"/>
              <w:bottom w:val="single" w:sz="8" w:space="0" w:color="7F7F7F" w:themeColor="text1" w:themeTint="80"/>
            </w:tcBorders>
            <w:shd w:val="clear" w:color="auto" w:fill="auto"/>
          </w:tcPr>
          <w:p w:rsidR="00910074" w:rsidRPr="000C4647" w:rsidRDefault="00910074" w:rsidP="00910074">
            <w:pPr>
              <w:jc w:val="center"/>
              <w:rPr>
                <w:rFonts w:eastAsia="Times New Roman" w:cs="Times New Roman"/>
                <w:szCs w:val="24"/>
                <w:lang w:eastAsia="cs-CZ"/>
              </w:rPr>
            </w:pPr>
            <w:r w:rsidRPr="000C4647">
              <w:rPr>
                <w:rFonts w:eastAsia="Times New Roman" w:cs="Times New Roman"/>
                <w:szCs w:val="24"/>
                <w:lang w:eastAsia="cs-CZ"/>
              </w:rPr>
              <w:t>3</w:t>
            </w:r>
          </w:p>
        </w:tc>
        <w:tc>
          <w:tcPr>
            <w:tcW w:w="964" w:type="dxa"/>
            <w:tcBorders>
              <w:top w:val="single" w:sz="4" w:space="0" w:color="7F7F7F" w:themeColor="text1" w:themeTint="80"/>
              <w:bottom w:val="single" w:sz="8" w:space="0" w:color="7F7F7F" w:themeColor="text1" w:themeTint="80"/>
            </w:tcBorders>
            <w:shd w:val="clear" w:color="auto" w:fill="auto"/>
          </w:tcPr>
          <w:p w:rsidR="00910074" w:rsidRPr="000C4647" w:rsidRDefault="00910074" w:rsidP="00910074">
            <w:pPr>
              <w:jc w:val="center"/>
              <w:rPr>
                <w:rFonts w:eastAsia="Times New Roman" w:cs="Times New Roman"/>
                <w:szCs w:val="24"/>
                <w:lang w:eastAsia="cs-CZ"/>
              </w:rPr>
            </w:pPr>
            <w:r w:rsidRPr="000C4647">
              <w:rPr>
                <w:rFonts w:eastAsia="Times New Roman" w:cs="Times New Roman"/>
                <w:szCs w:val="24"/>
                <w:lang w:eastAsia="cs-CZ"/>
              </w:rPr>
              <w:t>4</w:t>
            </w:r>
          </w:p>
        </w:tc>
      </w:tr>
      <w:tr w:rsidR="00910074" w:rsidRPr="00E24034" w:rsidTr="00910074">
        <w:trPr>
          <w:trHeight w:val="421"/>
        </w:trPr>
        <w:tc>
          <w:tcPr>
            <w:tcW w:w="4101" w:type="dxa"/>
            <w:tcBorders>
              <w:top w:val="single" w:sz="8" w:space="0" w:color="7F7F7F" w:themeColor="text1" w:themeTint="80"/>
              <w:bottom w:val="single" w:sz="8" w:space="0" w:color="7F7F7F" w:themeColor="text1" w:themeTint="80"/>
            </w:tcBorders>
            <w:shd w:val="clear" w:color="auto" w:fill="auto"/>
          </w:tcPr>
          <w:p w:rsidR="00910074" w:rsidRPr="000C4647" w:rsidRDefault="00910074" w:rsidP="00910074">
            <w:pPr>
              <w:spacing w:before="60" w:after="60"/>
              <w:ind w:right="-250"/>
              <w:rPr>
                <w:rFonts w:eastAsia="Times New Roman" w:cs="Times New Roman"/>
                <w:b/>
                <w:bCs/>
                <w:lang w:eastAsia="cs-CZ"/>
              </w:rPr>
            </w:pPr>
            <w:r w:rsidRPr="000C4647">
              <w:rPr>
                <w:rFonts w:eastAsia="Times New Roman" w:cs="Times New Roman"/>
                <w:b/>
                <w:bCs/>
                <w:lang w:eastAsia="cs-CZ"/>
              </w:rPr>
              <w:t xml:space="preserve">Neinvest. transfery státním fondům </w:t>
            </w:r>
          </w:p>
          <w:p w:rsidR="00910074" w:rsidRPr="000C4647" w:rsidRDefault="00910074" w:rsidP="00910074">
            <w:pPr>
              <w:spacing w:before="60" w:after="60"/>
              <w:ind w:right="-250"/>
              <w:rPr>
                <w:rFonts w:eastAsia="Times New Roman" w:cs="Times New Roman"/>
                <w:lang w:eastAsia="cs-CZ"/>
              </w:rPr>
            </w:pPr>
            <w:r w:rsidRPr="000C4647">
              <w:rPr>
                <w:rFonts w:eastAsia="Times New Roman" w:cs="Times New Roman"/>
                <w:bCs/>
                <w:lang w:eastAsia="cs-CZ"/>
              </w:rPr>
              <w:t>v tom:</w:t>
            </w:r>
          </w:p>
        </w:tc>
        <w:tc>
          <w:tcPr>
            <w:tcW w:w="1365" w:type="dxa"/>
            <w:tcBorders>
              <w:top w:val="single" w:sz="4" w:space="0" w:color="auto"/>
              <w:left w:val="single" w:sz="4" w:space="0" w:color="auto"/>
              <w:bottom w:val="single" w:sz="4" w:space="0" w:color="auto"/>
              <w:right w:val="single" w:sz="4" w:space="0" w:color="auto"/>
            </w:tcBorders>
          </w:tcPr>
          <w:p w:rsidR="00910074" w:rsidRPr="00AA4BF4" w:rsidRDefault="00910074" w:rsidP="00910074">
            <w:pPr>
              <w:spacing w:before="180" w:after="60"/>
              <w:jc w:val="right"/>
              <w:rPr>
                <w:rFonts w:cs="Times New Roman"/>
                <w:b/>
                <w:szCs w:val="24"/>
              </w:rPr>
            </w:pPr>
            <w:r w:rsidRPr="00AA4BF4">
              <w:rPr>
                <w:rFonts w:cs="Times New Roman"/>
                <w:b/>
                <w:szCs w:val="24"/>
              </w:rPr>
              <w:t>13 966 954</w:t>
            </w:r>
          </w:p>
        </w:tc>
        <w:tc>
          <w:tcPr>
            <w:tcW w:w="1259" w:type="dxa"/>
            <w:tcBorders>
              <w:top w:val="single" w:sz="4" w:space="0" w:color="auto"/>
              <w:left w:val="single" w:sz="4" w:space="0" w:color="auto"/>
              <w:bottom w:val="single" w:sz="4" w:space="0" w:color="auto"/>
              <w:right w:val="single" w:sz="4" w:space="0" w:color="auto"/>
            </w:tcBorders>
          </w:tcPr>
          <w:p w:rsidR="00910074" w:rsidRPr="00AA4BF4" w:rsidRDefault="00910074" w:rsidP="00910074">
            <w:pPr>
              <w:spacing w:before="180" w:after="60"/>
              <w:rPr>
                <w:rFonts w:cs="Times New Roman"/>
                <w:b/>
                <w:szCs w:val="24"/>
              </w:rPr>
            </w:pPr>
            <w:r w:rsidRPr="00AA4BF4">
              <w:rPr>
                <w:rFonts w:cs="Times New Roman"/>
                <w:b/>
                <w:szCs w:val="24"/>
              </w:rPr>
              <w:t>14 484 256</w:t>
            </w:r>
          </w:p>
        </w:tc>
        <w:tc>
          <w:tcPr>
            <w:tcW w:w="1345" w:type="dxa"/>
            <w:tcBorders>
              <w:top w:val="single" w:sz="4" w:space="0" w:color="auto"/>
              <w:left w:val="single" w:sz="4" w:space="0" w:color="auto"/>
              <w:bottom w:val="single" w:sz="4" w:space="0" w:color="auto"/>
              <w:right w:val="single" w:sz="4" w:space="0" w:color="auto"/>
            </w:tcBorders>
          </w:tcPr>
          <w:p w:rsidR="00910074" w:rsidRPr="00856F69" w:rsidRDefault="00910074" w:rsidP="00910074">
            <w:pPr>
              <w:spacing w:before="180" w:after="60"/>
              <w:jc w:val="right"/>
              <w:rPr>
                <w:rFonts w:cs="Times New Roman"/>
                <w:b/>
                <w:szCs w:val="24"/>
              </w:rPr>
            </w:pPr>
            <w:r w:rsidRPr="00856F69">
              <w:rPr>
                <w:rFonts w:cs="Times New Roman"/>
                <w:b/>
                <w:szCs w:val="24"/>
              </w:rPr>
              <w:t>15 063 554</w:t>
            </w:r>
          </w:p>
        </w:tc>
        <w:tc>
          <w:tcPr>
            <w:tcW w:w="964" w:type="dxa"/>
            <w:tcBorders>
              <w:top w:val="single" w:sz="4" w:space="0" w:color="auto"/>
              <w:left w:val="single" w:sz="4" w:space="0" w:color="auto"/>
              <w:bottom w:val="single" w:sz="4" w:space="0" w:color="auto"/>
              <w:right w:val="single" w:sz="4" w:space="0" w:color="auto"/>
            </w:tcBorders>
          </w:tcPr>
          <w:p w:rsidR="00910074" w:rsidRPr="00AA4BF4" w:rsidRDefault="00910074" w:rsidP="00910074">
            <w:pPr>
              <w:spacing w:before="180" w:after="60"/>
              <w:jc w:val="right"/>
              <w:rPr>
                <w:rFonts w:cs="Times New Roman"/>
                <w:b/>
                <w:szCs w:val="24"/>
              </w:rPr>
            </w:pPr>
            <w:r w:rsidRPr="00AA4BF4">
              <w:rPr>
                <w:rFonts w:cs="Times New Roman"/>
                <w:b/>
                <w:szCs w:val="24"/>
              </w:rPr>
              <w:t>104,00</w:t>
            </w:r>
          </w:p>
        </w:tc>
      </w:tr>
      <w:tr w:rsidR="00910074" w:rsidRPr="00E24034" w:rsidTr="00910074">
        <w:tc>
          <w:tcPr>
            <w:tcW w:w="4101" w:type="dxa"/>
            <w:tcBorders>
              <w:top w:val="single" w:sz="8" w:space="0" w:color="7F7F7F" w:themeColor="text1" w:themeTint="80"/>
              <w:bottom w:val="single" w:sz="4" w:space="0" w:color="auto"/>
            </w:tcBorders>
            <w:shd w:val="clear" w:color="auto" w:fill="auto"/>
          </w:tcPr>
          <w:p w:rsidR="00910074" w:rsidRPr="000C4647" w:rsidRDefault="00910074" w:rsidP="00910074">
            <w:pPr>
              <w:spacing w:before="60"/>
              <w:rPr>
                <w:rFonts w:eastAsia="Times New Roman" w:cs="Times New Roman"/>
                <w:lang w:eastAsia="cs-CZ"/>
              </w:rPr>
            </w:pPr>
            <w:r w:rsidRPr="000C4647">
              <w:rPr>
                <w:rFonts w:eastAsia="Times New Roman" w:cs="Times New Roman"/>
                <w:lang w:eastAsia="cs-CZ"/>
              </w:rPr>
              <w:t>Státní fond dopravní infrastruktury</w:t>
            </w:r>
          </w:p>
        </w:tc>
        <w:tc>
          <w:tcPr>
            <w:tcW w:w="1365" w:type="dxa"/>
            <w:tcBorders>
              <w:top w:val="single" w:sz="4" w:space="0" w:color="auto"/>
              <w:left w:val="single" w:sz="4" w:space="0" w:color="auto"/>
              <w:bottom w:val="single" w:sz="4" w:space="0" w:color="auto"/>
              <w:right w:val="single" w:sz="4" w:space="0" w:color="auto"/>
            </w:tcBorders>
          </w:tcPr>
          <w:p w:rsidR="00910074" w:rsidRPr="00AA4BF4" w:rsidRDefault="00910074" w:rsidP="00910074">
            <w:pPr>
              <w:spacing w:before="60"/>
              <w:jc w:val="right"/>
              <w:rPr>
                <w:rFonts w:cs="Times New Roman"/>
                <w:szCs w:val="24"/>
              </w:rPr>
            </w:pPr>
            <w:r w:rsidRPr="00AA4BF4">
              <w:rPr>
                <w:rFonts w:cs="Times New Roman"/>
                <w:szCs w:val="24"/>
              </w:rPr>
              <w:t>13 966 954</w:t>
            </w:r>
          </w:p>
        </w:tc>
        <w:tc>
          <w:tcPr>
            <w:tcW w:w="1259" w:type="dxa"/>
            <w:tcBorders>
              <w:top w:val="single" w:sz="4" w:space="0" w:color="auto"/>
              <w:left w:val="single" w:sz="4" w:space="0" w:color="auto"/>
              <w:bottom w:val="single" w:sz="4" w:space="0" w:color="auto"/>
              <w:right w:val="single" w:sz="4" w:space="0" w:color="auto"/>
            </w:tcBorders>
          </w:tcPr>
          <w:p w:rsidR="00910074" w:rsidRPr="00AA4BF4" w:rsidRDefault="00910074" w:rsidP="00910074">
            <w:pPr>
              <w:spacing w:before="60"/>
              <w:jc w:val="right"/>
              <w:rPr>
                <w:rFonts w:cs="Times New Roman"/>
                <w:szCs w:val="24"/>
              </w:rPr>
            </w:pPr>
            <w:r w:rsidRPr="00AA4BF4">
              <w:rPr>
                <w:rFonts w:cs="Times New Roman"/>
                <w:szCs w:val="24"/>
              </w:rPr>
              <w:t>14 484 256</w:t>
            </w:r>
          </w:p>
        </w:tc>
        <w:tc>
          <w:tcPr>
            <w:tcW w:w="1345" w:type="dxa"/>
            <w:tcBorders>
              <w:top w:val="single" w:sz="4" w:space="0" w:color="auto"/>
              <w:left w:val="single" w:sz="4" w:space="0" w:color="auto"/>
              <w:bottom w:val="single" w:sz="4" w:space="0" w:color="auto"/>
              <w:right w:val="single" w:sz="4" w:space="0" w:color="auto"/>
            </w:tcBorders>
          </w:tcPr>
          <w:p w:rsidR="00910074" w:rsidRPr="00856F69" w:rsidRDefault="00910074" w:rsidP="00910074">
            <w:pPr>
              <w:spacing w:before="60"/>
              <w:jc w:val="right"/>
              <w:rPr>
                <w:rFonts w:cs="Times New Roman"/>
                <w:szCs w:val="24"/>
              </w:rPr>
            </w:pPr>
            <w:r w:rsidRPr="00856F69">
              <w:rPr>
                <w:rFonts w:cs="Times New Roman"/>
                <w:szCs w:val="24"/>
              </w:rPr>
              <w:t>15 063 554</w:t>
            </w:r>
          </w:p>
        </w:tc>
        <w:tc>
          <w:tcPr>
            <w:tcW w:w="964" w:type="dxa"/>
            <w:tcBorders>
              <w:top w:val="single" w:sz="4" w:space="0" w:color="auto"/>
              <w:left w:val="single" w:sz="4" w:space="0" w:color="auto"/>
              <w:bottom w:val="single" w:sz="4" w:space="0" w:color="auto"/>
              <w:right w:val="single" w:sz="4" w:space="0" w:color="auto"/>
            </w:tcBorders>
          </w:tcPr>
          <w:p w:rsidR="00910074" w:rsidRPr="00AA4BF4" w:rsidRDefault="00910074" w:rsidP="00910074">
            <w:pPr>
              <w:spacing w:before="60"/>
              <w:jc w:val="right"/>
              <w:rPr>
                <w:rFonts w:cs="Times New Roman"/>
                <w:szCs w:val="24"/>
              </w:rPr>
            </w:pPr>
            <w:r w:rsidRPr="00AA4BF4">
              <w:rPr>
                <w:rFonts w:cs="Times New Roman"/>
                <w:szCs w:val="24"/>
              </w:rPr>
              <w:t>104,00</w:t>
            </w:r>
          </w:p>
        </w:tc>
      </w:tr>
    </w:tbl>
    <w:p w:rsidR="00910074" w:rsidRPr="000C4647" w:rsidRDefault="00910074" w:rsidP="00910074">
      <w:pPr>
        <w:spacing w:before="240" w:line="240" w:lineRule="auto"/>
        <w:rPr>
          <w:rFonts w:eastAsia="Times New Roman" w:cs="Times New Roman"/>
          <w:szCs w:val="24"/>
          <w:lang w:eastAsia="cs-CZ"/>
        </w:rPr>
      </w:pPr>
      <w:r w:rsidRPr="000C4647">
        <w:rPr>
          <w:rFonts w:eastAsia="Times New Roman" w:cs="Times New Roman"/>
          <w:szCs w:val="24"/>
          <w:lang w:eastAsia="cs-CZ"/>
        </w:rPr>
        <w:t>Finanční prostředky jsou určeny:</w:t>
      </w:r>
    </w:p>
    <w:p w:rsidR="00910074" w:rsidRPr="00856F69" w:rsidRDefault="00910074" w:rsidP="00910074">
      <w:pPr>
        <w:numPr>
          <w:ilvl w:val="0"/>
          <w:numId w:val="39"/>
        </w:numPr>
        <w:spacing w:before="120" w:line="240" w:lineRule="auto"/>
        <w:rPr>
          <w:rFonts w:eastAsia="Times New Roman" w:cs="Times New Roman"/>
          <w:szCs w:val="24"/>
          <w:lang w:eastAsia="cs-CZ"/>
        </w:rPr>
      </w:pPr>
      <w:r w:rsidRPr="00856F69">
        <w:rPr>
          <w:rFonts w:eastAsia="Times New Roman" w:cs="Times New Roman"/>
          <w:szCs w:val="24"/>
          <w:lang w:eastAsia="cs-CZ"/>
        </w:rPr>
        <w:t xml:space="preserve">na </w:t>
      </w:r>
      <w:r>
        <w:rPr>
          <w:rFonts w:eastAsia="Times New Roman" w:cs="Times New Roman"/>
          <w:szCs w:val="24"/>
          <w:lang w:eastAsia="cs-CZ"/>
        </w:rPr>
        <w:t>krytí</w:t>
      </w:r>
      <w:r w:rsidRPr="00856F69">
        <w:rPr>
          <w:rFonts w:eastAsia="Times New Roman" w:cs="Times New Roman"/>
          <w:szCs w:val="24"/>
          <w:lang w:eastAsia="cs-CZ"/>
        </w:rPr>
        <w:t xml:space="preserve"> deficitu rozpočtu SFDI</w:t>
      </w:r>
      <w:r>
        <w:rPr>
          <w:rFonts w:eastAsia="Times New Roman" w:cs="Times New Roman"/>
          <w:szCs w:val="24"/>
          <w:lang w:eastAsia="cs-CZ"/>
        </w:rPr>
        <w:t xml:space="preserve"> ve výši 15 000 000 tis. Kč</w:t>
      </w:r>
      <w:r w:rsidRPr="00856F69">
        <w:rPr>
          <w:rFonts w:eastAsia="Times New Roman" w:cs="Times New Roman"/>
          <w:szCs w:val="24"/>
          <w:lang w:eastAsia="cs-CZ"/>
        </w:rPr>
        <w:t>,</w:t>
      </w:r>
    </w:p>
    <w:p w:rsidR="00910074" w:rsidRDefault="00910074" w:rsidP="00910074">
      <w:pPr>
        <w:numPr>
          <w:ilvl w:val="0"/>
          <w:numId w:val="39"/>
        </w:numPr>
        <w:spacing w:before="120" w:line="240" w:lineRule="auto"/>
        <w:rPr>
          <w:rFonts w:eastAsia="Times New Roman" w:cs="Times New Roman"/>
          <w:szCs w:val="24"/>
          <w:lang w:eastAsia="cs-CZ"/>
        </w:rPr>
      </w:pPr>
      <w:r>
        <w:rPr>
          <w:rFonts w:eastAsia="Times New Roman" w:cs="Times New Roman"/>
          <w:szCs w:val="24"/>
          <w:lang w:eastAsia="cs-CZ"/>
        </w:rPr>
        <w:t>na podíl EU na společné projekty EU a ČR ve výši 63 554 tis. Kč, v tom:</w:t>
      </w:r>
    </w:p>
    <w:p w:rsidR="00910074" w:rsidRDefault="00910074" w:rsidP="00910074">
      <w:pPr>
        <w:numPr>
          <w:ilvl w:val="0"/>
          <w:numId w:val="34"/>
        </w:numPr>
        <w:tabs>
          <w:tab w:val="clear" w:pos="720"/>
          <w:tab w:val="num" w:pos="567"/>
        </w:tabs>
        <w:spacing w:before="120" w:line="240" w:lineRule="auto"/>
        <w:ind w:left="567" w:firstLine="426"/>
        <w:rPr>
          <w:rFonts w:eastAsia="Times New Roman" w:cs="Times New Roman"/>
          <w:szCs w:val="24"/>
          <w:lang w:eastAsia="cs-CZ"/>
        </w:rPr>
      </w:pPr>
      <w:r>
        <w:rPr>
          <w:rFonts w:eastAsia="Times New Roman" w:cs="Times New Roman"/>
          <w:szCs w:val="24"/>
          <w:lang w:eastAsia="cs-CZ"/>
        </w:rPr>
        <w:t>58 014 tis. Kč na Operační program Doprava 2014-2020, CF -Technická pomoc,</w:t>
      </w:r>
    </w:p>
    <w:p w:rsidR="00910074" w:rsidRDefault="00910074" w:rsidP="00910074">
      <w:pPr>
        <w:numPr>
          <w:ilvl w:val="0"/>
          <w:numId w:val="34"/>
        </w:numPr>
        <w:tabs>
          <w:tab w:val="clear" w:pos="720"/>
          <w:tab w:val="num" w:pos="567"/>
        </w:tabs>
        <w:spacing w:before="120" w:line="240" w:lineRule="auto"/>
        <w:ind w:left="567" w:firstLine="426"/>
        <w:rPr>
          <w:rFonts w:eastAsia="Times New Roman" w:cs="Times New Roman"/>
          <w:szCs w:val="24"/>
          <w:lang w:eastAsia="cs-CZ"/>
        </w:rPr>
      </w:pPr>
      <w:r>
        <w:rPr>
          <w:rFonts w:eastAsia="Times New Roman" w:cs="Times New Roman"/>
          <w:szCs w:val="24"/>
          <w:lang w:eastAsia="cs-CZ"/>
        </w:rPr>
        <w:t>5 440 tis. Kč na Komunitární programy (C-ROADS CZ),</w:t>
      </w:r>
    </w:p>
    <w:p w:rsidR="00910074" w:rsidRDefault="00910074" w:rsidP="00910074">
      <w:pPr>
        <w:numPr>
          <w:ilvl w:val="0"/>
          <w:numId w:val="34"/>
        </w:numPr>
        <w:tabs>
          <w:tab w:val="clear" w:pos="720"/>
          <w:tab w:val="num" w:pos="567"/>
        </w:tabs>
        <w:spacing w:before="120" w:line="240" w:lineRule="auto"/>
        <w:ind w:left="567" w:firstLine="426"/>
        <w:rPr>
          <w:rFonts w:eastAsia="Times New Roman" w:cs="Times New Roman"/>
          <w:szCs w:val="24"/>
          <w:lang w:eastAsia="cs-CZ"/>
        </w:rPr>
      </w:pPr>
      <w:r>
        <w:rPr>
          <w:rFonts w:eastAsia="Times New Roman" w:cs="Times New Roman"/>
          <w:szCs w:val="24"/>
          <w:lang w:eastAsia="cs-CZ"/>
        </w:rPr>
        <w:t>100 tis. Kč na Komunitární programy (Crocodile 3).</w:t>
      </w:r>
    </w:p>
    <w:p w:rsidR="007B2F4B" w:rsidRPr="00E24034" w:rsidRDefault="007B2F4B" w:rsidP="00910074">
      <w:pPr>
        <w:pStyle w:val="Styl1"/>
        <w:rPr>
          <w:color w:val="FF0000"/>
        </w:rPr>
      </w:pPr>
      <w:r w:rsidRPr="00E24034">
        <w:rPr>
          <w:color w:val="FF0000"/>
        </w:rPr>
        <w:br w:type="page"/>
      </w:r>
    </w:p>
    <w:p w:rsidR="00B75E55" w:rsidRPr="00910074" w:rsidRDefault="00B75E55" w:rsidP="007B2F4B">
      <w:pPr>
        <w:pStyle w:val="Nadpis2"/>
      </w:pPr>
      <w:bookmarkStart w:id="78" w:name="_Toc53750577"/>
      <w:r w:rsidRPr="00910074">
        <w:lastRenderedPageBreak/>
        <w:t>Kapitálové výdaje</w:t>
      </w:r>
      <w:bookmarkEnd w:id="78"/>
    </w:p>
    <w:p w:rsidR="00072BEE" w:rsidRPr="00910074" w:rsidRDefault="00072BEE" w:rsidP="00B75E55">
      <w:pPr>
        <w:pStyle w:val="Titulek"/>
        <w:keepNext/>
      </w:pPr>
      <w:r w:rsidRPr="00910074">
        <w:t>Tabulka</w:t>
      </w:r>
      <w:r w:rsidR="00B75E55" w:rsidRPr="00910074">
        <w:t xml:space="preserve"> č.</w:t>
      </w:r>
      <w:r w:rsidRPr="00910074">
        <w:t xml:space="preserve"> </w:t>
      </w:r>
      <w:r w:rsidR="0001421C" w:rsidRPr="00910074">
        <w:rPr>
          <w:noProof/>
        </w:rPr>
        <w:fldChar w:fldCharType="begin"/>
      </w:r>
      <w:r w:rsidR="0001421C" w:rsidRPr="00910074">
        <w:rPr>
          <w:noProof/>
        </w:rPr>
        <w:instrText xml:space="preserve"> SEQ Tabulka \* ARABIC </w:instrText>
      </w:r>
      <w:r w:rsidR="0001421C" w:rsidRPr="00910074">
        <w:rPr>
          <w:noProof/>
        </w:rPr>
        <w:fldChar w:fldCharType="separate"/>
      </w:r>
      <w:r w:rsidR="006076E7">
        <w:rPr>
          <w:noProof/>
        </w:rPr>
        <w:t>25</w:t>
      </w:r>
      <w:r w:rsidR="0001421C" w:rsidRPr="00910074">
        <w:rPr>
          <w:noProof/>
        </w:rPr>
        <w:fldChar w:fldCharType="end"/>
      </w:r>
      <w:r w:rsidR="00B75E55" w:rsidRPr="00910074">
        <w:rPr>
          <w:noProof/>
        </w:rPr>
        <w:t xml:space="preserve"> Kapitálové výdaje celkem (v tis. Kč)</w:t>
      </w:r>
    </w:p>
    <w:tbl>
      <w:tblPr>
        <w:tblW w:w="5372" w:type="pct"/>
        <w:tblInd w:w="-10" w:type="dxa"/>
        <w:tblCellMar>
          <w:left w:w="70" w:type="dxa"/>
          <w:right w:w="70" w:type="dxa"/>
        </w:tblCellMar>
        <w:tblLook w:val="0000" w:firstRow="0" w:lastRow="0" w:firstColumn="0" w:lastColumn="0" w:noHBand="0" w:noVBand="0"/>
      </w:tblPr>
      <w:tblGrid>
        <w:gridCol w:w="4540"/>
        <w:gridCol w:w="1382"/>
        <w:gridCol w:w="1382"/>
        <w:gridCol w:w="1440"/>
        <w:gridCol w:w="980"/>
      </w:tblGrid>
      <w:tr w:rsidR="00910074" w:rsidRPr="00B90364" w:rsidTr="00910074">
        <w:trPr>
          <w:trHeight w:val="894"/>
        </w:trPr>
        <w:tc>
          <w:tcPr>
            <w:tcW w:w="2334" w:type="pct"/>
            <w:tcBorders>
              <w:top w:val="single" w:sz="8" w:space="0" w:color="7F7F7F" w:themeColor="text1" w:themeTint="80"/>
              <w:left w:val="single" w:sz="8" w:space="0" w:color="7F7F7F" w:themeColor="text1" w:themeTint="80"/>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910074" w:rsidRPr="00B90364" w:rsidRDefault="00910074" w:rsidP="00910074">
            <w:pPr>
              <w:spacing w:line="240" w:lineRule="auto"/>
              <w:jc w:val="center"/>
              <w:rPr>
                <w:rFonts w:eastAsia="Times New Roman" w:cs="Times New Roman"/>
                <w:b/>
                <w:lang w:eastAsia="cs-CZ"/>
              </w:rPr>
            </w:pPr>
            <w:bookmarkStart w:id="79" w:name="_Toc305406307"/>
            <w:bookmarkStart w:id="80" w:name="_Toc305406313"/>
            <w:bookmarkStart w:id="81" w:name="_Toc462314406"/>
            <w:r w:rsidRPr="00B90364">
              <w:rPr>
                <w:rFonts w:eastAsia="Times New Roman" w:cs="Times New Roman"/>
                <w:b/>
                <w:lang w:eastAsia="cs-CZ"/>
              </w:rPr>
              <w:t>Ukazatel</w:t>
            </w:r>
          </w:p>
        </w:tc>
        <w:tc>
          <w:tcPr>
            <w:tcW w:w="710"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910074" w:rsidRPr="00B90364" w:rsidRDefault="00910074" w:rsidP="00910074">
            <w:pPr>
              <w:jc w:val="center"/>
              <w:rPr>
                <w:rFonts w:eastAsia="Times New Roman" w:cs="Times New Roman"/>
                <w:b/>
                <w:szCs w:val="24"/>
                <w:lang w:eastAsia="cs-CZ"/>
              </w:rPr>
            </w:pPr>
            <w:r w:rsidRPr="00B90364">
              <w:rPr>
                <w:rFonts w:eastAsia="Times New Roman" w:cs="Times New Roman"/>
                <w:b/>
                <w:szCs w:val="24"/>
                <w:lang w:eastAsia="cs-CZ"/>
              </w:rPr>
              <w:t>Skutečnost</w:t>
            </w:r>
          </w:p>
          <w:p w:rsidR="00910074" w:rsidRPr="00B90364" w:rsidRDefault="00910074" w:rsidP="00910074">
            <w:pPr>
              <w:spacing w:line="240" w:lineRule="auto"/>
              <w:jc w:val="center"/>
              <w:rPr>
                <w:rFonts w:eastAsia="Times New Roman" w:cs="Times New Roman"/>
                <w:b/>
                <w:lang w:eastAsia="cs-CZ"/>
              </w:rPr>
            </w:pPr>
            <w:r w:rsidRPr="00B90364">
              <w:rPr>
                <w:rFonts w:eastAsia="Times New Roman" w:cs="Times New Roman"/>
                <w:b/>
                <w:szCs w:val="24"/>
                <w:lang w:eastAsia="cs-CZ"/>
              </w:rPr>
              <w:t>2019</w:t>
            </w:r>
          </w:p>
        </w:tc>
        <w:tc>
          <w:tcPr>
            <w:tcW w:w="710"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910074" w:rsidRPr="00B90364" w:rsidRDefault="00910074" w:rsidP="00910074">
            <w:pPr>
              <w:spacing w:line="240" w:lineRule="auto"/>
              <w:jc w:val="center"/>
              <w:rPr>
                <w:rFonts w:eastAsia="Times New Roman" w:cs="Times New Roman"/>
                <w:b/>
                <w:lang w:eastAsia="cs-CZ"/>
              </w:rPr>
            </w:pPr>
            <w:r w:rsidRPr="00B90364">
              <w:rPr>
                <w:rFonts w:eastAsia="Times New Roman" w:cs="Times New Roman"/>
                <w:b/>
                <w:lang w:eastAsia="cs-CZ"/>
              </w:rPr>
              <w:t>Schválený rozpočet 2020</w:t>
            </w:r>
          </w:p>
        </w:tc>
        <w:tc>
          <w:tcPr>
            <w:tcW w:w="741"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910074" w:rsidRPr="00B90364" w:rsidRDefault="00910074" w:rsidP="00910074">
            <w:pPr>
              <w:spacing w:line="240" w:lineRule="auto"/>
              <w:jc w:val="center"/>
              <w:rPr>
                <w:rFonts w:eastAsia="Times New Roman" w:cs="Times New Roman"/>
                <w:b/>
                <w:lang w:eastAsia="cs-CZ"/>
              </w:rPr>
            </w:pPr>
            <w:r w:rsidRPr="00B90364">
              <w:rPr>
                <w:rFonts w:eastAsia="Times New Roman" w:cs="Times New Roman"/>
                <w:b/>
                <w:lang w:eastAsia="cs-CZ"/>
              </w:rPr>
              <w:t>Návrh rozpočtu 2021</w:t>
            </w:r>
          </w:p>
        </w:tc>
        <w:tc>
          <w:tcPr>
            <w:tcW w:w="504" w:type="pct"/>
            <w:tcBorders>
              <w:top w:val="single" w:sz="8" w:space="0" w:color="7F7F7F" w:themeColor="text1" w:themeTint="80"/>
              <w:left w:val="single" w:sz="4" w:space="0" w:color="auto"/>
              <w:bottom w:val="single" w:sz="4" w:space="0" w:color="7F7F7F" w:themeColor="text1" w:themeTint="80"/>
              <w:right w:val="single" w:sz="8" w:space="0" w:color="7F7F7F" w:themeColor="text1" w:themeTint="80"/>
            </w:tcBorders>
            <w:shd w:val="thinReverseDiagStripe" w:color="D9D9D9" w:themeColor="background1" w:themeShade="D9" w:fill="FFFFFF" w:themeFill="background1"/>
            <w:vAlign w:val="center"/>
          </w:tcPr>
          <w:p w:rsidR="00910074" w:rsidRPr="00B90364" w:rsidRDefault="00910074" w:rsidP="00910074">
            <w:pPr>
              <w:spacing w:line="240" w:lineRule="auto"/>
              <w:jc w:val="center"/>
              <w:rPr>
                <w:rFonts w:eastAsia="Times New Roman" w:cs="Times New Roman"/>
                <w:b/>
                <w:lang w:eastAsia="cs-CZ"/>
              </w:rPr>
            </w:pPr>
            <w:r w:rsidRPr="00B90364">
              <w:rPr>
                <w:rFonts w:eastAsia="Times New Roman" w:cs="Times New Roman"/>
                <w:b/>
                <w:lang w:eastAsia="cs-CZ"/>
              </w:rPr>
              <w:t>Index          2021/</w:t>
            </w:r>
            <w:r w:rsidRPr="00B90364">
              <w:rPr>
                <w:rFonts w:eastAsia="Times New Roman" w:cs="Times New Roman"/>
                <w:b/>
                <w:lang w:eastAsia="cs-CZ"/>
              </w:rPr>
              <w:br/>
              <w:t>2020      (v %)</w:t>
            </w:r>
          </w:p>
        </w:tc>
      </w:tr>
      <w:tr w:rsidR="00910074" w:rsidRPr="00B90364" w:rsidTr="00910074">
        <w:trPr>
          <w:trHeight w:val="255"/>
        </w:trPr>
        <w:tc>
          <w:tcPr>
            <w:tcW w:w="2334" w:type="pct"/>
            <w:tcBorders>
              <w:top w:val="single" w:sz="4" w:space="0" w:color="7F7F7F" w:themeColor="text1" w:themeTint="80"/>
              <w:left w:val="single" w:sz="8" w:space="0" w:color="7F7F7F" w:themeColor="text1" w:themeTint="80"/>
              <w:bottom w:val="single" w:sz="4" w:space="0" w:color="7F7F7F" w:themeColor="text1" w:themeTint="80"/>
              <w:right w:val="single" w:sz="4" w:space="0" w:color="auto"/>
            </w:tcBorders>
            <w:shd w:val="clear" w:color="auto" w:fill="auto"/>
            <w:noWrap/>
            <w:vAlign w:val="bottom"/>
          </w:tcPr>
          <w:p w:rsidR="00910074" w:rsidRPr="00B90364" w:rsidRDefault="00910074" w:rsidP="00910074">
            <w:pPr>
              <w:spacing w:line="240" w:lineRule="auto"/>
              <w:jc w:val="center"/>
              <w:rPr>
                <w:rFonts w:eastAsia="Times New Roman" w:cs="Times New Roman"/>
                <w:lang w:eastAsia="cs-CZ"/>
              </w:rPr>
            </w:pPr>
            <w:r w:rsidRPr="00B90364">
              <w:rPr>
                <w:rFonts w:eastAsia="Times New Roman" w:cs="Times New Roman"/>
                <w:lang w:eastAsia="cs-CZ"/>
              </w:rPr>
              <w:t>a</w:t>
            </w:r>
          </w:p>
        </w:tc>
        <w:tc>
          <w:tcPr>
            <w:tcW w:w="710"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rsidR="00910074" w:rsidRPr="00B90364" w:rsidRDefault="00910074" w:rsidP="00910074">
            <w:pPr>
              <w:spacing w:line="240" w:lineRule="auto"/>
              <w:jc w:val="center"/>
              <w:rPr>
                <w:rFonts w:eastAsia="Times New Roman" w:cs="Times New Roman"/>
                <w:lang w:eastAsia="cs-CZ"/>
              </w:rPr>
            </w:pPr>
            <w:r w:rsidRPr="00B90364">
              <w:rPr>
                <w:rFonts w:eastAsia="Times New Roman" w:cs="Times New Roman"/>
                <w:lang w:eastAsia="cs-CZ"/>
              </w:rPr>
              <w:t>1</w:t>
            </w:r>
          </w:p>
        </w:tc>
        <w:tc>
          <w:tcPr>
            <w:tcW w:w="710"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rsidR="00910074" w:rsidRPr="00B90364" w:rsidRDefault="00910074" w:rsidP="00910074">
            <w:pPr>
              <w:spacing w:line="240" w:lineRule="auto"/>
              <w:jc w:val="center"/>
              <w:rPr>
                <w:rFonts w:eastAsia="Times New Roman" w:cs="Times New Roman"/>
                <w:lang w:eastAsia="cs-CZ"/>
              </w:rPr>
            </w:pPr>
            <w:r w:rsidRPr="00B90364">
              <w:rPr>
                <w:rFonts w:eastAsia="Times New Roman" w:cs="Times New Roman"/>
                <w:lang w:eastAsia="cs-CZ"/>
              </w:rPr>
              <w:t>2</w:t>
            </w:r>
          </w:p>
        </w:tc>
        <w:tc>
          <w:tcPr>
            <w:tcW w:w="741"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rsidR="00910074" w:rsidRPr="00B90364" w:rsidRDefault="00910074" w:rsidP="00910074">
            <w:pPr>
              <w:spacing w:line="240" w:lineRule="auto"/>
              <w:jc w:val="center"/>
              <w:rPr>
                <w:rFonts w:eastAsia="Times New Roman" w:cs="Times New Roman"/>
                <w:lang w:eastAsia="cs-CZ"/>
              </w:rPr>
            </w:pPr>
            <w:r w:rsidRPr="00B90364">
              <w:rPr>
                <w:rFonts w:eastAsia="Times New Roman" w:cs="Times New Roman"/>
                <w:lang w:eastAsia="cs-CZ"/>
              </w:rPr>
              <w:t>3</w:t>
            </w:r>
          </w:p>
        </w:tc>
        <w:tc>
          <w:tcPr>
            <w:tcW w:w="504" w:type="pct"/>
            <w:tcBorders>
              <w:top w:val="single" w:sz="4" w:space="0" w:color="7F7F7F" w:themeColor="text1" w:themeTint="80"/>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910074" w:rsidRPr="00B90364" w:rsidRDefault="00910074" w:rsidP="00910074">
            <w:pPr>
              <w:spacing w:line="240" w:lineRule="auto"/>
              <w:jc w:val="center"/>
              <w:rPr>
                <w:rFonts w:eastAsia="Times New Roman" w:cs="Times New Roman"/>
                <w:lang w:eastAsia="cs-CZ"/>
              </w:rPr>
            </w:pPr>
            <w:r w:rsidRPr="00B90364">
              <w:rPr>
                <w:rFonts w:eastAsia="Times New Roman" w:cs="Times New Roman"/>
                <w:lang w:eastAsia="cs-CZ"/>
              </w:rPr>
              <w:t>4</w:t>
            </w:r>
          </w:p>
        </w:tc>
      </w:tr>
      <w:tr w:rsidR="00910074" w:rsidRPr="00B90364" w:rsidTr="00910074">
        <w:trPr>
          <w:trHeight w:val="326"/>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rsidR="00910074" w:rsidRPr="00B90364" w:rsidRDefault="00910074" w:rsidP="00910074">
            <w:pPr>
              <w:spacing w:line="240" w:lineRule="auto"/>
              <w:rPr>
                <w:rFonts w:eastAsia="Times New Roman" w:cs="Times New Roman"/>
                <w:b/>
                <w:bCs/>
                <w:lang w:eastAsia="cs-CZ"/>
              </w:rPr>
            </w:pPr>
            <w:r w:rsidRPr="00B90364">
              <w:rPr>
                <w:rFonts w:eastAsia="Times New Roman" w:cs="Times New Roman"/>
                <w:b/>
                <w:bCs/>
                <w:lang w:eastAsia="cs-CZ"/>
              </w:rPr>
              <w:t xml:space="preserve">Investiční nákupy a související výdaje organizačních složek státu </w:t>
            </w:r>
            <w:r w:rsidRPr="00B90364">
              <w:rPr>
                <w:rFonts w:eastAsia="Times New Roman" w:cs="Times New Roman"/>
                <w:bCs/>
                <w:lang w:eastAsia="cs-CZ"/>
              </w:rPr>
              <w:t>v tom:</w:t>
            </w:r>
          </w:p>
        </w:tc>
        <w:tc>
          <w:tcPr>
            <w:tcW w:w="710" w:type="pct"/>
            <w:tcBorders>
              <w:top w:val="single" w:sz="4" w:space="0" w:color="7F7F7F" w:themeColor="text1" w:themeTint="80"/>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b/>
                <w:bCs/>
                <w:lang w:eastAsia="cs-CZ"/>
              </w:rPr>
            </w:pPr>
            <w:r w:rsidRPr="00B90364">
              <w:rPr>
                <w:rFonts w:eastAsia="Times New Roman" w:cs="Times New Roman"/>
                <w:b/>
                <w:bCs/>
                <w:lang w:eastAsia="cs-CZ"/>
              </w:rPr>
              <w:t>42 640</w:t>
            </w:r>
          </w:p>
        </w:tc>
        <w:tc>
          <w:tcPr>
            <w:tcW w:w="710" w:type="pct"/>
            <w:tcBorders>
              <w:top w:val="single" w:sz="4" w:space="0" w:color="7F7F7F" w:themeColor="text1" w:themeTint="80"/>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b/>
                <w:bCs/>
                <w:lang w:eastAsia="cs-CZ"/>
              </w:rPr>
            </w:pPr>
            <w:r w:rsidRPr="00B90364">
              <w:rPr>
                <w:rFonts w:eastAsia="Times New Roman" w:cs="Times New Roman"/>
                <w:b/>
                <w:bCs/>
                <w:lang w:eastAsia="cs-CZ"/>
              </w:rPr>
              <w:t>93 774</w:t>
            </w:r>
          </w:p>
        </w:tc>
        <w:tc>
          <w:tcPr>
            <w:tcW w:w="741" w:type="pct"/>
            <w:tcBorders>
              <w:top w:val="single" w:sz="4" w:space="0" w:color="7F7F7F" w:themeColor="text1" w:themeTint="80"/>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b/>
                <w:bCs/>
                <w:lang w:eastAsia="cs-CZ"/>
              </w:rPr>
            </w:pPr>
            <w:r w:rsidRPr="00B90364">
              <w:rPr>
                <w:rFonts w:eastAsia="Times New Roman" w:cs="Times New Roman"/>
                <w:b/>
                <w:bCs/>
                <w:lang w:eastAsia="cs-CZ"/>
              </w:rPr>
              <w:t>73 176</w:t>
            </w:r>
          </w:p>
        </w:tc>
        <w:tc>
          <w:tcPr>
            <w:tcW w:w="504"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910074" w:rsidRPr="00B90364" w:rsidRDefault="00910074" w:rsidP="00910074">
            <w:pPr>
              <w:jc w:val="right"/>
              <w:rPr>
                <w:rFonts w:eastAsia="Times New Roman" w:cs="Times New Roman"/>
                <w:b/>
                <w:bCs/>
                <w:lang w:eastAsia="cs-CZ"/>
              </w:rPr>
            </w:pPr>
            <w:r w:rsidRPr="00B90364">
              <w:rPr>
                <w:rFonts w:eastAsia="Times New Roman" w:cs="Times New Roman"/>
                <w:b/>
                <w:bCs/>
                <w:lang w:eastAsia="cs-CZ"/>
              </w:rPr>
              <w:t>78,03</w:t>
            </w:r>
          </w:p>
        </w:tc>
      </w:tr>
      <w:tr w:rsidR="00910074" w:rsidRPr="00B90364" w:rsidTr="00910074">
        <w:trPr>
          <w:trHeight w:val="315"/>
        </w:trPr>
        <w:tc>
          <w:tcPr>
            <w:tcW w:w="2334" w:type="pct"/>
            <w:tcBorders>
              <w:left w:val="single" w:sz="8" w:space="0" w:color="7F7F7F" w:themeColor="text1" w:themeTint="80"/>
              <w:right w:val="single" w:sz="4" w:space="0" w:color="auto"/>
            </w:tcBorders>
            <w:shd w:val="clear" w:color="auto" w:fill="auto"/>
            <w:noWrap/>
            <w:vAlign w:val="bottom"/>
          </w:tcPr>
          <w:p w:rsidR="00910074" w:rsidRPr="00B90364" w:rsidRDefault="00910074" w:rsidP="00910074">
            <w:pPr>
              <w:spacing w:line="240" w:lineRule="auto"/>
              <w:rPr>
                <w:rFonts w:eastAsia="Times New Roman" w:cs="Times New Roman"/>
                <w:lang w:eastAsia="cs-CZ"/>
              </w:rPr>
            </w:pPr>
            <w:r w:rsidRPr="00B90364">
              <w:rPr>
                <w:rFonts w:eastAsia="Times New Roman" w:cs="Times New Roman"/>
                <w:lang w:eastAsia="cs-CZ"/>
              </w:rPr>
              <w:t xml:space="preserve">prostředky SR  </w:t>
            </w:r>
          </w:p>
        </w:tc>
        <w:tc>
          <w:tcPr>
            <w:tcW w:w="710"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42 570</w:t>
            </w:r>
          </w:p>
        </w:tc>
        <w:tc>
          <w:tcPr>
            <w:tcW w:w="710"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93 487</w:t>
            </w:r>
          </w:p>
        </w:tc>
        <w:tc>
          <w:tcPr>
            <w:tcW w:w="741"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73 176</w:t>
            </w:r>
          </w:p>
        </w:tc>
        <w:tc>
          <w:tcPr>
            <w:tcW w:w="504" w:type="pct"/>
            <w:tcBorders>
              <w:left w:val="single" w:sz="4" w:space="0" w:color="auto"/>
              <w:right w:val="single" w:sz="8" w:space="0" w:color="7F7F7F" w:themeColor="text1" w:themeTint="80"/>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78,</w:t>
            </w:r>
            <w:r>
              <w:rPr>
                <w:rFonts w:eastAsia="Times New Roman" w:cs="Times New Roman"/>
                <w:lang w:eastAsia="cs-CZ"/>
              </w:rPr>
              <w:t>27</w:t>
            </w:r>
          </w:p>
        </w:tc>
      </w:tr>
      <w:tr w:rsidR="00910074" w:rsidRPr="00B90364" w:rsidTr="00910074">
        <w:trPr>
          <w:trHeight w:val="330"/>
        </w:trPr>
        <w:tc>
          <w:tcPr>
            <w:tcW w:w="233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rsidR="00910074" w:rsidRPr="00B90364" w:rsidRDefault="00910074" w:rsidP="00910074">
            <w:pPr>
              <w:spacing w:line="240" w:lineRule="auto"/>
              <w:rPr>
                <w:rFonts w:eastAsia="Times New Roman" w:cs="Times New Roman"/>
                <w:lang w:eastAsia="cs-CZ"/>
              </w:rPr>
            </w:pPr>
            <w:r w:rsidRPr="00B90364">
              <w:rPr>
                <w:rFonts w:eastAsia="Times New Roman" w:cs="Times New Roman"/>
                <w:lang w:eastAsia="cs-CZ"/>
              </w:rPr>
              <w:t xml:space="preserve">prostředky z fondů EU </w:t>
            </w:r>
          </w:p>
        </w:tc>
        <w:tc>
          <w:tcPr>
            <w:tcW w:w="710" w:type="pct"/>
            <w:tcBorders>
              <w:left w:val="single" w:sz="4" w:space="0" w:color="auto"/>
              <w:bottom w:val="single" w:sz="4" w:space="0" w:color="7F7F7F" w:themeColor="text1" w:themeTint="80"/>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70</w:t>
            </w:r>
          </w:p>
        </w:tc>
        <w:tc>
          <w:tcPr>
            <w:tcW w:w="710" w:type="pct"/>
            <w:tcBorders>
              <w:left w:val="single" w:sz="4" w:space="0" w:color="auto"/>
              <w:bottom w:val="single" w:sz="4" w:space="0" w:color="7F7F7F" w:themeColor="text1" w:themeTint="80"/>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287</w:t>
            </w:r>
          </w:p>
        </w:tc>
        <w:tc>
          <w:tcPr>
            <w:tcW w:w="741" w:type="pct"/>
            <w:tcBorders>
              <w:left w:val="single" w:sz="4" w:space="0" w:color="auto"/>
              <w:bottom w:val="single" w:sz="4" w:space="0" w:color="7F7F7F" w:themeColor="text1" w:themeTint="80"/>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0</w:t>
            </w:r>
          </w:p>
        </w:tc>
        <w:tc>
          <w:tcPr>
            <w:tcW w:w="504" w:type="pct"/>
            <w:tcBorders>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0,00</w:t>
            </w:r>
          </w:p>
        </w:tc>
      </w:tr>
      <w:tr w:rsidR="00910074" w:rsidRPr="00B90364" w:rsidTr="00910074">
        <w:trPr>
          <w:trHeight w:val="527"/>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rsidR="00910074" w:rsidRPr="00B90364" w:rsidRDefault="00910074" w:rsidP="00910074">
            <w:pPr>
              <w:spacing w:line="240" w:lineRule="auto"/>
              <w:rPr>
                <w:rFonts w:eastAsia="Times New Roman" w:cs="Times New Roman"/>
                <w:bCs/>
                <w:lang w:eastAsia="cs-CZ"/>
              </w:rPr>
            </w:pPr>
            <w:r w:rsidRPr="00B90364">
              <w:rPr>
                <w:rFonts w:eastAsia="Times New Roman" w:cs="Times New Roman"/>
                <w:b/>
                <w:bCs/>
                <w:lang w:eastAsia="cs-CZ"/>
              </w:rPr>
              <w:t xml:space="preserve">Investiční transfery příspěvkovým </w:t>
            </w:r>
            <w:r w:rsidRPr="00B90364">
              <w:rPr>
                <w:rFonts w:eastAsia="Times New Roman" w:cs="Times New Roman"/>
                <w:b/>
                <w:bCs/>
                <w:lang w:eastAsia="cs-CZ"/>
              </w:rPr>
              <w:br/>
              <w:t xml:space="preserve">a podobným organizacím </w:t>
            </w:r>
            <w:r w:rsidRPr="00B90364">
              <w:rPr>
                <w:rFonts w:eastAsia="Times New Roman" w:cs="Times New Roman"/>
                <w:bCs/>
                <w:lang w:eastAsia="cs-CZ"/>
              </w:rPr>
              <w:t>v tom:</w:t>
            </w:r>
          </w:p>
        </w:tc>
        <w:tc>
          <w:tcPr>
            <w:tcW w:w="710" w:type="pct"/>
            <w:tcBorders>
              <w:top w:val="single" w:sz="4" w:space="0" w:color="7F7F7F" w:themeColor="text1" w:themeTint="80"/>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b/>
                <w:bCs/>
                <w:lang w:eastAsia="cs-CZ"/>
              </w:rPr>
            </w:pPr>
            <w:r w:rsidRPr="00B90364">
              <w:rPr>
                <w:rFonts w:eastAsia="Times New Roman" w:cs="Times New Roman"/>
                <w:b/>
                <w:bCs/>
                <w:lang w:eastAsia="cs-CZ"/>
              </w:rPr>
              <w:t>7 250</w:t>
            </w:r>
          </w:p>
        </w:tc>
        <w:tc>
          <w:tcPr>
            <w:tcW w:w="710" w:type="pct"/>
            <w:tcBorders>
              <w:top w:val="single" w:sz="4" w:space="0" w:color="7F7F7F" w:themeColor="text1" w:themeTint="80"/>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b/>
                <w:bCs/>
                <w:lang w:eastAsia="cs-CZ"/>
              </w:rPr>
            </w:pPr>
            <w:r w:rsidRPr="00B90364">
              <w:rPr>
                <w:rFonts w:eastAsia="Times New Roman" w:cs="Times New Roman"/>
                <w:b/>
                <w:bCs/>
                <w:lang w:eastAsia="cs-CZ"/>
              </w:rPr>
              <w:t>28 860</w:t>
            </w:r>
          </w:p>
        </w:tc>
        <w:tc>
          <w:tcPr>
            <w:tcW w:w="741" w:type="pct"/>
            <w:tcBorders>
              <w:top w:val="single" w:sz="4" w:space="0" w:color="7F7F7F" w:themeColor="text1" w:themeTint="80"/>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b/>
                <w:bCs/>
                <w:lang w:eastAsia="cs-CZ"/>
              </w:rPr>
            </w:pPr>
            <w:r w:rsidRPr="00B90364">
              <w:rPr>
                <w:rFonts w:eastAsia="Times New Roman" w:cs="Times New Roman"/>
                <w:b/>
                <w:bCs/>
                <w:lang w:eastAsia="cs-CZ"/>
              </w:rPr>
              <w:t>47 580</w:t>
            </w:r>
          </w:p>
        </w:tc>
        <w:tc>
          <w:tcPr>
            <w:tcW w:w="504"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910074" w:rsidRPr="00B90364" w:rsidRDefault="00910074" w:rsidP="00910074">
            <w:pPr>
              <w:jc w:val="right"/>
              <w:rPr>
                <w:rFonts w:eastAsia="Times New Roman" w:cs="Times New Roman"/>
                <w:b/>
                <w:bCs/>
                <w:lang w:eastAsia="cs-CZ"/>
              </w:rPr>
            </w:pPr>
            <w:r w:rsidRPr="00B90364">
              <w:rPr>
                <w:rFonts w:eastAsia="Times New Roman" w:cs="Times New Roman"/>
                <w:b/>
                <w:bCs/>
                <w:lang w:eastAsia="cs-CZ"/>
              </w:rPr>
              <w:t>164,86</w:t>
            </w:r>
          </w:p>
        </w:tc>
      </w:tr>
      <w:tr w:rsidR="00910074" w:rsidRPr="00B90364" w:rsidTr="00910074">
        <w:trPr>
          <w:trHeight w:val="315"/>
        </w:trPr>
        <w:tc>
          <w:tcPr>
            <w:tcW w:w="2334" w:type="pct"/>
            <w:tcBorders>
              <w:left w:val="single" w:sz="8" w:space="0" w:color="7F7F7F" w:themeColor="text1" w:themeTint="80"/>
              <w:right w:val="single" w:sz="4" w:space="0" w:color="auto"/>
            </w:tcBorders>
            <w:shd w:val="clear" w:color="auto" w:fill="auto"/>
            <w:noWrap/>
            <w:vAlign w:val="bottom"/>
          </w:tcPr>
          <w:p w:rsidR="00910074" w:rsidRPr="00B90364" w:rsidRDefault="00910074" w:rsidP="00910074">
            <w:pPr>
              <w:spacing w:line="240" w:lineRule="auto"/>
              <w:rPr>
                <w:rFonts w:eastAsia="Times New Roman" w:cs="Times New Roman"/>
                <w:lang w:eastAsia="cs-CZ"/>
              </w:rPr>
            </w:pPr>
            <w:r w:rsidRPr="00B90364">
              <w:rPr>
                <w:rFonts w:eastAsia="Times New Roman" w:cs="Times New Roman"/>
                <w:lang w:eastAsia="cs-CZ"/>
              </w:rPr>
              <w:t>prostředky SR</w:t>
            </w:r>
          </w:p>
        </w:tc>
        <w:tc>
          <w:tcPr>
            <w:tcW w:w="710"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0</w:t>
            </w:r>
          </w:p>
        </w:tc>
        <w:tc>
          <w:tcPr>
            <w:tcW w:w="710"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1 000</w:t>
            </w:r>
          </w:p>
        </w:tc>
        <w:tc>
          <w:tcPr>
            <w:tcW w:w="741"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8 673</w:t>
            </w:r>
          </w:p>
        </w:tc>
        <w:tc>
          <w:tcPr>
            <w:tcW w:w="504" w:type="pct"/>
            <w:tcBorders>
              <w:left w:val="single" w:sz="4" w:space="0" w:color="auto"/>
              <w:right w:val="single" w:sz="8" w:space="0" w:color="7F7F7F" w:themeColor="text1" w:themeTint="80"/>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867,30</w:t>
            </w:r>
          </w:p>
        </w:tc>
      </w:tr>
      <w:tr w:rsidR="00910074" w:rsidRPr="00B90364" w:rsidTr="00910074">
        <w:trPr>
          <w:trHeight w:val="255"/>
        </w:trPr>
        <w:tc>
          <w:tcPr>
            <w:tcW w:w="2334" w:type="pct"/>
            <w:tcBorders>
              <w:left w:val="single" w:sz="8" w:space="0" w:color="7F7F7F" w:themeColor="text1" w:themeTint="80"/>
              <w:right w:val="single" w:sz="4" w:space="0" w:color="auto"/>
            </w:tcBorders>
            <w:shd w:val="clear" w:color="auto" w:fill="auto"/>
            <w:vAlign w:val="bottom"/>
          </w:tcPr>
          <w:p w:rsidR="00910074" w:rsidRPr="00B90364" w:rsidRDefault="00910074" w:rsidP="00910074">
            <w:pPr>
              <w:spacing w:line="240" w:lineRule="auto"/>
              <w:rPr>
                <w:rFonts w:eastAsia="Times New Roman" w:cs="Times New Roman"/>
                <w:lang w:eastAsia="cs-CZ"/>
              </w:rPr>
            </w:pPr>
            <w:r w:rsidRPr="00B90364">
              <w:rPr>
                <w:rFonts w:eastAsia="Times New Roman" w:cs="Times New Roman"/>
                <w:lang w:eastAsia="cs-CZ"/>
              </w:rPr>
              <w:t>prostředky z fondů EU</w:t>
            </w:r>
          </w:p>
        </w:tc>
        <w:tc>
          <w:tcPr>
            <w:tcW w:w="710"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0</w:t>
            </w:r>
          </w:p>
        </w:tc>
        <w:tc>
          <w:tcPr>
            <w:tcW w:w="710"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0</w:t>
            </w:r>
          </w:p>
        </w:tc>
        <w:tc>
          <w:tcPr>
            <w:tcW w:w="741"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0</w:t>
            </w:r>
          </w:p>
        </w:tc>
        <w:tc>
          <w:tcPr>
            <w:tcW w:w="504" w:type="pct"/>
            <w:tcBorders>
              <w:left w:val="single" w:sz="4" w:space="0" w:color="auto"/>
              <w:right w:val="single" w:sz="8" w:space="0" w:color="7F7F7F" w:themeColor="text1" w:themeTint="80"/>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x</w:t>
            </w:r>
          </w:p>
        </w:tc>
      </w:tr>
      <w:tr w:rsidR="00910074" w:rsidRPr="00B90364" w:rsidTr="00910074">
        <w:trPr>
          <w:trHeight w:val="255"/>
        </w:trPr>
        <w:tc>
          <w:tcPr>
            <w:tcW w:w="233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rsidR="00910074" w:rsidRPr="00B90364" w:rsidRDefault="00910074" w:rsidP="00910074">
            <w:pPr>
              <w:spacing w:line="240" w:lineRule="auto"/>
              <w:rPr>
                <w:rFonts w:eastAsia="Times New Roman" w:cs="Times New Roman"/>
                <w:lang w:eastAsia="cs-CZ"/>
              </w:rPr>
            </w:pPr>
            <w:r w:rsidRPr="00B90364">
              <w:rPr>
                <w:rFonts w:eastAsia="Times New Roman" w:cs="Times New Roman"/>
                <w:lang w:eastAsia="cs-CZ"/>
              </w:rPr>
              <w:t>výzkum, vývoj a inovace</w:t>
            </w:r>
          </w:p>
        </w:tc>
        <w:tc>
          <w:tcPr>
            <w:tcW w:w="710" w:type="pct"/>
            <w:tcBorders>
              <w:left w:val="single" w:sz="4" w:space="0" w:color="auto"/>
              <w:bottom w:val="single" w:sz="4" w:space="0" w:color="7F7F7F" w:themeColor="text1" w:themeTint="80"/>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7 250</w:t>
            </w:r>
          </w:p>
        </w:tc>
        <w:tc>
          <w:tcPr>
            <w:tcW w:w="710" w:type="pct"/>
            <w:tcBorders>
              <w:left w:val="single" w:sz="4" w:space="0" w:color="auto"/>
              <w:bottom w:val="single" w:sz="4" w:space="0" w:color="7F7F7F" w:themeColor="text1" w:themeTint="80"/>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27 860</w:t>
            </w:r>
          </w:p>
        </w:tc>
        <w:tc>
          <w:tcPr>
            <w:tcW w:w="741" w:type="pct"/>
            <w:tcBorders>
              <w:left w:val="single" w:sz="4" w:space="0" w:color="auto"/>
              <w:bottom w:val="single" w:sz="4" w:space="0" w:color="7F7F7F" w:themeColor="text1" w:themeTint="80"/>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38 907</w:t>
            </w:r>
          </w:p>
        </w:tc>
        <w:tc>
          <w:tcPr>
            <w:tcW w:w="504" w:type="pct"/>
            <w:tcBorders>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139,65</w:t>
            </w:r>
          </w:p>
        </w:tc>
      </w:tr>
      <w:tr w:rsidR="00910074" w:rsidRPr="00B90364" w:rsidTr="00910074">
        <w:trPr>
          <w:trHeight w:val="530"/>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rsidR="00910074" w:rsidRPr="00B90364" w:rsidRDefault="00910074" w:rsidP="00910074">
            <w:pPr>
              <w:spacing w:line="240" w:lineRule="auto"/>
              <w:rPr>
                <w:rFonts w:eastAsia="Times New Roman" w:cs="Times New Roman"/>
                <w:bCs/>
                <w:lang w:eastAsia="cs-CZ"/>
              </w:rPr>
            </w:pPr>
            <w:r w:rsidRPr="00B90364">
              <w:rPr>
                <w:rFonts w:eastAsia="Times New Roman" w:cs="Times New Roman"/>
                <w:b/>
                <w:bCs/>
                <w:lang w:eastAsia="cs-CZ"/>
              </w:rPr>
              <w:t xml:space="preserve">Investiční transfery podnikatelským subjektům </w:t>
            </w:r>
            <w:r w:rsidRPr="00B90364">
              <w:rPr>
                <w:rFonts w:eastAsia="Times New Roman" w:cs="Times New Roman"/>
                <w:bCs/>
                <w:lang w:eastAsia="cs-CZ"/>
              </w:rPr>
              <w:t>v tom:</w:t>
            </w:r>
          </w:p>
        </w:tc>
        <w:tc>
          <w:tcPr>
            <w:tcW w:w="710" w:type="pct"/>
            <w:tcBorders>
              <w:top w:val="single" w:sz="4" w:space="0" w:color="7F7F7F" w:themeColor="text1" w:themeTint="80"/>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b/>
                <w:bCs/>
                <w:lang w:eastAsia="cs-CZ"/>
              </w:rPr>
            </w:pPr>
            <w:r w:rsidRPr="00B90364">
              <w:rPr>
                <w:rFonts w:eastAsia="Times New Roman" w:cs="Times New Roman"/>
                <w:b/>
                <w:bCs/>
                <w:lang w:eastAsia="cs-CZ"/>
              </w:rPr>
              <w:t>1 145</w:t>
            </w:r>
          </w:p>
        </w:tc>
        <w:tc>
          <w:tcPr>
            <w:tcW w:w="710" w:type="pct"/>
            <w:tcBorders>
              <w:top w:val="single" w:sz="4" w:space="0" w:color="7F7F7F" w:themeColor="text1" w:themeTint="80"/>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b/>
                <w:bCs/>
                <w:lang w:eastAsia="cs-CZ"/>
              </w:rPr>
            </w:pPr>
            <w:r w:rsidRPr="00B90364">
              <w:rPr>
                <w:rFonts w:eastAsia="Times New Roman" w:cs="Times New Roman"/>
                <w:b/>
                <w:bCs/>
                <w:lang w:eastAsia="cs-CZ"/>
              </w:rPr>
              <w:t xml:space="preserve">400 000 </w:t>
            </w:r>
          </w:p>
        </w:tc>
        <w:tc>
          <w:tcPr>
            <w:tcW w:w="741" w:type="pct"/>
            <w:tcBorders>
              <w:top w:val="single" w:sz="4" w:space="0" w:color="7F7F7F" w:themeColor="text1" w:themeTint="80"/>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b/>
                <w:bCs/>
                <w:lang w:eastAsia="cs-CZ"/>
              </w:rPr>
            </w:pPr>
            <w:r w:rsidRPr="00B90364">
              <w:rPr>
                <w:rFonts w:eastAsia="Times New Roman" w:cs="Times New Roman"/>
                <w:b/>
                <w:bCs/>
                <w:lang w:eastAsia="cs-CZ"/>
              </w:rPr>
              <w:t>2 626 621</w:t>
            </w:r>
          </w:p>
        </w:tc>
        <w:tc>
          <w:tcPr>
            <w:tcW w:w="504"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910074" w:rsidRPr="00B90364" w:rsidRDefault="00910074" w:rsidP="00910074">
            <w:pPr>
              <w:jc w:val="right"/>
              <w:rPr>
                <w:rFonts w:eastAsia="Times New Roman" w:cs="Times New Roman"/>
                <w:b/>
                <w:bCs/>
                <w:lang w:eastAsia="cs-CZ"/>
              </w:rPr>
            </w:pPr>
            <w:r w:rsidRPr="00B90364">
              <w:rPr>
                <w:rFonts w:eastAsia="Times New Roman" w:cs="Times New Roman"/>
                <w:b/>
                <w:bCs/>
                <w:lang w:eastAsia="cs-CZ"/>
              </w:rPr>
              <w:t>656,66</w:t>
            </w:r>
          </w:p>
        </w:tc>
      </w:tr>
      <w:tr w:rsidR="00910074" w:rsidRPr="00B90364" w:rsidTr="00910074">
        <w:trPr>
          <w:trHeight w:val="315"/>
        </w:trPr>
        <w:tc>
          <w:tcPr>
            <w:tcW w:w="2334" w:type="pct"/>
            <w:tcBorders>
              <w:left w:val="single" w:sz="8" w:space="0" w:color="7F7F7F" w:themeColor="text1" w:themeTint="80"/>
              <w:right w:val="single" w:sz="4" w:space="0" w:color="auto"/>
            </w:tcBorders>
            <w:shd w:val="clear" w:color="auto" w:fill="auto"/>
            <w:noWrap/>
            <w:vAlign w:val="bottom"/>
          </w:tcPr>
          <w:p w:rsidR="00910074" w:rsidRPr="00B90364" w:rsidRDefault="00910074" w:rsidP="00910074">
            <w:pPr>
              <w:spacing w:line="240" w:lineRule="auto"/>
              <w:rPr>
                <w:rFonts w:eastAsia="Times New Roman" w:cs="Times New Roman"/>
                <w:lang w:eastAsia="cs-CZ"/>
              </w:rPr>
            </w:pPr>
            <w:r w:rsidRPr="00B90364">
              <w:rPr>
                <w:rFonts w:eastAsia="Times New Roman" w:cs="Times New Roman"/>
                <w:lang w:eastAsia="cs-CZ"/>
              </w:rPr>
              <w:t>prostředky SR</w:t>
            </w:r>
          </w:p>
        </w:tc>
        <w:tc>
          <w:tcPr>
            <w:tcW w:w="710"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0</w:t>
            </w:r>
          </w:p>
        </w:tc>
        <w:tc>
          <w:tcPr>
            <w:tcW w:w="710"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0</w:t>
            </w:r>
          </w:p>
        </w:tc>
        <w:tc>
          <w:tcPr>
            <w:tcW w:w="741"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0</w:t>
            </w:r>
          </w:p>
        </w:tc>
        <w:tc>
          <w:tcPr>
            <w:tcW w:w="504" w:type="pct"/>
            <w:tcBorders>
              <w:left w:val="single" w:sz="4" w:space="0" w:color="auto"/>
              <w:right w:val="single" w:sz="8" w:space="0" w:color="7F7F7F" w:themeColor="text1" w:themeTint="80"/>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x</w:t>
            </w:r>
          </w:p>
        </w:tc>
      </w:tr>
      <w:tr w:rsidR="00910074" w:rsidRPr="00B90364" w:rsidTr="00910074">
        <w:trPr>
          <w:trHeight w:val="330"/>
        </w:trPr>
        <w:tc>
          <w:tcPr>
            <w:tcW w:w="233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rsidR="00910074" w:rsidRPr="00B90364" w:rsidRDefault="00910074" w:rsidP="00910074">
            <w:pPr>
              <w:spacing w:line="240" w:lineRule="auto"/>
              <w:rPr>
                <w:rFonts w:eastAsia="Times New Roman" w:cs="Times New Roman"/>
                <w:lang w:eastAsia="cs-CZ"/>
              </w:rPr>
            </w:pPr>
            <w:r w:rsidRPr="00B90364">
              <w:rPr>
                <w:rFonts w:eastAsia="Times New Roman" w:cs="Times New Roman"/>
                <w:lang w:eastAsia="cs-CZ"/>
              </w:rPr>
              <w:t>prostředky z fondů EU</w:t>
            </w:r>
          </w:p>
        </w:tc>
        <w:tc>
          <w:tcPr>
            <w:tcW w:w="710" w:type="pct"/>
            <w:tcBorders>
              <w:left w:val="single" w:sz="4" w:space="0" w:color="auto"/>
              <w:bottom w:val="single" w:sz="4" w:space="0" w:color="7F7F7F" w:themeColor="text1" w:themeTint="80"/>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1 145</w:t>
            </w:r>
          </w:p>
        </w:tc>
        <w:tc>
          <w:tcPr>
            <w:tcW w:w="710" w:type="pct"/>
            <w:tcBorders>
              <w:left w:val="single" w:sz="4" w:space="0" w:color="auto"/>
              <w:bottom w:val="single" w:sz="4" w:space="0" w:color="7F7F7F" w:themeColor="text1" w:themeTint="80"/>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400 000</w:t>
            </w:r>
          </w:p>
        </w:tc>
        <w:tc>
          <w:tcPr>
            <w:tcW w:w="741" w:type="pct"/>
            <w:tcBorders>
              <w:left w:val="single" w:sz="4" w:space="0" w:color="auto"/>
              <w:bottom w:val="single" w:sz="4" w:space="0" w:color="7F7F7F" w:themeColor="text1" w:themeTint="80"/>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2 626 621</w:t>
            </w:r>
          </w:p>
        </w:tc>
        <w:tc>
          <w:tcPr>
            <w:tcW w:w="504" w:type="pct"/>
            <w:tcBorders>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656,66</w:t>
            </w:r>
          </w:p>
        </w:tc>
      </w:tr>
      <w:tr w:rsidR="00910074" w:rsidRPr="00B90364" w:rsidTr="00910074">
        <w:trPr>
          <w:trHeight w:val="577"/>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rsidR="00910074" w:rsidRPr="00B90364" w:rsidRDefault="00910074" w:rsidP="00910074">
            <w:pPr>
              <w:spacing w:line="240" w:lineRule="auto"/>
              <w:rPr>
                <w:rFonts w:eastAsia="Times New Roman" w:cs="Times New Roman"/>
                <w:bCs/>
                <w:lang w:eastAsia="cs-CZ"/>
              </w:rPr>
            </w:pPr>
            <w:r w:rsidRPr="00B90364">
              <w:rPr>
                <w:rFonts w:eastAsia="Times New Roman" w:cs="Times New Roman"/>
                <w:b/>
                <w:bCs/>
                <w:lang w:eastAsia="cs-CZ"/>
              </w:rPr>
              <w:t xml:space="preserve">Investiční transfery veřejným rozpočtům územní úrovně </w:t>
            </w:r>
            <w:r w:rsidRPr="00B90364">
              <w:rPr>
                <w:rFonts w:eastAsia="Times New Roman" w:cs="Times New Roman"/>
                <w:bCs/>
                <w:lang w:eastAsia="cs-CZ"/>
              </w:rPr>
              <w:t>v tom:</w:t>
            </w:r>
          </w:p>
        </w:tc>
        <w:tc>
          <w:tcPr>
            <w:tcW w:w="710" w:type="pct"/>
            <w:tcBorders>
              <w:top w:val="single" w:sz="4" w:space="0" w:color="7F7F7F" w:themeColor="text1" w:themeTint="80"/>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b/>
                <w:bCs/>
                <w:lang w:eastAsia="cs-CZ"/>
              </w:rPr>
            </w:pPr>
            <w:r w:rsidRPr="00B90364">
              <w:rPr>
                <w:rFonts w:eastAsia="Times New Roman" w:cs="Times New Roman"/>
                <w:b/>
                <w:bCs/>
                <w:lang w:eastAsia="cs-CZ"/>
              </w:rPr>
              <w:t>0</w:t>
            </w:r>
          </w:p>
        </w:tc>
        <w:tc>
          <w:tcPr>
            <w:tcW w:w="710" w:type="pct"/>
            <w:tcBorders>
              <w:top w:val="single" w:sz="4" w:space="0" w:color="7F7F7F" w:themeColor="text1" w:themeTint="80"/>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b/>
                <w:bCs/>
                <w:lang w:eastAsia="cs-CZ"/>
              </w:rPr>
            </w:pPr>
            <w:r w:rsidRPr="00B90364">
              <w:rPr>
                <w:rFonts w:eastAsia="Times New Roman" w:cs="Times New Roman"/>
                <w:b/>
                <w:bCs/>
                <w:lang w:eastAsia="cs-CZ"/>
              </w:rPr>
              <w:t>0</w:t>
            </w:r>
          </w:p>
        </w:tc>
        <w:tc>
          <w:tcPr>
            <w:tcW w:w="741" w:type="pct"/>
            <w:tcBorders>
              <w:top w:val="single" w:sz="4" w:space="0" w:color="7F7F7F" w:themeColor="text1" w:themeTint="80"/>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b/>
                <w:bCs/>
                <w:lang w:eastAsia="cs-CZ"/>
              </w:rPr>
            </w:pPr>
            <w:r w:rsidRPr="00B90364">
              <w:rPr>
                <w:rFonts w:eastAsia="Times New Roman" w:cs="Times New Roman"/>
                <w:b/>
                <w:bCs/>
                <w:lang w:eastAsia="cs-CZ"/>
              </w:rPr>
              <w:t>0</w:t>
            </w:r>
          </w:p>
        </w:tc>
        <w:tc>
          <w:tcPr>
            <w:tcW w:w="504"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910074" w:rsidRPr="00B90364" w:rsidRDefault="00910074" w:rsidP="00910074">
            <w:pPr>
              <w:jc w:val="right"/>
              <w:rPr>
                <w:rFonts w:eastAsia="Times New Roman" w:cs="Times New Roman"/>
                <w:b/>
                <w:bCs/>
                <w:lang w:eastAsia="cs-CZ"/>
              </w:rPr>
            </w:pPr>
            <w:r w:rsidRPr="00B90364">
              <w:rPr>
                <w:rFonts w:eastAsia="Times New Roman" w:cs="Times New Roman"/>
                <w:b/>
                <w:bCs/>
                <w:lang w:eastAsia="cs-CZ"/>
              </w:rPr>
              <w:t>x</w:t>
            </w:r>
          </w:p>
        </w:tc>
      </w:tr>
      <w:tr w:rsidR="00910074" w:rsidRPr="00B90364" w:rsidTr="00910074">
        <w:trPr>
          <w:trHeight w:val="315"/>
        </w:trPr>
        <w:tc>
          <w:tcPr>
            <w:tcW w:w="2334" w:type="pct"/>
            <w:tcBorders>
              <w:left w:val="single" w:sz="8" w:space="0" w:color="7F7F7F" w:themeColor="text1" w:themeTint="80"/>
              <w:right w:val="single" w:sz="4" w:space="0" w:color="auto"/>
            </w:tcBorders>
            <w:shd w:val="clear" w:color="auto" w:fill="auto"/>
            <w:noWrap/>
            <w:vAlign w:val="bottom"/>
          </w:tcPr>
          <w:p w:rsidR="00910074" w:rsidRPr="00B90364" w:rsidRDefault="00910074" w:rsidP="00910074">
            <w:pPr>
              <w:spacing w:line="240" w:lineRule="auto"/>
              <w:rPr>
                <w:rFonts w:eastAsia="Times New Roman" w:cs="Times New Roman"/>
                <w:lang w:eastAsia="cs-CZ"/>
              </w:rPr>
            </w:pPr>
            <w:r w:rsidRPr="00B90364">
              <w:rPr>
                <w:rFonts w:eastAsia="Times New Roman" w:cs="Times New Roman"/>
                <w:lang w:eastAsia="cs-CZ"/>
              </w:rPr>
              <w:t>prostředky SR</w:t>
            </w:r>
          </w:p>
        </w:tc>
        <w:tc>
          <w:tcPr>
            <w:tcW w:w="710"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0</w:t>
            </w:r>
          </w:p>
        </w:tc>
        <w:tc>
          <w:tcPr>
            <w:tcW w:w="710"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0</w:t>
            </w:r>
          </w:p>
        </w:tc>
        <w:tc>
          <w:tcPr>
            <w:tcW w:w="741"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0</w:t>
            </w:r>
          </w:p>
        </w:tc>
        <w:tc>
          <w:tcPr>
            <w:tcW w:w="504" w:type="pct"/>
            <w:tcBorders>
              <w:left w:val="single" w:sz="4" w:space="0" w:color="auto"/>
              <w:right w:val="single" w:sz="8" w:space="0" w:color="7F7F7F" w:themeColor="text1" w:themeTint="80"/>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x</w:t>
            </w:r>
          </w:p>
        </w:tc>
      </w:tr>
      <w:tr w:rsidR="00910074" w:rsidRPr="00B90364" w:rsidTr="00910074">
        <w:trPr>
          <w:trHeight w:val="330"/>
        </w:trPr>
        <w:tc>
          <w:tcPr>
            <w:tcW w:w="233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rsidR="00910074" w:rsidRPr="00B90364" w:rsidRDefault="00910074" w:rsidP="00910074">
            <w:pPr>
              <w:spacing w:line="240" w:lineRule="auto"/>
              <w:rPr>
                <w:rFonts w:eastAsia="Times New Roman" w:cs="Times New Roman"/>
                <w:lang w:eastAsia="cs-CZ"/>
              </w:rPr>
            </w:pPr>
            <w:r w:rsidRPr="00B90364">
              <w:rPr>
                <w:rFonts w:eastAsia="Times New Roman" w:cs="Times New Roman"/>
                <w:lang w:eastAsia="cs-CZ"/>
              </w:rPr>
              <w:t>prostředky z fondů EU</w:t>
            </w:r>
          </w:p>
        </w:tc>
        <w:tc>
          <w:tcPr>
            <w:tcW w:w="710" w:type="pct"/>
            <w:tcBorders>
              <w:left w:val="single" w:sz="4" w:space="0" w:color="auto"/>
              <w:bottom w:val="single" w:sz="4" w:space="0" w:color="7F7F7F" w:themeColor="text1" w:themeTint="80"/>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bCs/>
                <w:lang w:eastAsia="cs-CZ"/>
              </w:rPr>
              <w:t xml:space="preserve">0 </w:t>
            </w:r>
          </w:p>
        </w:tc>
        <w:tc>
          <w:tcPr>
            <w:tcW w:w="710" w:type="pct"/>
            <w:tcBorders>
              <w:left w:val="single" w:sz="4" w:space="0" w:color="auto"/>
              <w:bottom w:val="single" w:sz="4" w:space="0" w:color="7F7F7F" w:themeColor="text1" w:themeTint="80"/>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0</w:t>
            </w:r>
          </w:p>
        </w:tc>
        <w:tc>
          <w:tcPr>
            <w:tcW w:w="741" w:type="pct"/>
            <w:tcBorders>
              <w:left w:val="single" w:sz="4" w:space="0" w:color="auto"/>
              <w:bottom w:val="single" w:sz="4" w:space="0" w:color="7F7F7F" w:themeColor="text1" w:themeTint="80"/>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0</w:t>
            </w:r>
          </w:p>
        </w:tc>
        <w:tc>
          <w:tcPr>
            <w:tcW w:w="504" w:type="pct"/>
            <w:tcBorders>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x</w:t>
            </w:r>
          </w:p>
        </w:tc>
      </w:tr>
      <w:tr w:rsidR="00910074" w:rsidRPr="00B90364" w:rsidTr="00910074">
        <w:trPr>
          <w:trHeight w:val="330"/>
        </w:trPr>
        <w:tc>
          <w:tcPr>
            <w:tcW w:w="2334" w:type="pct"/>
            <w:tcBorders>
              <w:top w:val="single" w:sz="4" w:space="0" w:color="7F7F7F" w:themeColor="text1" w:themeTint="80"/>
              <w:left w:val="single" w:sz="8" w:space="0" w:color="7F7F7F" w:themeColor="text1" w:themeTint="80"/>
              <w:right w:val="single" w:sz="4" w:space="0" w:color="auto"/>
            </w:tcBorders>
            <w:vAlign w:val="bottom"/>
          </w:tcPr>
          <w:p w:rsidR="00910074" w:rsidRPr="00B90364" w:rsidRDefault="00910074" w:rsidP="00910074">
            <w:pPr>
              <w:spacing w:line="240" w:lineRule="auto"/>
              <w:rPr>
                <w:rFonts w:eastAsia="Times New Roman" w:cs="Times New Roman"/>
                <w:lang w:eastAsia="cs-CZ"/>
              </w:rPr>
            </w:pPr>
            <w:r w:rsidRPr="00B90364">
              <w:rPr>
                <w:rFonts w:eastAsia="Times New Roman" w:cs="Times New Roman"/>
                <w:b/>
                <w:lang w:eastAsia="cs-CZ"/>
              </w:rPr>
              <w:t xml:space="preserve">Investiční transfery státním fondům </w:t>
            </w:r>
            <w:r w:rsidRPr="00B90364">
              <w:rPr>
                <w:rFonts w:eastAsia="Times New Roman" w:cs="Times New Roman"/>
                <w:lang w:eastAsia="cs-CZ"/>
              </w:rPr>
              <w:t>v tom:</w:t>
            </w:r>
          </w:p>
        </w:tc>
        <w:tc>
          <w:tcPr>
            <w:tcW w:w="710" w:type="pct"/>
            <w:tcBorders>
              <w:top w:val="single" w:sz="4" w:space="0" w:color="7F7F7F" w:themeColor="text1" w:themeTint="80"/>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b/>
                <w:lang w:eastAsia="cs-CZ"/>
              </w:rPr>
            </w:pPr>
            <w:r w:rsidRPr="00B90364">
              <w:rPr>
                <w:rFonts w:eastAsia="Times New Roman" w:cs="Times New Roman"/>
                <w:b/>
                <w:lang w:eastAsia="cs-CZ"/>
              </w:rPr>
              <w:t xml:space="preserve">44 742 923  </w:t>
            </w:r>
          </w:p>
        </w:tc>
        <w:tc>
          <w:tcPr>
            <w:tcW w:w="710" w:type="pct"/>
            <w:tcBorders>
              <w:top w:val="single" w:sz="2" w:space="0" w:color="7F7F7F" w:themeColor="text1" w:themeTint="80"/>
              <w:left w:val="single" w:sz="2" w:space="0" w:color="auto"/>
              <w:right w:val="single" w:sz="2" w:space="0" w:color="auto"/>
            </w:tcBorders>
            <w:shd w:val="clear" w:color="auto" w:fill="auto"/>
            <w:noWrap/>
            <w:vAlign w:val="bottom"/>
          </w:tcPr>
          <w:p w:rsidR="00910074" w:rsidRPr="00B90364" w:rsidRDefault="00910074" w:rsidP="00910074">
            <w:pPr>
              <w:jc w:val="right"/>
              <w:rPr>
                <w:rFonts w:eastAsia="Times New Roman" w:cs="Times New Roman"/>
                <w:b/>
                <w:lang w:eastAsia="cs-CZ"/>
              </w:rPr>
            </w:pPr>
            <w:r w:rsidRPr="00B90364">
              <w:rPr>
                <w:rFonts w:eastAsia="Times New Roman" w:cs="Times New Roman"/>
                <w:b/>
                <w:lang w:eastAsia="cs-CZ"/>
              </w:rPr>
              <w:t>59 856 867</w:t>
            </w:r>
          </w:p>
        </w:tc>
        <w:tc>
          <w:tcPr>
            <w:tcW w:w="741" w:type="pct"/>
            <w:tcBorders>
              <w:top w:val="single" w:sz="4" w:space="0" w:color="7F7F7F" w:themeColor="text1" w:themeTint="80"/>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b/>
                <w:lang w:eastAsia="cs-CZ"/>
              </w:rPr>
            </w:pPr>
            <w:r>
              <w:rPr>
                <w:rFonts w:eastAsia="Times New Roman" w:cs="Times New Roman"/>
                <w:b/>
                <w:lang w:eastAsia="cs-CZ"/>
              </w:rPr>
              <w:t>80 438 703</w:t>
            </w:r>
          </w:p>
        </w:tc>
        <w:tc>
          <w:tcPr>
            <w:tcW w:w="504"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910074" w:rsidRPr="00951CC9" w:rsidRDefault="00910074" w:rsidP="00910074">
            <w:pPr>
              <w:jc w:val="right"/>
              <w:rPr>
                <w:rFonts w:eastAsia="Times New Roman" w:cs="Times New Roman"/>
                <w:b/>
                <w:lang w:eastAsia="cs-CZ"/>
              </w:rPr>
            </w:pPr>
            <w:r w:rsidRPr="00951CC9">
              <w:rPr>
                <w:rFonts w:eastAsia="Times New Roman" w:cs="Times New Roman"/>
                <w:b/>
                <w:lang w:eastAsia="cs-CZ"/>
              </w:rPr>
              <w:t>134,39</w:t>
            </w:r>
          </w:p>
        </w:tc>
      </w:tr>
      <w:tr w:rsidR="00910074" w:rsidRPr="00B90364" w:rsidTr="00910074">
        <w:trPr>
          <w:trHeight w:val="330"/>
        </w:trPr>
        <w:tc>
          <w:tcPr>
            <w:tcW w:w="2334" w:type="pct"/>
            <w:tcBorders>
              <w:left w:val="single" w:sz="8" w:space="0" w:color="7F7F7F" w:themeColor="text1" w:themeTint="80"/>
              <w:right w:val="single" w:sz="4" w:space="0" w:color="auto"/>
            </w:tcBorders>
            <w:vAlign w:val="bottom"/>
          </w:tcPr>
          <w:p w:rsidR="00910074" w:rsidRPr="00B90364" w:rsidRDefault="00910074" w:rsidP="00910074">
            <w:pPr>
              <w:spacing w:line="240" w:lineRule="auto"/>
              <w:rPr>
                <w:rFonts w:eastAsia="Times New Roman" w:cs="Times New Roman"/>
                <w:lang w:eastAsia="cs-CZ"/>
              </w:rPr>
            </w:pPr>
            <w:r w:rsidRPr="00B90364">
              <w:rPr>
                <w:rFonts w:eastAsia="Times New Roman" w:cs="Times New Roman"/>
                <w:lang w:eastAsia="cs-CZ"/>
              </w:rPr>
              <w:t>prostředky SR</w:t>
            </w:r>
          </w:p>
        </w:tc>
        <w:tc>
          <w:tcPr>
            <w:tcW w:w="710"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27 181 146</w:t>
            </w:r>
          </w:p>
        </w:tc>
        <w:tc>
          <w:tcPr>
            <w:tcW w:w="710" w:type="pct"/>
            <w:tcBorders>
              <w:left w:val="single" w:sz="2" w:space="0" w:color="auto"/>
              <w:right w:val="single" w:sz="2"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46 896 001</w:t>
            </w:r>
          </w:p>
        </w:tc>
        <w:tc>
          <w:tcPr>
            <w:tcW w:w="741"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Pr>
                <w:rFonts w:eastAsia="Times New Roman" w:cs="Times New Roman"/>
                <w:lang w:eastAsia="cs-CZ"/>
              </w:rPr>
              <w:t>43 525 000</w:t>
            </w:r>
          </w:p>
        </w:tc>
        <w:tc>
          <w:tcPr>
            <w:tcW w:w="504" w:type="pct"/>
            <w:tcBorders>
              <w:left w:val="single" w:sz="4" w:space="0" w:color="auto"/>
              <w:right w:val="single" w:sz="8" w:space="0" w:color="7F7F7F" w:themeColor="text1" w:themeTint="80"/>
            </w:tcBorders>
            <w:shd w:val="clear" w:color="auto" w:fill="auto"/>
            <w:noWrap/>
            <w:vAlign w:val="bottom"/>
          </w:tcPr>
          <w:p w:rsidR="00910074" w:rsidRPr="00951CC9" w:rsidRDefault="00910074" w:rsidP="00910074">
            <w:pPr>
              <w:jc w:val="right"/>
              <w:rPr>
                <w:rFonts w:eastAsia="Times New Roman" w:cs="Times New Roman"/>
                <w:lang w:eastAsia="cs-CZ"/>
              </w:rPr>
            </w:pPr>
            <w:r w:rsidRPr="00951CC9">
              <w:rPr>
                <w:rFonts w:eastAsia="Times New Roman" w:cs="Times New Roman"/>
                <w:lang w:eastAsia="cs-CZ"/>
              </w:rPr>
              <w:t>92,81</w:t>
            </w:r>
          </w:p>
        </w:tc>
      </w:tr>
      <w:tr w:rsidR="00910074" w:rsidRPr="00B90364" w:rsidTr="00910074">
        <w:trPr>
          <w:trHeight w:val="330"/>
        </w:trPr>
        <w:tc>
          <w:tcPr>
            <w:tcW w:w="2334" w:type="pct"/>
            <w:tcBorders>
              <w:left w:val="single" w:sz="8" w:space="0" w:color="7F7F7F" w:themeColor="text1" w:themeTint="80"/>
              <w:bottom w:val="single" w:sz="8" w:space="0" w:color="7F7F7F" w:themeColor="text1" w:themeTint="80"/>
              <w:right w:val="single" w:sz="4" w:space="0" w:color="auto"/>
            </w:tcBorders>
            <w:vAlign w:val="bottom"/>
          </w:tcPr>
          <w:p w:rsidR="00910074" w:rsidRPr="00B90364" w:rsidRDefault="00910074" w:rsidP="00910074">
            <w:pPr>
              <w:spacing w:line="240" w:lineRule="auto"/>
              <w:rPr>
                <w:rFonts w:eastAsia="Times New Roman" w:cs="Times New Roman"/>
                <w:lang w:eastAsia="cs-CZ"/>
              </w:rPr>
            </w:pPr>
            <w:r w:rsidRPr="00B90364">
              <w:rPr>
                <w:rFonts w:eastAsia="Times New Roman" w:cs="Times New Roman"/>
                <w:lang w:eastAsia="cs-CZ"/>
              </w:rPr>
              <w:t>prostředky z fondů EU</w:t>
            </w:r>
          </w:p>
        </w:tc>
        <w:tc>
          <w:tcPr>
            <w:tcW w:w="710" w:type="pct"/>
            <w:tcBorders>
              <w:left w:val="single" w:sz="4" w:space="0" w:color="auto"/>
              <w:bottom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17 561 777</w:t>
            </w:r>
          </w:p>
        </w:tc>
        <w:tc>
          <w:tcPr>
            <w:tcW w:w="710" w:type="pct"/>
            <w:tcBorders>
              <w:left w:val="single" w:sz="2" w:space="0" w:color="auto"/>
              <w:bottom w:val="single" w:sz="4" w:space="0" w:color="auto"/>
              <w:right w:val="single" w:sz="2"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12 960 866</w:t>
            </w:r>
          </w:p>
        </w:tc>
        <w:tc>
          <w:tcPr>
            <w:tcW w:w="741" w:type="pct"/>
            <w:tcBorders>
              <w:left w:val="single" w:sz="4" w:space="0" w:color="auto"/>
              <w:bottom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Pr>
                <w:rFonts w:eastAsia="Times New Roman" w:cs="Times New Roman"/>
                <w:lang w:eastAsia="cs-CZ"/>
              </w:rPr>
              <w:t>36 913 703</w:t>
            </w:r>
          </w:p>
        </w:tc>
        <w:tc>
          <w:tcPr>
            <w:tcW w:w="504" w:type="pct"/>
            <w:tcBorders>
              <w:left w:val="single" w:sz="4" w:space="0" w:color="auto"/>
              <w:bottom w:val="single" w:sz="4" w:space="0" w:color="auto"/>
              <w:right w:val="single" w:sz="8" w:space="0" w:color="7F7F7F" w:themeColor="text1" w:themeTint="80"/>
            </w:tcBorders>
            <w:shd w:val="clear" w:color="auto" w:fill="auto"/>
            <w:noWrap/>
            <w:vAlign w:val="bottom"/>
          </w:tcPr>
          <w:p w:rsidR="00910074" w:rsidRPr="00951CC9" w:rsidRDefault="00910074" w:rsidP="00910074">
            <w:pPr>
              <w:jc w:val="right"/>
              <w:rPr>
                <w:rFonts w:eastAsia="Times New Roman" w:cs="Times New Roman"/>
                <w:lang w:eastAsia="cs-CZ"/>
              </w:rPr>
            </w:pPr>
            <w:r w:rsidRPr="00951CC9">
              <w:rPr>
                <w:rFonts w:eastAsia="Times New Roman" w:cs="Times New Roman"/>
                <w:lang w:eastAsia="cs-CZ"/>
              </w:rPr>
              <w:t>284,81</w:t>
            </w:r>
          </w:p>
        </w:tc>
      </w:tr>
      <w:tr w:rsidR="00910074" w:rsidRPr="00B90364" w:rsidTr="00910074">
        <w:trPr>
          <w:trHeight w:val="367"/>
        </w:trPr>
        <w:tc>
          <w:tcPr>
            <w:tcW w:w="2334" w:type="pct"/>
            <w:tcBorders>
              <w:top w:val="single" w:sz="8" w:space="0" w:color="7F7F7F" w:themeColor="text1" w:themeTint="80"/>
              <w:left w:val="single" w:sz="8" w:space="0" w:color="7F7F7F" w:themeColor="text1" w:themeTint="80"/>
              <w:right w:val="single" w:sz="4" w:space="0" w:color="auto"/>
            </w:tcBorders>
            <w:shd w:val="clear" w:color="auto" w:fill="auto"/>
            <w:noWrap/>
            <w:vAlign w:val="bottom"/>
          </w:tcPr>
          <w:p w:rsidR="00910074" w:rsidRPr="00B90364" w:rsidRDefault="00910074" w:rsidP="00910074">
            <w:pPr>
              <w:spacing w:line="240" w:lineRule="auto"/>
              <w:rPr>
                <w:rFonts w:eastAsia="Times New Roman" w:cs="Times New Roman"/>
                <w:bCs/>
                <w:lang w:eastAsia="cs-CZ"/>
              </w:rPr>
            </w:pPr>
            <w:r w:rsidRPr="00B90364">
              <w:rPr>
                <w:rFonts w:eastAsia="Times New Roman" w:cs="Times New Roman"/>
                <w:b/>
                <w:bCs/>
                <w:lang w:eastAsia="cs-CZ"/>
              </w:rPr>
              <w:t xml:space="preserve">Kapitálové výdaje celkem </w:t>
            </w:r>
            <w:r w:rsidRPr="00B90364">
              <w:rPr>
                <w:rFonts w:eastAsia="Times New Roman" w:cs="Times New Roman"/>
                <w:bCs/>
                <w:lang w:eastAsia="cs-CZ"/>
              </w:rPr>
              <w:t>v tom:</w:t>
            </w:r>
          </w:p>
        </w:tc>
        <w:tc>
          <w:tcPr>
            <w:tcW w:w="710" w:type="pct"/>
            <w:tcBorders>
              <w:top w:val="single" w:sz="4" w:space="0" w:color="auto"/>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b/>
                <w:bCs/>
                <w:lang w:eastAsia="cs-CZ"/>
              </w:rPr>
            </w:pPr>
            <w:r w:rsidRPr="00B90364">
              <w:rPr>
                <w:rFonts w:eastAsia="Times New Roman" w:cs="Times New Roman"/>
                <w:b/>
                <w:bCs/>
                <w:lang w:eastAsia="cs-CZ"/>
              </w:rPr>
              <w:t>44 793 958</w:t>
            </w:r>
          </w:p>
        </w:tc>
        <w:tc>
          <w:tcPr>
            <w:tcW w:w="710" w:type="pct"/>
            <w:tcBorders>
              <w:top w:val="single" w:sz="4" w:space="0" w:color="auto"/>
              <w:left w:val="single" w:sz="2" w:space="0" w:color="auto"/>
              <w:right w:val="single" w:sz="2" w:space="0" w:color="auto"/>
            </w:tcBorders>
            <w:shd w:val="clear" w:color="auto" w:fill="auto"/>
            <w:noWrap/>
            <w:vAlign w:val="bottom"/>
          </w:tcPr>
          <w:p w:rsidR="00910074" w:rsidRPr="00B90364" w:rsidRDefault="00910074" w:rsidP="00910074">
            <w:pPr>
              <w:jc w:val="right"/>
              <w:rPr>
                <w:rFonts w:eastAsia="Times New Roman" w:cs="Times New Roman"/>
                <w:b/>
                <w:bCs/>
                <w:lang w:eastAsia="cs-CZ"/>
              </w:rPr>
            </w:pPr>
            <w:r w:rsidRPr="00B90364">
              <w:rPr>
                <w:rFonts w:eastAsia="Times New Roman" w:cs="Times New Roman"/>
                <w:b/>
                <w:bCs/>
                <w:lang w:eastAsia="cs-CZ"/>
              </w:rPr>
              <w:t>60 379 501</w:t>
            </w:r>
          </w:p>
        </w:tc>
        <w:tc>
          <w:tcPr>
            <w:tcW w:w="741" w:type="pct"/>
            <w:tcBorders>
              <w:top w:val="single" w:sz="4" w:space="0" w:color="auto"/>
              <w:left w:val="single" w:sz="4" w:space="0" w:color="auto"/>
              <w:right w:val="single" w:sz="4" w:space="0" w:color="auto"/>
            </w:tcBorders>
            <w:shd w:val="clear" w:color="auto" w:fill="auto"/>
            <w:noWrap/>
            <w:vAlign w:val="bottom"/>
          </w:tcPr>
          <w:p w:rsidR="00910074" w:rsidRPr="00270140" w:rsidRDefault="00910074" w:rsidP="00910074">
            <w:pPr>
              <w:jc w:val="right"/>
              <w:rPr>
                <w:rFonts w:eastAsia="Times New Roman" w:cs="Times New Roman"/>
                <w:b/>
                <w:bCs/>
                <w:lang w:eastAsia="cs-CZ"/>
              </w:rPr>
            </w:pPr>
            <w:r w:rsidRPr="00270140">
              <w:rPr>
                <w:rFonts w:eastAsia="Times New Roman" w:cs="Times New Roman"/>
                <w:b/>
                <w:bCs/>
                <w:lang w:eastAsia="cs-CZ"/>
              </w:rPr>
              <w:t>83 186 080</w:t>
            </w:r>
          </w:p>
        </w:tc>
        <w:tc>
          <w:tcPr>
            <w:tcW w:w="504" w:type="pct"/>
            <w:tcBorders>
              <w:top w:val="single" w:sz="4" w:space="0" w:color="auto"/>
              <w:left w:val="single" w:sz="4" w:space="0" w:color="auto"/>
              <w:right w:val="single" w:sz="8" w:space="0" w:color="7F7F7F" w:themeColor="text1" w:themeTint="80"/>
            </w:tcBorders>
            <w:shd w:val="clear" w:color="auto" w:fill="auto"/>
            <w:noWrap/>
            <w:vAlign w:val="bottom"/>
          </w:tcPr>
          <w:p w:rsidR="00910074" w:rsidRPr="00270140" w:rsidRDefault="00910074" w:rsidP="00910074">
            <w:pPr>
              <w:jc w:val="right"/>
              <w:rPr>
                <w:rFonts w:eastAsia="Times New Roman" w:cs="Times New Roman"/>
                <w:b/>
                <w:bCs/>
                <w:lang w:eastAsia="cs-CZ"/>
              </w:rPr>
            </w:pPr>
            <w:r w:rsidRPr="00270140">
              <w:rPr>
                <w:rFonts w:eastAsia="Times New Roman" w:cs="Times New Roman"/>
                <w:b/>
                <w:bCs/>
                <w:lang w:eastAsia="cs-CZ"/>
              </w:rPr>
              <w:t>137,77</w:t>
            </w:r>
          </w:p>
        </w:tc>
      </w:tr>
      <w:tr w:rsidR="00910074" w:rsidRPr="00B90364" w:rsidTr="00910074">
        <w:trPr>
          <w:trHeight w:val="315"/>
        </w:trPr>
        <w:tc>
          <w:tcPr>
            <w:tcW w:w="2334" w:type="pct"/>
            <w:tcBorders>
              <w:left w:val="single" w:sz="8" w:space="0" w:color="7F7F7F" w:themeColor="text1" w:themeTint="80"/>
              <w:right w:val="single" w:sz="4" w:space="0" w:color="auto"/>
            </w:tcBorders>
            <w:shd w:val="clear" w:color="auto" w:fill="auto"/>
            <w:noWrap/>
            <w:vAlign w:val="bottom"/>
          </w:tcPr>
          <w:p w:rsidR="00910074" w:rsidRPr="00B90364" w:rsidRDefault="00910074" w:rsidP="00910074">
            <w:pPr>
              <w:spacing w:line="240" w:lineRule="auto"/>
              <w:rPr>
                <w:rFonts w:eastAsia="Times New Roman" w:cs="Times New Roman"/>
                <w:lang w:eastAsia="cs-CZ"/>
              </w:rPr>
            </w:pPr>
            <w:r w:rsidRPr="00B90364">
              <w:rPr>
                <w:rFonts w:eastAsia="Times New Roman" w:cs="Times New Roman"/>
                <w:lang w:eastAsia="cs-CZ"/>
              </w:rPr>
              <w:t>prostředky SR</w:t>
            </w:r>
          </w:p>
        </w:tc>
        <w:tc>
          <w:tcPr>
            <w:tcW w:w="710"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27 223 716</w:t>
            </w:r>
          </w:p>
        </w:tc>
        <w:tc>
          <w:tcPr>
            <w:tcW w:w="710" w:type="pct"/>
            <w:tcBorders>
              <w:left w:val="single" w:sz="2" w:space="0" w:color="auto"/>
              <w:right w:val="single" w:sz="2"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46 990 488</w:t>
            </w:r>
          </w:p>
        </w:tc>
        <w:tc>
          <w:tcPr>
            <w:tcW w:w="741" w:type="pct"/>
            <w:tcBorders>
              <w:left w:val="single" w:sz="4" w:space="0" w:color="auto"/>
              <w:right w:val="single" w:sz="4" w:space="0" w:color="auto"/>
            </w:tcBorders>
            <w:shd w:val="clear" w:color="auto" w:fill="auto"/>
            <w:noWrap/>
            <w:vAlign w:val="bottom"/>
          </w:tcPr>
          <w:p w:rsidR="00910074" w:rsidRPr="00270140" w:rsidRDefault="00910074" w:rsidP="00910074">
            <w:pPr>
              <w:jc w:val="right"/>
              <w:rPr>
                <w:rFonts w:eastAsia="Times New Roman" w:cs="Times New Roman"/>
                <w:lang w:eastAsia="cs-CZ"/>
              </w:rPr>
            </w:pPr>
            <w:r w:rsidRPr="00270140">
              <w:rPr>
                <w:rFonts w:eastAsia="Times New Roman" w:cs="Times New Roman"/>
                <w:lang w:eastAsia="cs-CZ"/>
              </w:rPr>
              <w:t>43 606 849</w:t>
            </w:r>
          </w:p>
        </w:tc>
        <w:tc>
          <w:tcPr>
            <w:tcW w:w="504" w:type="pct"/>
            <w:tcBorders>
              <w:left w:val="single" w:sz="4" w:space="0" w:color="auto"/>
              <w:right w:val="single" w:sz="8" w:space="0" w:color="7F7F7F" w:themeColor="text1" w:themeTint="80"/>
            </w:tcBorders>
            <w:shd w:val="clear" w:color="auto" w:fill="auto"/>
            <w:noWrap/>
            <w:vAlign w:val="bottom"/>
          </w:tcPr>
          <w:p w:rsidR="00910074" w:rsidRPr="00270140" w:rsidRDefault="00D24ABA" w:rsidP="00CA6E2E">
            <w:pPr>
              <w:jc w:val="right"/>
              <w:rPr>
                <w:rFonts w:eastAsia="Times New Roman" w:cs="Times New Roman"/>
                <w:lang w:eastAsia="cs-CZ"/>
              </w:rPr>
            </w:pPr>
            <w:r>
              <w:rPr>
                <w:rFonts w:eastAsia="Times New Roman" w:cs="Times New Roman"/>
                <w:lang w:eastAsia="cs-CZ"/>
              </w:rPr>
              <w:t>9</w:t>
            </w:r>
            <w:r w:rsidR="00CA6E2E">
              <w:rPr>
                <w:rFonts w:eastAsia="Times New Roman" w:cs="Times New Roman"/>
                <w:lang w:eastAsia="cs-CZ"/>
              </w:rPr>
              <w:t>2</w:t>
            </w:r>
            <w:r>
              <w:rPr>
                <w:rFonts w:eastAsia="Times New Roman" w:cs="Times New Roman"/>
                <w:lang w:eastAsia="cs-CZ"/>
              </w:rPr>
              <w:t>,80</w:t>
            </w:r>
          </w:p>
        </w:tc>
      </w:tr>
      <w:tr w:rsidR="00910074" w:rsidRPr="00B90364" w:rsidTr="00910074">
        <w:trPr>
          <w:trHeight w:val="304"/>
        </w:trPr>
        <w:tc>
          <w:tcPr>
            <w:tcW w:w="2334" w:type="pct"/>
            <w:tcBorders>
              <w:left w:val="single" w:sz="8" w:space="0" w:color="7F7F7F" w:themeColor="text1" w:themeTint="80"/>
              <w:right w:val="single" w:sz="4" w:space="0" w:color="auto"/>
            </w:tcBorders>
            <w:shd w:val="clear" w:color="auto" w:fill="auto"/>
            <w:noWrap/>
            <w:vAlign w:val="bottom"/>
          </w:tcPr>
          <w:p w:rsidR="00910074" w:rsidRPr="00B90364" w:rsidRDefault="00910074" w:rsidP="00910074">
            <w:pPr>
              <w:spacing w:line="240" w:lineRule="auto"/>
              <w:rPr>
                <w:rFonts w:eastAsia="Times New Roman" w:cs="Times New Roman"/>
                <w:lang w:eastAsia="cs-CZ"/>
              </w:rPr>
            </w:pPr>
            <w:r w:rsidRPr="00B90364">
              <w:rPr>
                <w:rFonts w:eastAsia="Times New Roman" w:cs="Times New Roman"/>
                <w:lang w:eastAsia="cs-CZ"/>
              </w:rPr>
              <w:t>prostředky z fondů EU</w:t>
            </w:r>
          </w:p>
        </w:tc>
        <w:tc>
          <w:tcPr>
            <w:tcW w:w="710"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17 562 992</w:t>
            </w:r>
          </w:p>
        </w:tc>
        <w:tc>
          <w:tcPr>
            <w:tcW w:w="710" w:type="pct"/>
            <w:tcBorders>
              <w:left w:val="single" w:sz="2" w:space="0" w:color="auto"/>
              <w:right w:val="single" w:sz="2"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13 361 153</w:t>
            </w:r>
          </w:p>
        </w:tc>
        <w:tc>
          <w:tcPr>
            <w:tcW w:w="741" w:type="pct"/>
            <w:tcBorders>
              <w:left w:val="single" w:sz="4" w:space="0" w:color="auto"/>
              <w:right w:val="single" w:sz="4" w:space="0" w:color="auto"/>
            </w:tcBorders>
            <w:shd w:val="clear" w:color="auto" w:fill="auto"/>
            <w:noWrap/>
            <w:vAlign w:val="bottom"/>
          </w:tcPr>
          <w:p w:rsidR="00910074" w:rsidRPr="00270140" w:rsidRDefault="00910074" w:rsidP="00910074">
            <w:pPr>
              <w:jc w:val="right"/>
              <w:rPr>
                <w:rFonts w:eastAsia="Times New Roman" w:cs="Times New Roman"/>
                <w:lang w:eastAsia="cs-CZ"/>
              </w:rPr>
            </w:pPr>
            <w:r w:rsidRPr="00270140">
              <w:rPr>
                <w:rFonts w:eastAsia="Times New Roman" w:cs="Times New Roman"/>
                <w:lang w:eastAsia="cs-CZ"/>
              </w:rPr>
              <w:t>39 540 324</w:t>
            </w:r>
          </w:p>
        </w:tc>
        <w:tc>
          <w:tcPr>
            <w:tcW w:w="504" w:type="pct"/>
            <w:tcBorders>
              <w:left w:val="single" w:sz="4" w:space="0" w:color="auto"/>
              <w:right w:val="single" w:sz="8" w:space="0" w:color="7F7F7F" w:themeColor="text1" w:themeTint="80"/>
            </w:tcBorders>
            <w:shd w:val="clear" w:color="auto" w:fill="auto"/>
            <w:noWrap/>
            <w:vAlign w:val="bottom"/>
          </w:tcPr>
          <w:p w:rsidR="00910074" w:rsidRPr="00270140" w:rsidRDefault="00910074" w:rsidP="00910074">
            <w:pPr>
              <w:jc w:val="right"/>
              <w:rPr>
                <w:rFonts w:eastAsia="Times New Roman" w:cs="Times New Roman"/>
                <w:lang w:eastAsia="cs-CZ"/>
              </w:rPr>
            </w:pPr>
            <w:r w:rsidRPr="00270140">
              <w:rPr>
                <w:rFonts w:eastAsia="Times New Roman" w:cs="Times New Roman"/>
                <w:lang w:eastAsia="cs-CZ"/>
              </w:rPr>
              <w:t>295,93</w:t>
            </w:r>
          </w:p>
        </w:tc>
      </w:tr>
      <w:tr w:rsidR="00910074" w:rsidRPr="00B90364" w:rsidTr="00910074">
        <w:trPr>
          <w:trHeight w:val="330"/>
        </w:trPr>
        <w:tc>
          <w:tcPr>
            <w:tcW w:w="2334" w:type="pct"/>
            <w:tcBorders>
              <w:left w:val="single" w:sz="8" w:space="0" w:color="7F7F7F" w:themeColor="text1" w:themeTint="80"/>
              <w:right w:val="single" w:sz="4" w:space="0" w:color="auto"/>
            </w:tcBorders>
            <w:shd w:val="clear" w:color="auto" w:fill="auto"/>
            <w:noWrap/>
            <w:vAlign w:val="bottom"/>
          </w:tcPr>
          <w:p w:rsidR="00910074" w:rsidRPr="00B90364" w:rsidRDefault="00910074" w:rsidP="00910074">
            <w:pPr>
              <w:spacing w:line="240" w:lineRule="auto"/>
              <w:rPr>
                <w:rFonts w:eastAsia="Times New Roman" w:cs="Times New Roman"/>
                <w:lang w:eastAsia="cs-CZ"/>
              </w:rPr>
            </w:pPr>
            <w:r w:rsidRPr="00B90364">
              <w:rPr>
                <w:rFonts w:eastAsia="Times New Roman" w:cs="Times New Roman"/>
                <w:lang w:eastAsia="cs-CZ"/>
              </w:rPr>
              <w:t xml:space="preserve">výzkum, vývoj a inovace </w:t>
            </w:r>
          </w:p>
        </w:tc>
        <w:tc>
          <w:tcPr>
            <w:tcW w:w="710" w:type="pct"/>
            <w:tcBorders>
              <w:left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7 250</w:t>
            </w:r>
          </w:p>
        </w:tc>
        <w:tc>
          <w:tcPr>
            <w:tcW w:w="710" w:type="pct"/>
            <w:tcBorders>
              <w:left w:val="single" w:sz="2" w:space="0" w:color="auto"/>
              <w:right w:val="single" w:sz="2" w:space="0" w:color="auto"/>
            </w:tcBorders>
            <w:shd w:val="clear" w:color="auto" w:fill="auto"/>
            <w:noWrap/>
            <w:vAlign w:val="bottom"/>
          </w:tcPr>
          <w:p w:rsidR="00910074" w:rsidRPr="00B90364" w:rsidRDefault="00910074" w:rsidP="00910074">
            <w:pPr>
              <w:jc w:val="right"/>
              <w:rPr>
                <w:rFonts w:eastAsia="Times New Roman" w:cs="Times New Roman"/>
                <w:lang w:eastAsia="cs-CZ"/>
              </w:rPr>
            </w:pPr>
            <w:r w:rsidRPr="00B90364">
              <w:rPr>
                <w:rFonts w:eastAsia="Times New Roman" w:cs="Times New Roman"/>
                <w:lang w:eastAsia="cs-CZ"/>
              </w:rPr>
              <w:t>27 860</w:t>
            </w:r>
          </w:p>
        </w:tc>
        <w:tc>
          <w:tcPr>
            <w:tcW w:w="741" w:type="pct"/>
            <w:tcBorders>
              <w:left w:val="single" w:sz="4" w:space="0" w:color="auto"/>
              <w:right w:val="single" w:sz="4" w:space="0" w:color="auto"/>
            </w:tcBorders>
            <w:shd w:val="clear" w:color="auto" w:fill="auto"/>
            <w:noWrap/>
            <w:vAlign w:val="bottom"/>
          </w:tcPr>
          <w:p w:rsidR="00910074" w:rsidRPr="00270140" w:rsidRDefault="00910074" w:rsidP="00910074">
            <w:pPr>
              <w:jc w:val="right"/>
              <w:rPr>
                <w:rFonts w:eastAsia="Times New Roman" w:cs="Times New Roman"/>
                <w:lang w:eastAsia="cs-CZ"/>
              </w:rPr>
            </w:pPr>
            <w:r w:rsidRPr="00270140">
              <w:rPr>
                <w:rFonts w:eastAsia="Times New Roman" w:cs="Times New Roman"/>
                <w:lang w:eastAsia="cs-CZ"/>
              </w:rPr>
              <w:t>38 907</w:t>
            </w:r>
          </w:p>
        </w:tc>
        <w:tc>
          <w:tcPr>
            <w:tcW w:w="504" w:type="pct"/>
            <w:tcBorders>
              <w:left w:val="single" w:sz="4" w:space="0" w:color="auto"/>
              <w:right w:val="single" w:sz="8" w:space="0" w:color="7F7F7F" w:themeColor="text1" w:themeTint="80"/>
            </w:tcBorders>
            <w:shd w:val="clear" w:color="auto" w:fill="auto"/>
            <w:noWrap/>
            <w:vAlign w:val="bottom"/>
          </w:tcPr>
          <w:p w:rsidR="00910074" w:rsidRPr="00270140" w:rsidRDefault="00910074" w:rsidP="00910074">
            <w:pPr>
              <w:jc w:val="right"/>
              <w:rPr>
                <w:rFonts w:eastAsia="Times New Roman" w:cs="Times New Roman"/>
                <w:lang w:eastAsia="cs-CZ"/>
              </w:rPr>
            </w:pPr>
            <w:r w:rsidRPr="00270140">
              <w:rPr>
                <w:rFonts w:eastAsia="Times New Roman" w:cs="Times New Roman"/>
                <w:lang w:eastAsia="cs-CZ"/>
              </w:rPr>
              <w:t>139,65</w:t>
            </w:r>
          </w:p>
        </w:tc>
      </w:tr>
      <w:tr w:rsidR="00910074" w:rsidRPr="00B90364" w:rsidTr="00910074">
        <w:trPr>
          <w:trHeight w:val="330"/>
        </w:trPr>
        <w:tc>
          <w:tcPr>
            <w:tcW w:w="2334" w:type="pct"/>
            <w:tcBorders>
              <w:left w:val="single" w:sz="8" w:space="0" w:color="7F7F7F" w:themeColor="text1" w:themeTint="80"/>
              <w:bottom w:val="single" w:sz="8" w:space="0" w:color="7F7F7F" w:themeColor="text1" w:themeTint="80"/>
              <w:right w:val="single" w:sz="4" w:space="0" w:color="auto"/>
            </w:tcBorders>
            <w:shd w:val="clear" w:color="auto" w:fill="auto"/>
            <w:noWrap/>
            <w:vAlign w:val="bottom"/>
          </w:tcPr>
          <w:p w:rsidR="00910074" w:rsidRPr="00B90364" w:rsidRDefault="00910074" w:rsidP="00910074">
            <w:pPr>
              <w:spacing w:line="240" w:lineRule="auto"/>
              <w:rPr>
                <w:rFonts w:eastAsia="Times New Roman" w:cs="Times New Roman"/>
                <w:i/>
                <w:lang w:eastAsia="cs-CZ"/>
              </w:rPr>
            </w:pPr>
            <w:r w:rsidRPr="00B90364">
              <w:rPr>
                <w:rFonts w:eastAsia="Times New Roman" w:cs="Times New Roman"/>
                <w:i/>
                <w:lang w:eastAsia="cs-CZ"/>
              </w:rPr>
              <w:t>z toho: programové financování (EDS/SMVS)</w:t>
            </w:r>
          </w:p>
        </w:tc>
        <w:tc>
          <w:tcPr>
            <w:tcW w:w="710" w:type="pct"/>
            <w:tcBorders>
              <w:left w:val="single" w:sz="4" w:space="0" w:color="auto"/>
              <w:bottom w:val="single" w:sz="4" w:space="0" w:color="auto"/>
              <w:right w:val="single" w:sz="4" w:space="0" w:color="auto"/>
            </w:tcBorders>
            <w:shd w:val="clear" w:color="auto" w:fill="auto"/>
            <w:noWrap/>
            <w:vAlign w:val="bottom"/>
          </w:tcPr>
          <w:p w:rsidR="00910074" w:rsidRPr="00B90364" w:rsidRDefault="00910074" w:rsidP="00910074">
            <w:pPr>
              <w:jc w:val="right"/>
              <w:rPr>
                <w:rFonts w:eastAsia="Times New Roman" w:cs="Times New Roman"/>
                <w:i/>
                <w:vertAlign w:val="superscript"/>
                <w:lang w:eastAsia="cs-CZ"/>
              </w:rPr>
            </w:pPr>
            <w:r w:rsidRPr="00B90364">
              <w:rPr>
                <w:rFonts w:eastAsia="Times New Roman" w:cs="Times New Roman"/>
                <w:i/>
                <w:lang w:eastAsia="cs-CZ"/>
              </w:rPr>
              <w:t>44 786 708</w:t>
            </w:r>
            <w:r w:rsidRPr="00B90364">
              <w:rPr>
                <w:rFonts w:eastAsia="Times New Roman" w:cs="Times New Roman"/>
                <w:i/>
                <w:vertAlign w:val="superscript"/>
                <w:lang w:eastAsia="cs-CZ"/>
              </w:rPr>
              <w:t>+)</w:t>
            </w:r>
          </w:p>
        </w:tc>
        <w:tc>
          <w:tcPr>
            <w:tcW w:w="710" w:type="pct"/>
            <w:tcBorders>
              <w:left w:val="single" w:sz="2" w:space="0" w:color="auto"/>
              <w:bottom w:val="single" w:sz="4" w:space="0" w:color="auto"/>
              <w:right w:val="single" w:sz="2" w:space="0" w:color="auto"/>
            </w:tcBorders>
            <w:shd w:val="clear" w:color="auto" w:fill="auto"/>
            <w:noWrap/>
            <w:vAlign w:val="bottom"/>
          </w:tcPr>
          <w:p w:rsidR="00910074" w:rsidRPr="00B90364" w:rsidRDefault="00910074" w:rsidP="00910074">
            <w:pPr>
              <w:jc w:val="right"/>
              <w:rPr>
                <w:rFonts w:eastAsia="Times New Roman" w:cs="Times New Roman"/>
                <w:i/>
                <w:vertAlign w:val="superscript"/>
                <w:lang w:eastAsia="cs-CZ"/>
              </w:rPr>
            </w:pPr>
            <w:r w:rsidRPr="00B90364">
              <w:rPr>
                <w:rFonts w:eastAsia="Times New Roman" w:cs="Times New Roman"/>
                <w:i/>
                <w:lang w:eastAsia="cs-CZ"/>
              </w:rPr>
              <w:t>60 351 641</w:t>
            </w:r>
            <w:r w:rsidRPr="00B90364">
              <w:rPr>
                <w:rFonts w:eastAsia="Times New Roman" w:cs="Times New Roman"/>
                <w:i/>
                <w:vertAlign w:val="superscript"/>
                <w:lang w:eastAsia="cs-CZ"/>
              </w:rPr>
              <w:t>+)</w:t>
            </w:r>
          </w:p>
        </w:tc>
        <w:tc>
          <w:tcPr>
            <w:tcW w:w="741" w:type="pct"/>
            <w:tcBorders>
              <w:left w:val="single" w:sz="4" w:space="0" w:color="auto"/>
              <w:bottom w:val="single" w:sz="4" w:space="0" w:color="auto"/>
              <w:right w:val="single" w:sz="4" w:space="0" w:color="auto"/>
            </w:tcBorders>
            <w:shd w:val="clear" w:color="auto" w:fill="auto"/>
            <w:noWrap/>
            <w:vAlign w:val="bottom"/>
          </w:tcPr>
          <w:p w:rsidR="00910074" w:rsidRPr="00270140" w:rsidRDefault="00910074" w:rsidP="00910074">
            <w:pPr>
              <w:jc w:val="right"/>
              <w:rPr>
                <w:rFonts w:eastAsia="Times New Roman" w:cs="Times New Roman"/>
                <w:i/>
                <w:vertAlign w:val="superscript"/>
                <w:lang w:eastAsia="cs-CZ"/>
              </w:rPr>
            </w:pPr>
            <w:r w:rsidRPr="00270140">
              <w:rPr>
                <w:rFonts w:eastAsia="Times New Roman" w:cs="Times New Roman"/>
                <w:i/>
                <w:lang w:eastAsia="cs-CZ"/>
              </w:rPr>
              <w:t>83 147 173</w:t>
            </w:r>
            <w:r w:rsidRPr="00270140">
              <w:rPr>
                <w:rFonts w:eastAsia="Times New Roman" w:cs="Times New Roman"/>
                <w:i/>
                <w:vertAlign w:val="superscript"/>
                <w:lang w:eastAsia="cs-CZ"/>
              </w:rPr>
              <w:t>+)</w:t>
            </w:r>
          </w:p>
        </w:tc>
        <w:tc>
          <w:tcPr>
            <w:tcW w:w="504" w:type="pct"/>
            <w:tcBorders>
              <w:left w:val="single" w:sz="4" w:space="0" w:color="auto"/>
              <w:bottom w:val="single" w:sz="4" w:space="0" w:color="auto"/>
              <w:right w:val="single" w:sz="8" w:space="0" w:color="7F7F7F" w:themeColor="text1" w:themeTint="80"/>
            </w:tcBorders>
            <w:shd w:val="clear" w:color="auto" w:fill="auto"/>
            <w:noWrap/>
            <w:vAlign w:val="bottom"/>
          </w:tcPr>
          <w:p w:rsidR="00910074" w:rsidRPr="00270140" w:rsidRDefault="00910074" w:rsidP="00910074">
            <w:pPr>
              <w:jc w:val="right"/>
              <w:rPr>
                <w:rFonts w:eastAsia="Times New Roman" w:cs="Times New Roman"/>
                <w:i/>
                <w:lang w:eastAsia="cs-CZ"/>
              </w:rPr>
            </w:pPr>
            <w:r w:rsidRPr="00270140">
              <w:rPr>
                <w:rFonts w:eastAsia="Times New Roman" w:cs="Times New Roman"/>
                <w:i/>
                <w:lang w:eastAsia="cs-CZ"/>
              </w:rPr>
              <w:t>137,77</w:t>
            </w:r>
          </w:p>
        </w:tc>
      </w:tr>
    </w:tbl>
    <w:p w:rsidR="00BB459E" w:rsidRPr="00910074" w:rsidRDefault="00E41381" w:rsidP="00C65879">
      <w:pPr>
        <w:spacing w:before="120" w:after="80" w:line="240" w:lineRule="auto"/>
        <w:rPr>
          <w:rFonts w:eastAsia="Times New Roman" w:cs="Times New Roman"/>
          <w:i/>
          <w:sz w:val="20"/>
          <w:szCs w:val="20"/>
          <w:lang w:eastAsia="cs-CZ"/>
        </w:rPr>
      </w:pPr>
      <w:r w:rsidRPr="00910074">
        <w:rPr>
          <w:rFonts w:eastAsia="Times New Roman" w:cs="Times New Roman"/>
          <w:i/>
          <w:sz w:val="20"/>
          <w:szCs w:val="20"/>
          <w:vertAlign w:val="superscript"/>
          <w:lang w:eastAsia="cs-CZ"/>
        </w:rPr>
        <w:t>+</w:t>
      </w:r>
      <w:r w:rsidRPr="00910074">
        <w:rPr>
          <w:rFonts w:eastAsia="Times New Roman" w:cs="Times New Roman"/>
          <w:i/>
          <w:sz w:val="20"/>
          <w:szCs w:val="20"/>
          <w:lang w:eastAsia="cs-CZ"/>
        </w:rPr>
        <w:t>) včetně</w:t>
      </w:r>
      <w:r w:rsidR="00BB459E" w:rsidRPr="00910074">
        <w:rPr>
          <w:rFonts w:eastAsia="Times New Roman" w:cs="Times New Roman"/>
          <w:i/>
          <w:sz w:val="20"/>
          <w:szCs w:val="20"/>
          <w:lang w:eastAsia="cs-CZ"/>
        </w:rPr>
        <w:t xml:space="preserve"> dotace z EU </w:t>
      </w:r>
    </w:p>
    <w:p w:rsidR="00910074" w:rsidRPr="00951CC9" w:rsidRDefault="00910074" w:rsidP="00910074">
      <w:pPr>
        <w:pStyle w:val="Styl1"/>
      </w:pPr>
      <w:bookmarkStart w:id="82" w:name="_Toc489274107"/>
      <w:r w:rsidRPr="00951CC9">
        <w:t xml:space="preserve">Kapitálové výdaje jsou navrhovány v celkové výši 83 186 080 tis. Kč. Částka představuje výdaje na financování všech evidovaných a registrovaných akcí zabezpečujících dosažení cílů programů reprodukce majetku vedených v databázi EDS/SMVS a prostředky určené </w:t>
      </w:r>
      <w:r w:rsidRPr="00951CC9">
        <w:br/>
        <w:t>na výzkum, vývoj a inovace.</w:t>
      </w:r>
    </w:p>
    <w:p w:rsidR="00910074" w:rsidRPr="00951CC9" w:rsidRDefault="00910074" w:rsidP="00910074">
      <w:pPr>
        <w:pStyle w:val="Styl1"/>
      </w:pPr>
      <w:r w:rsidRPr="00951CC9">
        <w:t xml:space="preserve">Podrobnější charakteristika kapitálových výdajů je obsažena v kapitole 3.3.1 Investiční transfery veřejným výzkumným institucím, v kapitole 3.4. Výdaje vedené v informačním systému programového financování EDS/SMVS a v kapitole 3.5 Prostředky fondů EU.  </w:t>
      </w:r>
    </w:p>
    <w:p w:rsidR="00910074" w:rsidRPr="00E24034" w:rsidRDefault="00910074" w:rsidP="00910074">
      <w:pPr>
        <w:spacing w:before="240" w:after="240" w:line="240" w:lineRule="auto"/>
        <w:rPr>
          <w:rFonts w:eastAsia="Times New Roman" w:cs="Times New Roman"/>
          <w:iCs/>
          <w:color w:val="FF0000"/>
          <w:szCs w:val="24"/>
          <w:lang w:eastAsia="cs-CZ"/>
        </w:rPr>
      </w:pPr>
    </w:p>
    <w:p w:rsidR="00910074" w:rsidRPr="00270140" w:rsidRDefault="00910074" w:rsidP="00910074">
      <w:pPr>
        <w:pStyle w:val="Titulek"/>
        <w:keepNext/>
      </w:pPr>
      <w:bookmarkStart w:id="83" w:name="_Toc54190953"/>
      <w:r w:rsidRPr="00270140">
        <w:lastRenderedPageBreak/>
        <w:t xml:space="preserve">Graf č. </w:t>
      </w:r>
      <w:r w:rsidRPr="00270140">
        <w:rPr>
          <w:noProof/>
        </w:rPr>
        <w:fldChar w:fldCharType="begin"/>
      </w:r>
      <w:r w:rsidRPr="00270140">
        <w:rPr>
          <w:noProof/>
        </w:rPr>
        <w:instrText xml:space="preserve"> SEQ Graf_č. \* ARABIC </w:instrText>
      </w:r>
      <w:r w:rsidRPr="00270140">
        <w:rPr>
          <w:noProof/>
        </w:rPr>
        <w:fldChar w:fldCharType="separate"/>
      </w:r>
      <w:r w:rsidR="006076E7">
        <w:rPr>
          <w:noProof/>
        </w:rPr>
        <w:t>8</w:t>
      </w:r>
      <w:r w:rsidRPr="00270140">
        <w:rPr>
          <w:noProof/>
        </w:rPr>
        <w:fldChar w:fldCharType="end"/>
      </w:r>
      <w:r w:rsidRPr="00270140">
        <w:t xml:space="preserve"> Členění kapitálových výdajů</w:t>
      </w:r>
      <w:bookmarkEnd w:id="83"/>
    </w:p>
    <w:p w:rsidR="00910074" w:rsidRPr="00E24034" w:rsidRDefault="00910074" w:rsidP="00910074">
      <w:pPr>
        <w:spacing w:before="120" w:after="80" w:line="240" w:lineRule="auto"/>
        <w:rPr>
          <w:rFonts w:eastAsia="Times New Roman" w:cs="Times New Roman"/>
          <w:noProof/>
          <w:color w:val="FF0000"/>
          <w:szCs w:val="24"/>
          <w:lang w:eastAsia="cs-CZ"/>
        </w:rPr>
      </w:pPr>
      <w:r w:rsidRPr="00E24034">
        <w:rPr>
          <w:rFonts w:eastAsia="Times New Roman" w:cs="Times New Roman"/>
          <w:noProof/>
          <w:color w:val="FF0000"/>
          <w:szCs w:val="24"/>
          <w:lang w:eastAsia="cs-CZ"/>
        </w:rPr>
        <w:drawing>
          <wp:inline distT="0" distB="0" distL="0" distR="0" wp14:anchorId="0E5AB1DA" wp14:editId="4865B6E9">
            <wp:extent cx="5760720" cy="2608580"/>
            <wp:effectExtent l="0" t="0" r="11430" b="1270"/>
            <wp:docPr id="14" name="Graf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8A1F72" w:rsidRPr="00E24034" w:rsidRDefault="008A1F72" w:rsidP="00910074">
      <w:pPr>
        <w:pStyle w:val="Nadpis3"/>
      </w:pPr>
      <w:bookmarkStart w:id="84" w:name="_Toc53750578"/>
      <w:r w:rsidRPr="00E24034">
        <w:t>Investiční transfery veřejným výzkumným institucím</w:t>
      </w:r>
      <w:bookmarkEnd w:id="82"/>
      <w:bookmarkEnd w:id="84"/>
    </w:p>
    <w:p w:rsidR="00910074" w:rsidRPr="00270140" w:rsidRDefault="00910074" w:rsidP="00910074">
      <w:pPr>
        <w:pStyle w:val="Styl1"/>
        <w:spacing w:before="240"/>
      </w:pPr>
      <w:bookmarkStart w:id="85" w:name="_Toc305406308"/>
      <w:bookmarkStart w:id="86" w:name="_Toc462314401"/>
      <w:bookmarkStart w:id="87" w:name="_Toc489274108"/>
      <w:bookmarkEnd w:id="79"/>
      <w:r w:rsidRPr="00270140">
        <w:t xml:space="preserve">Investiční transfer veřejným výzkumným institucím je pro rok 2021 navržen ve výši </w:t>
      </w:r>
      <w:r w:rsidR="00F91FFD">
        <w:t xml:space="preserve"> </w:t>
      </w:r>
      <w:r w:rsidR="00F91FFD">
        <w:br/>
      </w:r>
      <w:r w:rsidRPr="00270140">
        <w:t xml:space="preserve">38 907 tis. Kč. Tento transfer je určen pro Centrum dopravního výzkumu, v.v.i.  </w:t>
      </w:r>
    </w:p>
    <w:p w:rsidR="00910074" w:rsidRPr="00270140" w:rsidRDefault="00910074" w:rsidP="00910074">
      <w:pPr>
        <w:pStyle w:val="Styl1"/>
        <w:spacing w:before="240"/>
      </w:pPr>
      <w:r w:rsidRPr="00270140">
        <w:t>Veřejná výzkumná instituce Centrum dopravního výzkumu provádí výzkum, zabezpečuje expertní a servisní činnosti v oblasti výzkumu pro Ministerstvo dopravy a další organizační složky státu nebo územní samosprávné celky. Její činnost je zaměřena na základní, aplikovaný a průmyslový výzkum.</w:t>
      </w:r>
    </w:p>
    <w:p w:rsidR="00910074" w:rsidRPr="002A32C3" w:rsidRDefault="00910074" w:rsidP="00910074">
      <w:pPr>
        <w:pStyle w:val="Titulek"/>
        <w:keepNext/>
      </w:pPr>
      <w:r w:rsidRPr="002A32C3">
        <w:t xml:space="preserve">Tabulka č. </w:t>
      </w:r>
      <w:r w:rsidRPr="002A32C3">
        <w:rPr>
          <w:noProof/>
        </w:rPr>
        <w:fldChar w:fldCharType="begin"/>
      </w:r>
      <w:r w:rsidRPr="002A32C3">
        <w:rPr>
          <w:noProof/>
        </w:rPr>
        <w:instrText xml:space="preserve"> SEQ Tabulka \* ARABIC </w:instrText>
      </w:r>
      <w:r w:rsidRPr="002A32C3">
        <w:rPr>
          <w:noProof/>
        </w:rPr>
        <w:fldChar w:fldCharType="separate"/>
      </w:r>
      <w:r w:rsidR="006076E7">
        <w:rPr>
          <w:noProof/>
        </w:rPr>
        <w:t>26</w:t>
      </w:r>
      <w:r w:rsidRPr="002A32C3">
        <w:rPr>
          <w:noProof/>
        </w:rPr>
        <w:fldChar w:fldCharType="end"/>
      </w:r>
      <w:r w:rsidRPr="002A32C3">
        <w:rPr>
          <w:noProof/>
        </w:rPr>
        <w:t xml:space="preserve"> Ivestiční transfery veřejným výzkumným institucím (v tis. Kč)</w:t>
      </w:r>
    </w:p>
    <w:tbl>
      <w:tblPr>
        <w:tblStyle w:val="Svtltabulkasmkou1zvraznn5"/>
        <w:tblW w:w="9105"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2"/>
        <w:gridCol w:w="1361"/>
        <w:gridCol w:w="1260"/>
        <w:gridCol w:w="1278"/>
        <w:gridCol w:w="1124"/>
      </w:tblGrid>
      <w:tr w:rsidR="00910074" w:rsidRPr="002A32C3" w:rsidTr="00910074">
        <w:tc>
          <w:tcPr>
            <w:tcW w:w="408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2A32C3" w:rsidRDefault="00910074" w:rsidP="00910074">
            <w:pPr>
              <w:jc w:val="center"/>
              <w:rPr>
                <w:rFonts w:eastAsia="Times New Roman" w:cs="Times New Roman"/>
                <w:b/>
                <w:szCs w:val="24"/>
                <w:lang w:eastAsia="cs-CZ"/>
              </w:rPr>
            </w:pPr>
            <w:r w:rsidRPr="002A32C3">
              <w:rPr>
                <w:rFonts w:eastAsia="Times New Roman" w:cs="Times New Roman"/>
                <w:b/>
                <w:szCs w:val="24"/>
                <w:lang w:eastAsia="cs-CZ"/>
              </w:rPr>
              <w:t>Ukazatel</w:t>
            </w:r>
          </w:p>
        </w:tc>
        <w:tc>
          <w:tcPr>
            <w:tcW w:w="136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2A32C3" w:rsidRDefault="00910074" w:rsidP="00910074">
            <w:pPr>
              <w:jc w:val="center"/>
              <w:rPr>
                <w:rFonts w:eastAsia="Times New Roman" w:cs="Times New Roman"/>
                <w:b/>
                <w:szCs w:val="24"/>
                <w:lang w:eastAsia="cs-CZ"/>
              </w:rPr>
            </w:pPr>
            <w:r w:rsidRPr="002A32C3">
              <w:rPr>
                <w:rFonts w:eastAsia="Times New Roman" w:cs="Times New Roman"/>
                <w:b/>
                <w:szCs w:val="24"/>
                <w:lang w:eastAsia="cs-CZ"/>
              </w:rPr>
              <w:t>Skutečnost</w:t>
            </w:r>
          </w:p>
          <w:p w:rsidR="00910074" w:rsidRPr="002A32C3" w:rsidRDefault="00910074" w:rsidP="00910074">
            <w:pPr>
              <w:jc w:val="center"/>
              <w:rPr>
                <w:rFonts w:eastAsia="Times New Roman" w:cs="Times New Roman"/>
                <w:b/>
                <w:szCs w:val="24"/>
                <w:lang w:eastAsia="cs-CZ"/>
              </w:rPr>
            </w:pPr>
            <w:r w:rsidRPr="002A32C3">
              <w:rPr>
                <w:rFonts w:eastAsia="Times New Roman" w:cs="Times New Roman"/>
                <w:b/>
                <w:szCs w:val="24"/>
                <w:lang w:eastAsia="cs-CZ"/>
              </w:rPr>
              <w:t>2019</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2A32C3" w:rsidRDefault="00910074" w:rsidP="00910074">
            <w:pPr>
              <w:jc w:val="center"/>
              <w:rPr>
                <w:rFonts w:eastAsia="Times New Roman" w:cs="Times New Roman"/>
                <w:b/>
                <w:szCs w:val="24"/>
                <w:lang w:eastAsia="cs-CZ"/>
              </w:rPr>
            </w:pPr>
            <w:r w:rsidRPr="002A32C3">
              <w:rPr>
                <w:rFonts w:eastAsia="Times New Roman" w:cs="Times New Roman"/>
                <w:b/>
                <w:szCs w:val="24"/>
                <w:lang w:eastAsia="cs-CZ"/>
              </w:rPr>
              <w:t>Schválený</w:t>
            </w:r>
          </w:p>
          <w:p w:rsidR="00910074" w:rsidRPr="002A32C3" w:rsidRDefault="00910074" w:rsidP="00910074">
            <w:pPr>
              <w:jc w:val="center"/>
              <w:rPr>
                <w:rFonts w:eastAsia="Times New Roman" w:cs="Times New Roman"/>
                <w:b/>
                <w:szCs w:val="24"/>
                <w:lang w:eastAsia="cs-CZ"/>
              </w:rPr>
            </w:pPr>
            <w:r w:rsidRPr="002A32C3">
              <w:rPr>
                <w:rFonts w:eastAsia="Times New Roman" w:cs="Times New Roman"/>
                <w:b/>
                <w:szCs w:val="24"/>
                <w:lang w:eastAsia="cs-CZ"/>
              </w:rPr>
              <w:t>rozpočet</w:t>
            </w:r>
          </w:p>
          <w:p w:rsidR="00910074" w:rsidRPr="002A32C3" w:rsidRDefault="00910074" w:rsidP="00910074">
            <w:pPr>
              <w:jc w:val="center"/>
              <w:rPr>
                <w:rFonts w:eastAsia="Times New Roman" w:cs="Times New Roman"/>
                <w:b/>
                <w:szCs w:val="24"/>
                <w:lang w:eastAsia="cs-CZ"/>
              </w:rPr>
            </w:pPr>
            <w:r w:rsidRPr="002A32C3">
              <w:rPr>
                <w:rFonts w:eastAsia="Times New Roman" w:cs="Times New Roman"/>
                <w:b/>
                <w:szCs w:val="24"/>
                <w:lang w:eastAsia="cs-CZ"/>
              </w:rPr>
              <w:t>2020</w:t>
            </w:r>
          </w:p>
        </w:tc>
        <w:tc>
          <w:tcPr>
            <w:tcW w:w="127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2A32C3" w:rsidRDefault="00910074" w:rsidP="00910074">
            <w:pPr>
              <w:jc w:val="center"/>
              <w:rPr>
                <w:rFonts w:eastAsia="Times New Roman" w:cs="Times New Roman"/>
                <w:b/>
                <w:szCs w:val="24"/>
                <w:lang w:eastAsia="cs-CZ"/>
              </w:rPr>
            </w:pPr>
            <w:r w:rsidRPr="002A32C3">
              <w:rPr>
                <w:rFonts w:eastAsia="Times New Roman" w:cs="Times New Roman"/>
                <w:b/>
                <w:szCs w:val="24"/>
                <w:lang w:eastAsia="cs-CZ"/>
              </w:rPr>
              <w:t>Návrh</w:t>
            </w:r>
          </w:p>
          <w:p w:rsidR="00910074" w:rsidRPr="002A32C3" w:rsidRDefault="00910074" w:rsidP="00910074">
            <w:pPr>
              <w:jc w:val="center"/>
              <w:rPr>
                <w:rFonts w:eastAsia="Times New Roman" w:cs="Times New Roman"/>
                <w:b/>
                <w:szCs w:val="24"/>
                <w:lang w:eastAsia="cs-CZ"/>
              </w:rPr>
            </w:pPr>
            <w:r w:rsidRPr="002A32C3">
              <w:rPr>
                <w:rFonts w:eastAsia="Times New Roman" w:cs="Times New Roman"/>
                <w:b/>
                <w:szCs w:val="24"/>
                <w:lang w:eastAsia="cs-CZ"/>
              </w:rPr>
              <w:t>rozpočtu</w:t>
            </w:r>
          </w:p>
          <w:p w:rsidR="00910074" w:rsidRPr="002A32C3" w:rsidRDefault="00910074" w:rsidP="00910074">
            <w:pPr>
              <w:jc w:val="center"/>
              <w:rPr>
                <w:rFonts w:eastAsia="Times New Roman" w:cs="Times New Roman"/>
                <w:b/>
                <w:szCs w:val="24"/>
                <w:lang w:eastAsia="cs-CZ"/>
              </w:rPr>
            </w:pPr>
            <w:r w:rsidRPr="002A32C3">
              <w:rPr>
                <w:rFonts w:eastAsia="Times New Roman" w:cs="Times New Roman"/>
                <w:b/>
                <w:szCs w:val="24"/>
                <w:lang w:eastAsia="cs-CZ"/>
              </w:rPr>
              <w:t>2021</w:t>
            </w:r>
          </w:p>
        </w:tc>
        <w:tc>
          <w:tcPr>
            <w:tcW w:w="112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2A32C3" w:rsidRDefault="00910074" w:rsidP="00910074">
            <w:pPr>
              <w:jc w:val="center"/>
              <w:rPr>
                <w:rFonts w:eastAsia="Times New Roman" w:cs="Times New Roman"/>
                <w:b/>
                <w:szCs w:val="24"/>
                <w:lang w:eastAsia="cs-CZ"/>
              </w:rPr>
            </w:pPr>
            <w:r w:rsidRPr="002A32C3">
              <w:rPr>
                <w:rFonts w:eastAsia="Times New Roman" w:cs="Times New Roman"/>
                <w:b/>
                <w:szCs w:val="24"/>
                <w:lang w:eastAsia="cs-CZ"/>
              </w:rPr>
              <w:t>Index</w:t>
            </w:r>
          </w:p>
          <w:p w:rsidR="00910074" w:rsidRPr="002A32C3" w:rsidRDefault="00910074" w:rsidP="00910074">
            <w:pPr>
              <w:jc w:val="center"/>
              <w:rPr>
                <w:rFonts w:eastAsia="Times New Roman" w:cs="Times New Roman"/>
                <w:b/>
                <w:szCs w:val="24"/>
                <w:lang w:eastAsia="cs-CZ"/>
              </w:rPr>
            </w:pPr>
            <w:r w:rsidRPr="002A32C3">
              <w:rPr>
                <w:rFonts w:eastAsia="Times New Roman" w:cs="Times New Roman"/>
                <w:b/>
                <w:szCs w:val="24"/>
                <w:lang w:eastAsia="cs-CZ"/>
              </w:rPr>
              <w:t>2021/</w:t>
            </w:r>
            <w:r w:rsidRPr="002A32C3">
              <w:rPr>
                <w:rFonts w:eastAsia="Times New Roman" w:cs="Times New Roman"/>
                <w:b/>
                <w:szCs w:val="24"/>
                <w:lang w:eastAsia="cs-CZ"/>
              </w:rPr>
              <w:br/>
              <w:t>2020</w:t>
            </w:r>
          </w:p>
          <w:p w:rsidR="00910074" w:rsidRPr="002A32C3" w:rsidRDefault="00910074" w:rsidP="00910074">
            <w:pPr>
              <w:jc w:val="center"/>
              <w:rPr>
                <w:rFonts w:eastAsia="Times New Roman" w:cs="Times New Roman"/>
                <w:b/>
                <w:szCs w:val="24"/>
                <w:lang w:eastAsia="cs-CZ"/>
              </w:rPr>
            </w:pPr>
            <w:r w:rsidRPr="002A32C3">
              <w:rPr>
                <w:rFonts w:eastAsia="Times New Roman" w:cs="Times New Roman"/>
                <w:b/>
                <w:szCs w:val="24"/>
                <w:lang w:eastAsia="cs-CZ"/>
              </w:rPr>
              <w:t>(v %)</w:t>
            </w:r>
          </w:p>
        </w:tc>
      </w:tr>
      <w:tr w:rsidR="00910074" w:rsidRPr="002A32C3" w:rsidTr="00910074">
        <w:tc>
          <w:tcPr>
            <w:tcW w:w="4082" w:type="dxa"/>
            <w:tcBorders>
              <w:top w:val="single" w:sz="4" w:space="0" w:color="7F7F7F" w:themeColor="text1" w:themeTint="80"/>
            </w:tcBorders>
            <w:shd w:val="clear" w:color="auto" w:fill="auto"/>
          </w:tcPr>
          <w:p w:rsidR="00910074" w:rsidRPr="002A32C3" w:rsidRDefault="00910074" w:rsidP="00910074">
            <w:pPr>
              <w:jc w:val="center"/>
              <w:rPr>
                <w:rFonts w:eastAsia="Times New Roman" w:cs="Times New Roman"/>
                <w:szCs w:val="24"/>
                <w:lang w:eastAsia="cs-CZ"/>
              </w:rPr>
            </w:pPr>
            <w:r w:rsidRPr="002A32C3">
              <w:rPr>
                <w:rFonts w:eastAsia="Times New Roman" w:cs="Times New Roman"/>
                <w:szCs w:val="24"/>
                <w:lang w:eastAsia="cs-CZ"/>
              </w:rPr>
              <w:t>a</w:t>
            </w:r>
          </w:p>
        </w:tc>
        <w:tc>
          <w:tcPr>
            <w:tcW w:w="1361" w:type="dxa"/>
            <w:tcBorders>
              <w:top w:val="single" w:sz="4" w:space="0" w:color="7F7F7F" w:themeColor="text1" w:themeTint="80"/>
            </w:tcBorders>
            <w:shd w:val="clear" w:color="auto" w:fill="auto"/>
          </w:tcPr>
          <w:p w:rsidR="00910074" w:rsidRPr="002A32C3" w:rsidRDefault="00910074" w:rsidP="00910074">
            <w:pPr>
              <w:jc w:val="center"/>
              <w:rPr>
                <w:rFonts w:eastAsia="Times New Roman" w:cs="Times New Roman"/>
                <w:szCs w:val="24"/>
                <w:lang w:eastAsia="cs-CZ"/>
              </w:rPr>
            </w:pPr>
            <w:r w:rsidRPr="002A32C3">
              <w:rPr>
                <w:rFonts w:eastAsia="Times New Roman" w:cs="Times New Roman"/>
                <w:szCs w:val="24"/>
                <w:lang w:eastAsia="cs-CZ"/>
              </w:rPr>
              <w:t>1</w:t>
            </w:r>
          </w:p>
        </w:tc>
        <w:tc>
          <w:tcPr>
            <w:tcW w:w="1260" w:type="dxa"/>
            <w:tcBorders>
              <w:top w:val="single" w:sz="4" w:space="0" w:color="7F7F7F" w:themeColor="text1" w:themeTint="80"/>
            </w:tcBorders>
            <w:shd w:val="clear" w:color="auto" w:fill="auto"/>
          </w:tcPr>
          <w:p w:rsidR="00910074" w:rsidRPr="002A32C3" w:rsidRDefault="00910074" w:rsidP="00910074">
            <w:pPr>
              <w:jc w:val="center"/>
              <w:rPr>
                <w:rFonts w:eastAsia="Times New Roman" w:cs="Times New Roman"/>
                <w:szCs w:val="24"/>
                <w:lang w:eastAsia="cs-CZ"/>
              </w:rPr>
            </w:pPr>
            <w:r w:rsidRPr="002A32C3">
              <w:rPr>
                <w:rFonts w:eastAsia="Times New Roman" w:cs="Times New Roman"/>
                <w:szCs w:val="24"/>
                <w:lang w:eastAsia="cs-CZ"/>
              </w:rPr>
              <w:t>2</w:t>
            </w:r>
          </w:p>
        </w:tc>
        <w:tc>
          <w:tcPr>
            <w:tcW w:w="1278" w:type="dxa"/>
            <w:tcBorders>
              <w:top w:val="single" w:sz="4" w:space="0" w:color="7F7F7F" w:themeColor="text1" w:themeTint="80"/>
            </w:tcBorders>
            <w:shd w:val="clear" w:color="auto" w:fill="auto"/>
          </w:tcPr>
          <w:p w:rsidR="00910074" w:rsidRPr="002A32C3" w:rsidRDefault="00910074" w:rsidP="00910074">
            <w:pPr>
              <w:jc w:val="center"/>
              <w:rPr>
                <w:rFonts w:eastAsia="Times New Roman" w:cs="Times New Roman"/>
                <w:szCs w:val="24"/>
                <w:lang w:eastAsia="cs-CZ"/>
              </w:rPr>
            </w:pPr>
            <w:r w:rsidRPr="002A32C3">
              <w:rPr>
                <w:rFonts w:eastAsia="Times New Roman" w:cs="Times New Roman"/>
                <w:szCs w:val="24"/>
                <w:lang w:eastAsia="cs-CZ"/>
              </w:rPr>
              <w:t>3</w:t>
            </w:r>
          </w:p>
        </w:tc>
        <w:tc>
          <w:tcPr>
            <w:tcW w:w="1124" w:type="dxa"/>
            <w:tcBorders>
              <w:top w:val="single" w:sz="4" w:space="0" w:color="7F7F7F" w:themeColor="text1" w:themeTint="80"/>
            </w:tcBorders>
            <w:shd w:val="clear" w:color="auto" w:fill="auto"/>
          </w:tcPr>
          <w:p w:rsidR="00910074" w:rsidRPr="002A32C3" w:rsidRDefault="00910074" w:rsidP="00910074">
            <w:pPr>
              <w:jc w:val="center"/>
              <w:rPr>
                <w:rFonts w:eastAsia="Times New Roman" w:cs="Times New Roman"/>
                <w:szCs w:val="24"/>
                <w:lang w:eastAsia="cs-CZ"/>
              </w:rPr>
            </w:pPr>
            <w:r w:rsidRPr="002A32C3">
              <w:rPr>
                <w:rFonts w:eastAsia="Times New Roman" w:cs="Times New Roman"/>
                <w:szCs w:val="24"/>
                <w:lang w:eastAsia="cs-CZ"/>
              </w:rPr>
              <w:t>4</w:t>
            </w:r>
          </w:p>
        </w:tc>
      </w:tr>
      <w:tr w:rsidR="00910074" w:rsidRPr="002A32C3" w:rsidTr="00910074">
        <w:trPr>
          <w:trHeight w:val="334"/>
        </w:trPr>
        <w:tc>
          <w:tcPr>
            <w:tcW w:w="4082" w:type="dxa"/>
            <w:shd w:val="clear" w:color="auto" w:fill="auto"/>
          </w:tcPr>
          <w:p w:rsidR="00910074" w:rsidRPr="002A32C3" w:rsidRDefault="00910074" w:rsidP="00910074">
            <w:pPr>
              <w:spacing w:before="60"/>
              <w:rPr>
                <w:rFonts w:eastAsia="Times New Roman" w:cs="Times New Roman"/>
                <w:b/>
                <w:lang w:eastAsia="cs-CZ"/>
              </w:rPr>
            </w:pPr>
            <w:r w:rsidRPr="002A32C3">
              <w:rPr>
                <w:rFonts w:eastAsia="Times New Roman" w:cs="Times New Roman"/>
                <w:b/>
                <w:lang w:eastAsia="cs-CZ"/>
              </w:rPr>
              <w:t xml:space="preserve">Výdaje na výzkum, vývoj a inovace </w:t>
            </w:r>
          </w:p>
          <w:p w:rsidR="00910074" w:rsidRPr="002A32C3" w:rsidRDefault="00910074" w:rsidP="00910074">
            <w:pPr>
              <w:rPr>
                <w:rFonts w:eastAsia="Times New Roman" w:cs="Times New Roman"/>
                <w:lang w:eastAsia="cs-CZ"/>
              </w:rPr>
            </w:pPr>
            <w:r w:rsidRPr="002A32C3">
              <w:rPr>
                <w:rFonts w:eastAsia="Times New Roman" w:cs="Times New Roman"/>
                <w:lang w:eastAsia="cs-CZ"/>
              </w:rPr>
              <w:t>v tom:</w:t>
            </w:r>
          </w:p>
        </w:tc>
        <w:tc>
          <w:tcPr>
            <w:tcW w:w="1361" w:type="dxa"/>
            <w:shd w:val="clear" w:color="auto" w:fill="auto"/>
          </w:tcPr>
          <w:p w:rsidR="00910074" w:rsidRPr="002A32C3" w:rsidRDefault="00910074" w:rsidP="00910074">
            <w:pPr>
              <w:spacing w:before="120"/>
              <w:jc w:val="right"/>
              <w:rPr>
                <w:rFonts w:eastAsia="Times New Roman" w:cs="Times New Roman"/>
                <w:b/>
                <w:lang w:eastAsia="cs-CZ"/>
              </w:rPr>
            </w:pPr>
            <w:r w:rsidRPr="002A32C3">
              <w:rPr>
                <w:rFonts w:eastAsia="Times New Roman" w:cs="Times New Roman"/>
                <w:b/>
                <w:lang w:eastAsia="cs-CZ"/>
              </w:rPr>
              <w:t>7 250</w:t>
            </w:r>
          </w:p>
        </w:tc>
        <w:tc>
          <w:tcPr>
            <w:tcW w:w="1260" w:type="dxa"/>
            <w:shd w:val="clear" w:color="auto" w:fill="auto"/>
          </w:tcPr>
          <w:p w:rsidR="00910074" w:rsidRPr="002A32C3" w:rsidRDefault="00910074" w:rsidP="00910074">
            <w:pPr>
              <w:spacing w:before="120"/>
              <w:jc w:val="right"/>
              <w:rPr>
                <w:rFonts w:eastAsia="Times New Roman" w:cs="Times New Roman"/>
                <w:b/>
                <w:lang w:eastAsia="cs-CZ"/>
              </w:rPr>
            </w:pPr>
            <w:r w:rsidRPr="002A32C3">
              <w:rPr>
                <w:rFonts w:eastAsia="Times New Roman" w:cs="Times New Roman"/>
                <w:b/>
                <w:lang w:eastAsia="cs-CZ"/>
              </w:rPr>
              <w:t>27 860</w:t>
            </w:r>
          </w:p>
        </w:tc>
        <w:tc>
          <w:tcPr>
            <w:tcW w:w="1278" w:type="dxa"/>
            <w:shd w:val="clear" w:color="auto" w:fill="auto"/>
          </w:tcPr>
          <w:p w:rsidR="00910074" w:rsidRPr="002A32C3" w:rsidRDefault="00910074" w:rsidP="00910074">
            <w:pPr>
              <w:spacing w:before="120"/>
              <w:jc w:val="right"/>
              <w:rPr>
                <w:rFonts w:eastAsia="Times New Roman" w:cs="Times New Roman"/>
                <w:b/>
                <w:lang w:eastAsia="cs-CZ"/>
              </w:rPr>
            </w:pPr>
            <w:r w:rsidRPr="002A32C3">
              <w:rPr>
                <w:rFonts w:eastAsia="Times New Roman" w:cs="Times New Roman"/>
                <w:b/>
                <w:lang w:eastAsia="cs-CZ"/>
              </w:rPr>
              <w:t>38 907</w:t>
            </w:r>
          </w:p>
        </w:tc>
        <w:tc>
          <w:tcPr>
            <w:tcW w:w="1124" w:type="dxa"/>
            <w:shd w:val="clear" w:color="auto" w:fill="auto"/>
          </w:tcPr>
          <w:p w:rsidR="00910074" w:rsidRPr="002A32C3" w:rsidRDefault="00910074" w:rsidP="00910074">
            <w:pPr>
              <w:spacing w:before="120"/>
              <w:jc w:val="right"/>
              <w:rPr>
                <w:rFonts w:eastAsia="Times New Roman" w:cs="Times New Roman"/>
                <w:b/>
                <w:lang w:eastAsia="cs-CZ"/>
              </w:rPr>
            </w:pPr>
            <w:r w:rsidRPr="002A32C3">
              <w:rPr>
                <w:rFonts w:eastAsia="Times New Roman" w:cs="Times New Roman"/>
                <w:b/>
                <w:lang w:eastAsia="cs-CZ"/>
              </w:rPr>
              <w:t>139,65</w:t>
            </w:r>
          </w:p>
        </w:tc>
      </w:tr>
      <w:tr w:rsidR="00910074" w:rsidRPr="002A32C3" w:rsidTr="00910074">
        <w:tc>
          <w:tcPr>
            <w:tcW w:w="4082" w:type="dxa"/>
            <w:shd w:val="clear" w:color="auto" w:fill="auto"/>
          </w:tcPr>
          <w:p w:rsidR="00910074" w:rsidRPr="002A32C3" w:rsidRDefault="00910074" w:rsidP="00910074">
            <w:pPr>
              <w:rPr>
                <w:rFonts w:eastAsia="Times New Roman" w:cs="Times New Roman"/>
                <w:lang w:eastAsia="cs-CZ"/>
              </w:rPr>
            </w:pPr>
            <w:r w:rsidRPr="002A32C3">
              <w:rPr>
                <w:rFonts w:eastAsia="Times New Roman" w:cs="Times New Roman"/>
                <w:lang w:eastAsia="cs-CZ"/>
              </w:rPr>
              <w:t>institucionální podpora</w:t>
            </w:r>
          </w:p>
        </w:tc>
        <w:tc>
          <w:tcPr>
            <w:tcW w:w="1361" w:type="dxa"/>
            <w:shd w:val="clear" w:color="auto" w:fill="auto"/>
          </w:tcPr>
          <w:p w:rsidR="00910074" w:rsidRPr="002A32C3" w:rsidRDefault="00910074" w:rsidP="00910074">
            <w:pPr>
              <w:jc w:val="right"/>
              <w:rPr>
                <w:rFonts w:eastAsia="Times New Roman" w:cs="Times New Roman"/>
                <w:lang w:eastAsia="cs-CZ"/>
              </w:rPr>
            </w:pPr>
            <w:r w:rsidRPr="002A32C3">
              <w:rPr>
                <w:rFonts w:eastAsia="Times New Roman" w:cs="Times New Roman"/>
                <w:lang w:eastAsia="cs-CZ"/>
              </w:rPr>
              <w:t>7 250</w:t>
            </w:r>
          </w:p>
        </w:tc>
        <w:tc>
          <w:tcPr>
            <w:tcW w:w="1260" w:type="dxa"/>
            <w:shd w:val="clear" w:color="auto" w:fill="auto"/>
          </w:tcPr>
          <w:p w:rsidR="00910074" w:rsidRPr="002A32C3" w:rsidRDefault="00910074" w:rsidP="00910074">
            <w:pPr>
              <w:jc w:val="right"/>
              <w:rPr>
                <w:rFonts w:eastAsia="Times New Roman" w:cs="Times New Roman"/>
                <w:lang w:eastAsia="cs-CZ"/>
              </w:rPr>
            </w:pPr>
            <w:r w:rsidRPr="002A32C3">
              <w:rPr>
                <w:rFonts w:eastAsia="Times New Roman" w:cs="Times New Roman"/>
                <w:lang w:eastAsia="cs-CZ"/>
              </w:rPr>
              <w:t>27 860</w:t>
            </w:r>
          </w:p>
        </w:tc>
        <w:tc>
          <w:tcPr>
            <w:tcW w:w="1278" w:type="dxa"/>
            <w:shd w:val="clear" w:color="auto" w:fill="auto"/>
          </w:tcPr>
          <w:p w:rsidR="00910074" w:rsidRPr="002A32C3" w:rsidRDefault="00910074" w:rsidP="00910074">
            <w:pPr>
              <w:jc w:val="right"/>
              <w:rPr>
                <w:rFonts w:eastAsia="Times New Roman" w:cs="Times New Roman"/>
                <w:lang w:eastAsia="cs-CZ"/>
              </w:rPr>
            </w:pPr>
            <w:r w:rsidRPr="002A32C3">
              <w:rPr>
                <w:rFonts w:eastAsia="Times New Roman" w:cs="Times New Roman"/>
                <w:lang w:eastAsia="cs-CZ"/>
              </w:rPr>
              <w:t>38 907</w:t>
            </w:r>
          </w:p>
        </w:tc>
        <w:tc>
          <w:tcPr>
            <w:tcW w:w="1124" w:type="dxa"/>
            <w:shd w:val="clear" w:color="auto" w:fill="auto"/>
          </w:tcPr>
          <w:p w:rsidR="00910074" w:rsidRPr="002A32C3" w:rsidRDefault="00910074" w:rsidP="00910074">
            <w:pPr>
              <w:jc w:val="right"/>
              <w:rPr>
                <w:rFonts w:eastAsia="Times New Roman" w:cs="Times New Roman"/>
                <w:lang w:eastAsia="cs-CZ"/>
              </w:rPr>
            </w:pPr>
            <w:r w:rsidRPr="002A32C3">
              <w:rPr>
                <w:rFonts w:eastAsia="Times New Roman" w:cs="Times New Roman"/>
                <w:lang w:eastAsia="cs-CZ"/>
              </w:rPr>
              <w:t>139,65</w:t>
            </w:r>
          </w:p>
        </w:tc>
      </w:tr>
    </w:tbl>
    <w:p w:rsidR="00910074" w:rsidRPr="002A32C3" w:rsidRDefault="00910074" w:rsidP="00910074">
      <w:pPr>
        <w:pStyle w:val="Styl1"/>
        <w:rPr>
          <w:rStyle w:val="FontStyle27"/>
          <w:sz w:val="24"/>
          <w:szCs w:val="24"/>
        </w:rPr>
      </w:pPr>
      <w:r w:rsidRPr="002A32C3">
        <w:rPr>
          <w:rStyle w:val="FontStyle27"/>
          <w:sz w:val="24"/>
          <w:szCs w:val="24"/>
        </w:rPr>
        <w:t>V porovnání s rokem 2020 došlo k výraznému navýšení investičních institucionálních prostředků o 11 047 tis. Kč.</w:t>
      </w:r>
    </w:p>
    <w:p w:rsidR="00910074" w:rsidRPr="002A32C3" w:rsidRDefault="00910074" w:rsidP="00910074">
      <w:pPr>
        <w:pStyle w:val="Styl1"/>
        <w:rPr>
          <w:rStyle w:val="FontStyle27"/>
          <w:sz w:val="24"/>
          <w:szCs w:val="24"/>
        </w:rPr>
      </w:pPr>
      <w:r w:rsidRPr="002A32C3">
        <w:rPr>
          <w:rStyle w:val="FontStyle27"/>
          <w:b/>
          <w:sz w:val="24"/>
          <w:szCs w:val="24"/>
        </w:rPr>
        <w:t>Investiční institucionální prostředky ve výši 38 907 tis. Kč</w:t>
      </w:r>
      <w:r w:rsidRPr="002A32C3">
        <w:rPr>
          <w:rStyle w:val="FontStyle27"/>
          <w:sz w:val="24"/>
          <w:szCs w:val="24"/>
        </w:rPr>
        <w:t xml:space="preserve"> budou použity na obnovy či rozšíření výzkumné infrastruktury (stroje a zařízení) a rekonstrukci objektu instituce.</w:t>
      </w:r>
    </w:p>
    <w:p w:rsidR="008F52F2" w:rsidRPr="00E24034" w:rsidRDefault="00910074" w:rsidP="00910074">
      <w:pPr>
        <w:pStyle w:val="Styl1"/>
        <w:spacing w:before="240"/>
        <w:rPr>
          <w:rStyle w:val="FontStyle27"/>
          <w:color w:val="FF0000"/>
          <w:sz w:val="24"/>
          <w:szCs w:val="24"/>
        </w:rPr>
      </w:pPr>
      <w:r w:rsidRPr="002A32C3">
        <w:rPr>
          <w:rStyle w:val="FontStyle27"/>
          <w:sz w:val="24"/>
          <w:szCs w:val="24"/>
        </w:rPr>
        <w:t xml:space="preserve">Dle zákona č. 130/2002 Sb., o podpoře výzkumu, experimentálního vývoje a inovace, v platném znění, se na výdaje dle daného zákona nevztahují ustanovení § 12 a § 13 zákona </w:t>
      </w:r>
      <w:r w:rsidR="00F91FFD">
        <w:rPr>
          <w:rStyle w:val="FontStyle27"/>
          <w:sz w:val="24"/>
          <w:szCs w:val="24"/>
        </w:rPr>
        <w:br/>
      </w:r>
      <w:r w:rsidRPr="002A32C3">
        <w:rPr>
          <w:rStyle w:val="FontStyle27"/>
          <w:sz w:val="24"/>
          <w:szCs w:val="24"/>
        </w:rPr>
        <w:t xml:space="preserve">č. 218/2000 Sb., rozpočtová pravidla. To znamená, že tyto investiční prostředky nejsou vedeny                                      v informačním systému programového financování EDS/SMVS.  </w:t>
      </w:r>
      <w:r w:rsidR="008F52F2" w:rsidRPr="00E24034">
        <w:rPr>
          <w:rStyle w:val="FontStyle27"/>
          <w:color w:val="FF0000"/>
          <w:sz w:val="24"/>
          <w:szCs w:val="24"/>
        </w:rPr>
        <w:t xml:space="preserve">  </w:t>
      </w:r>
    </w:p>
    <w:p w:rsidR="00BB459E" w:rsidRPr="00910074" w:rsidRDefault="00BB459E" w:rsidP="007B2F4B">
      <w:pPr>
        <w:pStyle w:val="Nadpis2"/>
      </w:pPr>
      <w:bookmarkStart w:id="88" w:name="_Toc53750579"/>
      <w:r w:rsidRPr="00910074">
        <w:lastRenderedPageBreak/>
        <w:t>Výdaje vedené v informačním systému programového financování EDS/SMVS</w:t>
      </w:r>
      <w:bookmarkEnd w:id="85"/>
      <w:bookmarkEnd w:id="86"/>
      <w:bookmarkEnd w:id="87"/>
      <w:bookmarkEnd w:id="88"/>
      <w:r w:rsidRPr="00910074">
        <w:t xml:space="preserve"> </w:t>
      </w:r>
    </w:p>
    <w:p w:rsidR="00910074" w:rsidRPr="00E24034" w:rsidRDefault="00910074" w:rsidP="00910074">
      <w:pPr>
        <w:pStyle w:val="Styl1"/>
        <w:spacing w:after="360"/>
        <w:rPr>
          <w:color w:val="FF0000"/>
        </w:rPr>
      </w:pPr>
      <w:bookmarkStart w:id="89" w:name="_Toc304375451"/>
      <w:bookmarkStart w:id="90" w:name="_Toc305406309"/>
      <w:bookmarkStart w:id="91" w:name="_Toc462314402"/>
      <w:bookmarkStart w:id="92" w:name="_Toc489274109"/>
      <w:r w:rsidRPr="00C2713B">
        <w:t>Ze schváleného závazného objemu pro sestavení návrhu rozpočtu na rok 202</w:t>
      </w:r>
      <w:r>
        <w:t>1</w:t>
      </w:r>
      <w:r w:rsidRPr="00C2713B">
        <w:t xml:space="preserve"> </w:t>
      </w:r>
      <w:r w:rsidRPr="00C2713B">
        <w:br/>
        <w:t xml:space="preserve">je </w:t>
      </w:r>
      <w:r w:rsidRPr="00C2713B">
        <w:rPr>
          <w:b/>
        </w:rPr>
        <w:t xml:space="preserve">na výdaje vedené v informačním systému programového financování EDS/SMVS (výdaje určené na financování programů) vyčleněna částka v celkové výši  </w:t>
      </w:r>
      <w:r w:rsidRPr="00C2713B">
        <w:rPr>
          <w:b/>
        </w:rPr>
        <w:br/>
        <w:t xml:space="preserve"> 98 237 039 tis. Kč</w:t>
      </w:r>
      <w:r w:rsidRPr="00C2713B">
        <w:t xml:space="preserve">, v tom kapitálové výdaje 83 147 173 tis. Kč, běžné výdaje </w:t>
      </w:r>
      <w:r w:rsidR="00F91FFD">
        <w:br/>
      </w:r>
      <w:r w:rsidRPr="00C2713B">
        <w:t xml:space="preserve">15 089 866 tis. Kč. Z celkové částky 98 237 039 tis. Kč jsou prostředky státního </w:t>
      </w:r>
      <w:r w:rsidR="00F91FFD">
        <w:t xml:space="preserve">rozpočtu 58 696 262 tis. Kč </w:t>
      </w:r>
      <w:r w:rsidRPr="00BD4E98">
        <w:t xml:space="preserve">a prostředky fondů EU 39 540 777 tis. Kč. Členění výdajů vedených v informačním systému </w:t>
      </w:r>
      <w:r w:rsidRPr="00C2713B">
        <w:t xml:space="preserve">programového financování EDS/SMVS podle hospodářsko právní formy konečných příjemců celkem zobrazuje následující tabulka.                                                                                                                      </w:t>
      </w:r>
    </w:p>
    <w:p w:rsidR="00910074" w:rsidRPr="00BD4E98" w:rsidRDefault="00910074" w:rsidP="00910074">
      <w:pPr>
        <w:pStyle w:val="Titulek"/>
        <w:keepNext/>
      </w:pPr>
      <w:r w:rsidRPr="00BD4E98">
        <w:t xml:space="preserve">Tabulka č. </w:t>
      </w:r>
      <w:r w:rsidRPr="00BD4E98">
        <w:rPr>
          <w:noProof/>
        </w:rPr>
        <w:fldChar w:fldCharType="begin"/>
      </w:r>
      <w:r w:rsidRPr="00BD4E98">
        <w:rPr>
          <w:noProof/>
        </w:rPr>
        <w:instrText xml:space="preserve"> SEQ Tabulka \* ARABIC </w:instrText>
      </w:r>
      <w:r w:rsidRPr="00BD4E98">
        <w:rPr>
          <w:noProof/>
        </w:rPr>
        <w:fldChar w:fldCharType="separate"/>
      </w:r>
      <w:r w:rsidR="006076E7">
        <w:rPr>
          <w:noProof/>
        </w:rPr>
        <w:t>27</w:t>
      </w:r>
      <w:r w:rsidRPr="00BD4E98">
        <w:rPr>
          <w:noProof/>
        </w:rPr>
        <w:fldChar w:fldCharType="end"/>
      </w:r>
      <w:r w:rsidRPr="00BD4E98">
        <w:rPr>
          <w:noProof/>
        </w:rPr>
        <w:t xml:space="preserve"> Výdaje vedené v EDS/SMVS (v tis. Kč)</w:t>
      </w:r>
    </w:p>
    <w:tbl>
      <w:tblPr>
        <w:tblStyle w:val="Svtltabulkasmkou1zvraznn5"/>
        <w:tblW w:w="907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3969"/>
        <w:gridCol w:w="1337"/>
        <w:gridCol w:w="1335"/>
        <w:gridCol w:w="1361"/>
        <w:gridCol w:w="1077"/>
      </w:tblGrid>
      <w:tr w:rsidR="00910074" w:rsidRPr="00BD4E98" w:rsidTr="00910074">
        <w:tc>
          <w:tcPr>
            <w:tcW w:w="3969"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D4E98" w:rsidRDefault="00910074" w:rsidP="00910074">
            <w:pPr>
              <w:jc w:val="center"/>
              <w:rPr>
                <w:rFonts w:eastAsia="Times New Roman" w:cs="Times New Roman"/>
                <w:b/>
                <w:lang w:eastAsia="cs-CZ"/>
              </w:rPr>
            </w:pPr>
            <w:r w:rsidRPr="00BD4E98">
              <w:rPr>
                <w:rFonts w:eastAsia="Times New Roman" w:cs="Times New Roman"/>
                <w:b/>
                <w:lang w:eastAsia="cs-CZ"/>
              </w:rPr>
              <w:t>Ukazatel</w:t>
            </w:r>
          </w:p>
        </w:tc>
        <w:tc>
          <w:tcPr>
            <w:tcW w:w="133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D4E98" w:rsidRDefault="00910074" w:rsidP="00910074">
            <w:pPr>
              <w:jc w:val="center"/>
              <w:rPr>
                <w:rFonts w:eastAsia="Times New Roman" w:cs="Times New Roman"/>
                <w:b/>
                <w:lang w:eastAsia="cs-CZ"/>
              </w:rPr>
            </w:pPr>
            <w:r w:rsidRPr="00BD4E98">
              <w:rPr>
                <w:rFonts w:eastAsia="Times New Roman" w:cs="Times New Roman"/>
                <w:b/>
                <w:lang w:eastAsia="cs-CZ"/>
              </w:rPr>
              <w:t>Skutečnost</w:t>
            </w:r>
          </w:p>
          <w:p w:rsidR="00910074" w:rsidRPr="00BD4E98" w:rsidRDefault="00910074" w:rsidP="00910074">
            <w:pPr>
              <w:jc w:val="center"/>
              <w:rPr>
                <w:rFonts w:eastAsia="Times New Roman" w:cs="Times New Roman"/>
                <w:b/>
                <w:lang w:eastAsia="cs-CZ"/>
              </w:rPr>
            </w:pPr>
            <w:r w:rsidRPr="00BD4E98">
              <w:rPr>
                <w:rFonts w:eastAsia="Times New Roman" w:cs="Times New Roman"/>
                <w:b/>
                <w:lang w:eastAsia="cs-CZ"/>
              </w:rPr>
              <w:t>2019</w:t>
            </w:r>
          </w:p>
        </w:tc>
        <w:tc>
          <w:tcPr>
            <w:tcW w:w="133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D4E98" w:rsidRDefault="00910074" w:rsidP="00910074">
            <w:pPr>
              <w:jc w:val="center"/>
              <w:rPr>
                <w:rFonts w:eastAsia="Times New Roman" w:cs="Times New Roman"/>
                <w:b/>
                <w:lang w:eastAsia="cs-CZ"/>
              </w:rPr>
            </w:pPr>
            <w:r w:rsidRPr="00BD4E98">
              <w:rPr>
                <w:rFonts w:eastAsia="Times New Roman" w:cs="Times New Roman"/>
                <w:b/>
                <w:lang w:eastAsia="cs-CZ"/>
              </w:rPr>
              <w:t>Schválený rozpočet</w:t>
            </w:r>
          </w:p>
          <w:p w:rsidR="00910074" w:rsidRPr="00BD4E98" w:rsidRDefault="00910074" w:rsidP="00910074">
            <w:pPr>
              <w:jc w:val="center"/>
              <w:rPr>
                <w:rFonts w:eastAsia="Times New Roman" w:cs="Times New Roman"/>
                <w:b/>
                <w:lang w:eastAsia="cs-CZ"/>
              </w:rPr>
            </w:pPr>
            <w:r w:rsidRPr="00BD4E98">
              <w:rPr>
                <w:rFonts w:eastAsia="Times New Roman" w:cs="Times New Roman"/>
                <w:b/>
                <w:lang w:eastAsia="cs-CZ"/>
              </w:rPr>
              <w:t>2020</w:t>
            </w:r>
          </w:p>
        </w:tc>
        <w:tc>
          <w:tcPr>
            <w:tcW w:w="136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D4E98" w:rsidRDefault="00910074" w:rsidP="00910074">
            <w:pPr>
              <w:jc w:val="center"/>
              <w:rPr>
                <w:rFonts w:eastAsia="Times New Roman" w:cs="Times New Roman"/>
                <w:b/>
                <w:lang w:eastAsia="cs-CZ"/>
              </w:rPr>
            </w:pPr>
            <w:r w:rsidRPr="00BD4E98">
              <w:rPr>
                <w:rFonts w:eastAsia="Times New Roman" w:cs="Times New Roman"/>
                <w:b/>
                <w:lang w:eastAsia="cs-CZ"/>
              </w:rPr>
              <w:t>Návrh</w:t>
            </w:r>
          </w:p>
          <w:p w:rsidR="00910074" w:rsidRPr="00BD4E98" w:rsidRDefault="00910074" w:rsidP="00910074">
            <w:pPr>
              <w:jc w:val="center"/>
              <w:rPr>
                <w:rFonts w:eastAsia="Times New Roman" w:cs="Times New Roman"/>
                <w:b/>
                <w:lang w:eastAsia="cs-CZ"/>
              </w:rPr>
            </w:pPr>
            <w:r w:rsidRPr="00BD4E98">
              <w:rPr>
                <w:rFonts w:eastAsia="Times New Roman" w:cs="Times New Roman"/>
                <w:b/>
                <w:lang w:eastAsia="cs-CZ"/>
              </w:rPr>
              <w:t>rozpočtu</w:t>
            </w:r>
          </w:p>
          <w:p w:rsidR="00910074" w:rsidRPr="00BD4E98" w:rsidRDefault="00910074" w:rsidP="00910074">
            <w:pPr>
              <w:jc w:val="center"/>
              <w:rPr>
                <w:rFonts w:eastAsia="Times New Roman" w:cs="Times New Roman"/>
                <w:b/>
                <w:lang w:eastAsia="cs-CZ"/>
              </w:rPr>
            </w:pPr>
            <w:r w:rsidRPr="00BD4E98">
              <w:rPr>
                <w:rFonts w:eastAsia="Times New Roman" w:cs="Times New Roman"/>
                <w:b/>
                <w:lang w:eastAsia="cs-CZ"/>
              </w:rPr>
              <w:t>2021</w:t>
            </w:r>
          </w:p>
        </w:tc>
        <w:tc>
          <w:tcPr>
            <w:tcW w:w="107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D4E98" w:rsidRDefault="00910074" w:rsidP="00910074">
            <w:pPr>
              <w:jc w:val="center"/>
              <w:rPr>
                <w:rFonts w:eastAsia="Times New Roman" w:cs="Times New Roman"/>
                <w:b/>
                <w:lang w:eastAsia="cs-CZ"/>
              </w:rPr>
            </w:pPr>
            <w:r w:rsidRPr="00BD4E98">
              <w:rPr>
                <w:rFonts w:eastAsia="Times New Roman" w:cs="Times New Roman"/>
                <w:b/>
                <w:lang w:eastAsia="cs-CZ"/>
              </w:rPr>
              <w:t>Index</w:t>
            </w:r>
          </w:p>
          <w:p w:rsidR="00910074" w:rsidRPr="00BD4E98" w:rsidRDefault="00910074" w:rsidP="00910074">
            <w:pPr>
              <w:jc w:val="center"/>
              <w:rPr>
                <w:rFonts w:eastAsia="Times New Roman" w:cs="Times New Roman"/>
                <w:b/>
                <w:lang w:eastAsia="cs-CZ"/>
              </w:rPr>
            </w:pPr>
            <w:r w:rsidRPr="00BD4E98">
              <w:rPr>
                <w:rFonts w:eastAsia="Times New Roman" w:cs="Times New Roman"/>
                <w:b/>
                <w:lang w:eastAsia="cs-CZ"/>
              </w:rPr>
              <w:t>202</w:t>
            </w:r>
            <w:r>
              <w:rPr>
                <w:rFonts w:eastAsia="Times New Roman" w:cs="Times New Roman"/>
                <w:b/>
                <w:lang w:eastAsia="cs-CZ"/>
              </w:rPr>
              <w:t>1</w:t>
            </w:r>
            <w:r w:rsidRPr="00BD4E98">
              <w:rPr>
                <w:rFonts w:eastAsia="Times New Roman" w:cs="Times New Roman"/>
                <w:b/>
                <w:lang w:eastAsia="cs-CZ"/>
              </w:rPr>
              <w:t>/</w:t>
            </w:r>
            <w:r w:rsidRPr="00BD4E98">
              <w:rPr>
                <w:rFonts w:eastAsia="Times New Roman" w:cs="Times New Roman"/>
                <w:b/>
                <w:lang w:eastAsia="cs-CZ"/>
              </w:rPr>
              <w:br/>
              <w:t>20</w:t>
            </w:r>
            <w:r>
              <w:rPr>
                <w:rFonts w:eastAsia="Times New Roman" w:cs="Times New Roman"/>
                <w:b/>
                <w:lang w:eastAsia="cs-CZ"/>
              </w:rPr>
              <w:t>20</w:t>
            </w:r>
          </w:p>
          <w:p w:rsidR="00910074" w:rsidRPr="00BD4E98" w:rsidRDefault="00910074" w:rsidP="00910074">
            <w:pPr>
              <w:jc w:val="center"/>
              <w:rPr>
                <w:rFonts w:eastAsia="Times New Roman" w:cs="Times New Roman"/>
                <w:b/>
                <w:lang w:eastAsia="cs-CZ"/>
              </w:rPr>
            </w:pPr>
            <w:r w:rsidRPr="00BD4E98">
              <w:rPr>
                <w:rFonts w:eastAsia="Times New Roman" w:cs="Times New Roman"/>
                <w:b/>
                <w:lang w:eastAsia="cs-CZ"/>
              </w:rPr>
              <w:t>(v %)</w:t>
            </w:r>
          </w:p>
        </w:tc>
      </w:tr>
      <w:tr w:rsidR="00910074" w:rsidRPr="00BD4E98" w:rsidTr="00910074">
        <w:tc>
          <w:tcPr>
            <w:tcW w:w="3969" w:type="dxa"/>
            <w:tcBorders>
              <w:top w:val="single" w:sz="4" w:space="0" w:color="7F7F7F" w:themeColor="text1" w:themeTint="80"/>
              <w:bottom w:val="single" w:sz="8" w:space="0" w:color="7F7F7F" w:themeColor="text1" w:themeTint="80"/>
            </w:tcBorders>
            <w:shd w:val="clear" w:color="auto" w:fill="auto"/>
          </w:tcPr>
          <w:p w:rsidR="00910074" w:rsidRPr="00BD4E98" w:rsidRDefault="00910074" w:rsidP="00910074">
            <w:pPr>
              <w:jc w:val="center"/>
              <w:rPr>
                <w:rFonts w:eastAsia="Times New Roman" w:cs="Times New Roman"/>
                <w:lang w:eastAsia="cs-CZ"/>
              </w:rPr>
            </w:pPr>
            <w:r w:rsidRPr="00BD4E98">
              <w:rPr>
                <w:rFonts w:eastAsia="Times New Roman" w:cs="Times New Roman"/>
                <w:lang w:eastAsia="cs-CZ"/>
              </w:rPr>
              <w:t>a</w:t>
            </w:r>
          </w:p>
        </w:tc>
        <w:tc>
          <w:tcPr>
            <w:tcW w:w="1337" w:type="dxa"/>
            <w:tcBorders>
              <w:top w:val="single" w:sz="4" w:space="0" w:color="7F7F7F" w:themeColor="text1" w:themeTint="80"/>
              <w:bottom w:val="single" w:sz="8" w:space="0" w:color="7F7F7F" w:themeColor="text1" w:themeTint="80"/>
            </w:tcBorders>
            <w:shd w:val="clear" w:color="auto" w:fill="auto"/>
          </w:tcPr>
          <w:p w:rsidR="00910074" w:rsidRPr="00BD4E98" w:rsidRDefault="00910074" w:rsidP="00910074">
            <w:pPr>
              <w:jc w:val="center"/>
              <w:rPr>
                <w:rFonts w:eastAsia="Times New Roman" w:cs="Times New Roman"/>
                <w:lang w:eastAsia="cs-CZ"/>
              </w:rPr>
            </w:pPr>
            <w:r w:rsidRPr="00BD4E98">
              <w:rPr>
                <w:rFonts w:eastAsia="Times New Roman" w:cs="Times New Roman"/>
                <w:lang w:eastAsia="cs-CZ"/>
              </w:rPr>
              <w:t>1</w:t>
            </w:r>
          </w:p>
        </w:tc>
        <w:tc>
          <w:tcPr>
            <w:tcW w:w="1335" w:type="dxa"/>
            <w:tcBorders>
              <w:top w:val="single" w:sz="4" w:space="0" w:color="7F7F7F" w:themeColor="text1" w:themeTint="80"/>
              <w:bottom w:val="single" w:sz="8" w:space="0" w:color="7F7F7F" w:themeColor="text1" w:themeTint="80"/>
            </w:tcBorders>
            <w:shd w:val="clear" w:color="auto" w:fill="auto"/>
          </w:tcPr>
          <w:p w:rsidR="00910074" w:rsidRPr="00BD4E98" w:rsidRDefault="00910074" w:rsidP="00910074">
            <w:pPr>
              <w:jc w:val="center"/>
              <w:rPr>
                <w:rFonts w:eastAsia="Times New Roman" w:cs="Times New Roman"/>
                <w:lang w:eastAsia="cs-CZ"/>
              </w:rPr>
            </w:pPr>
            <w:r w:rsidRPr="00BD4E98">
              <w:rPr>
                <w:rFonts w:eastAsia="Times New Roman" w:cs="Times New Roman"/>
                <w:lang w:eastAsia="cs-CZ"/>
              </w:rPr>
              <w:t>2</w:t>
            </w:r>
          </w:p>
        </w:tc>
        <w:tc>
          <w:tcPr>
            <w:tcW w:w="1361" w:type="dxa"/>
            <w:tcBorders>
              <w:top w:val="single" w:sz="4" w:space="0" w:color="7F7F7F" w:themeColor="text1" w:themeTint="80"/>
              <w:bottom w:val="single" w:sz="8" w:space="0" w:color="7F7F7F" w:themeColor="text1" w:themeTint="80"/>
            </w:tcBorders>
            <w:shd w:val="clear" w:color="auto" w:fill="auto"/>
          </w:tcPr>
          <w:p w:rsidR="00910074" w:rsidRPr="00BD4E98" w:rsidRDefault="00910074" w:rsidP="00910074">
            <w:pPr>
              <w:jc w:val="center"/>
              <w:rPr>
                <w:rFonts w:eastAsia="Times New Roman" w:cs="Times New Roman"/>
                <w:lang w:eastAsia="cs-CZ"/>
              </w:rPr>
            </w:pPr>
            <w:r w:rsidRPr="00BD4E98">
              <w:rPr>
                <w:rFonts w:eastAsia="Times New Roman" w:cs="Times New Roman"/>
                <w:lang w:eastAsia="cs-CZ"/>
              </w:rPr>
              <w:t>3</w:t>
            </w:r>
          </w:p>
        </w:tc>
        <w:tc>
          <w:tcPr>
            <w:tcW w:w="1077" w:type="dxa"/>
            <w:tcBorders>
              <w:top w:val="single" w:sz="4" w:space="0" w:color="7F7F7F" w:themeColor="text1" w:themeTint="80"/>
              <w:bottom w:val="single" w:sz="8" w:space="0" w:color="7F7F7F" w:themeColor="text1" w:themeTint="80"/>
            </w:tcBorders>
            <w:shd w:val="clear" w:color="auto" w:fill="auto"/>
          </w:tcPr>
          <w:p w:rsidR="00910074" w:rsidRPr="00BD4E98" w:rsidRDefault="00910074" w:rsidP="00910074">
            <w:pPr>
              <w:jc w:val="center"/>
              <w:rPr>
                <w:rFonts w:eastAsia="Times New Roman" w:cs="Times New Roman"/>
                <w:lang w:eastAsia="cs-CZ"/>
              </w:rPr>
            </w:pPr>
            <w:r w:rsidRPr="00BD4E98">
              <w:rPr>
                <w:rFonts w:eastAsia="Times New Roman" w:cs="Times New Roman"/>
                <w:lang w:eastAsia="cs-CZ"/>
              </w:rPr>
              <w:t>4</w:t>
            </w:r>
          </w:p>
        </w:tc>
      </w:tr>
      <w:tr w:rsidR="00910074" w:rsidRPr="00BD4E98" w:rsidTr="00910074">
        <w:tc>
          <w:tcPr>
            <w:tcW w:w="3969" w:type="dxa"/>
            <w:tcBorders>
              <w:top w:val="single" w:sz="8" w:space="0" w:color="7F7F7F" w:themeColor="text1" w:themeTint="80"/>
              <w:bottom w:val="single" w:sz="8" w:space="0" w:color="7F7F7F" w:themeColor="text1" w:themeTint="80"/>
            </w:tcBorders>
            <w:shd w:val="clear" w:color="auto" w:fill="auto"/>
          </w:tcPr>
          <w:p w:rsidR="00910074" w:rsidRPr="00BD4E98" w:rsidRDefault="00910074" w:rsidP="00910074">
            <w:pPr>
              <w:rPr>
                <w:rFonts w:eastAsia="Times New Roman" w:cs="Times New Roman"/>
                <w:b/>
                <w:lang w:eastAsia="cs-CZ"/>
              </w:rPr>
            </w:pPr>
            <w:r w:rsidRPr="00BD4E98">
              <w:rPr>
                <w:rFonts w:eastAsia="Times New Roman" w:cs="Times New Roman"/>
                <w:b/>
                <w:lang w:eastAsia="cs-CZ"/>
              </w:rPr>
              <w:t xml:space="preserve">Výdaje vedené v EDS/SMVS </w:t>
            </w:r>
            <w:r w:rsidRPr="00BD4E98">
              <w:rPr>
                <w:rFonts w:eastAsia="Times New Roman" w:cs="Times New Roman"/>
                <w:lang w:eastAsia="cs-CZ"/>
              </w:rPr>
              <w:t>v tom:</w:t>
            </w:r>
          </w:p>
        </w:tc>
        <w:tc>
          <w:tcPr>
            <w:tcW w:w="1337" w:type="dxa"/>
            <w:tcBorders>
              <w:top w:val="single" w:sz="8" w:space="0" w:color="7F7F7F" w:themeColor="text1" w:themeTint="80"/>
              <w:bottom w:val="single" w:sz="8" w:space="0" w:color="7F7F7F" w:themeColor="text1" w:themeTint="80"/>
            </w:tcBorders>
            <w:shd w:val="clear" w:color="auto" w:fill="auto"/>
            <w:vAlign w:val="center"/>
          </w:tcPr>
          <w:p w:rsidR="00910074" w:rsidRPr="00BD4E98" w:rsidRDefault="00910074" w:rsidP="00910074">
            <w:pPr>
              <w:tabs>
                <w:tab w:val="right" w:pos="1059"/>
              </w:tabs>
              <w:jc w:val="right"/>
              <w:rPr>
                <w:rFonts w:eastAsia="Times New Roman" w:cs="Times New Roman"/>
                <w:b/>
                <w:lang w:eastAsia="cs-CZ"/>
              </w:rPr>
            </w:pPr>
            <w:r w:rsidRPr="00BD4E98">
              <w:rPr>
                <w:rFonts w:eastAsia="Times New Roman" w:cs="Times New Roman"/>
                <w:b/>
                <w:lang w:eastAsia="cs-CZ"/>
              </w:rPr>
              <w:tab/>
              <w:t>44 864 469</w:t>
            </w:r>
          </w:p>
        </w:tc>
        <w:tc>
          <w:tcPr>
            <w:tcW w:w="1335" w:type="dxa"/>
            <w:tcBorders>
              <w:top w:val="single" w:sz="8" w:space="0" w:color="7F7F7F" w:themeColor="text1" w:themeTint="80"/>
              <w:bottom w:val="single" w:sz="8" w:space="0" w:color="7F7F7F" w:themeColor="text1" w:themeTint="80"/>
            </w:tcBorders>
            <w:shd w:val="clear" w:color="auto" w:fill="auto"/>
            <w:vAlign w:val="center"/>
          </w:tcPr>
          <w:p w:rsidR="00910074" w:rsidRPr="00BD4E98" w:rsidRDefault="00910074" w:rsidP="00910074">
            <w:pPr>
              <w:jc w:val="right"/>
              <w:rPr>
                <w:rFonts w:eastAsia="Times New Roman" w:cs="Times New Roman"/>
                <w:b/>
                <w:lang w:eastAsia="cs-CZ"/>
              </w:rPr>
            </w:pPr>
            <w:r w:rsidRPr="00BD4E98">
              <w:rPr>
                <w:rFonts w:eastAsia="Times New Roman" w:cs="Times New Roman"/>
                <w:b/>
                <w:lang w:eastAsia="cs-CZ"/>
              </w:rPr>
              <w:t>74 865 299</w:t>
            </w:r>
          </w:p>
        </w:tc>
        <w:tc>
          <w:tcPr>
            <w:tcW w:w="1361" w:type="dxa"/>
            <w:tcBorders>
              <w:top w:val="single" w:sz="8" w:space="0" w:color="7F7F7F" w:themeColor="text1" w:themeTint="80"/>
              <w:bottom w:val="single" w:sz="8" w:space="0" w:color="7F7F7F" w:themeColor="text1" w:themeTint="80"/>
            </w:tcBorders>
            <w:shd w:val="clear" w:color="auto" w:fill="auto"/>
            <w:vAlign w:val="center"/>
          </w:tcPr>
          <w:p w:rsidR="00910074" w:rsidRPr="00BD4E98" w:rsidRDefault="00910074" w:rsidP="00910074">
            <w:pPr>
              <w:jc w:val="right"/>
              <w:rPr>
                <w:rFonts w:eastAsia="Times New Roman" w:cs="Times New Roman"/>
                <w:b/>
                <w:lang w:eastAsia="cs-CZ"/>
              </w:rPr>
            </w:pPr>
            <w:r w:rsidRPr="00BD4E98">
              <w:rPr>
                <w:rFonts w:eastAsia="Times New Roman" w:cs="Times New Roman"/>
                <w:b/>
                <w:lang w:eastAsia="cs-CZ"/>
              </w:rPr>
              <w:t>98 237 039</w:t>
            </w:r>
          </w:p>
        </w:tc>
        <w:tc>
          <w:tcPr>
            <w:tcW w:w="1077" w:type="dxa"/>
            <w:tcBorders>
              <w:top w:val="single" w:sz="8" w:space="0" w:color="7F7F7F" w:themeColor="text1" w:themeTint="80"/>
              <w:bottom w:val="single" w:sz="8" w:space="0" w:color="7F7F7F" w:themeColor="text1" w:themeTint="80"/>
            </w:tcBorders>
            <w:shd w:val="clear" w:color="auto" w:fill="auto"/>
            <w:vAlign w:val="center"/>
          </w:tcPr>
          <w:p w:rsidR="00910074" w:rsidRPr="008F2DB5" w:rsidRDefault="00910074" w:rsidP="00910074">
            <w:pPr>
              <w:jc w:val="right"/>
              <w:rPr>
                <w:rFonts w:eastAsia="Times New Roman" w:cs="Times New Roman"/>
                <w:b/>
                <w:lang w:eastAsia="cs-CZ"/>
              </w:rPr>
            </w:pPr>
            <w:r w:rsidRPr="008F2DB5">
              <w:rPr>
                <w:rFonts w:eastAsia="Times New Roman" w:cs="Times New Roman"/>
                <w:b/>
                <w:lang w:eastAsia="cs-CZ"/>
              </w:rPr>
              <w:t>131,22</w:t>
            </w:r>
          </w:p>
        </w:tc>
      </w:tr>
      <w:tr w:rsidR="00910074" w:rsidRPr="00BD4E98" w:rsidTr="00910074">
        <w:tc>
          <w:tcPr>
            <w:tcW w:w="3969" w:type="dxa"/>
            <w:tcBorders>
              <w:top w:val="single" w:sz="8" w:space="0" w:color="7F7F7F" w:themeColor="text1" w:themeTint="80"/>
            </w:tcBorders>
            <w:shd w:val="clear" w:color="auto" w:fill="auto"/>
          </w:tcPr>
          <w:p w:rsidR="00910074" w:rsidRPr="00BD4E98" w:rsidRDefault="00910074" w:rsidP="00910074">
            <w:pPr>
              <w:rPr>
                <w:rFonts w:eastAsia="Times New Roman" w:cs="Times New Roman"/>
                <w:lang w:eastAsia="cs-CZ"/>
              </w:rPr>
            </w:pPr>
            <w:r w:rsidRPr="00BD4E98">
              <w:rPr>
                <w:rFonts w:eastAsia="Times New Roman" w:cs="Times New Roman"/>
                <w:lang w:eastAsia="cs-CZ"/>
              </w:rPr>
              <w:t>organizační složky státu</w:t>
            </w:r>
          </w:p>
        </w:tc>
        <w:tc>
          <w:tcPr>
            <w:tcW w:w="1337" w:type="dxa"/>
            <w:tcBorders>
              <w:top w:val="single" w:sz="8" w:space="0" w:color="7F7F7F" w:themeColor="text1" w:themeTint="80"/>
            </w:tcBorders>
            <w:shd w:val="clear" w:color="auto" w:fill="auto"/>
            <w:vAlign w:val="center"/>
          </w:tcPr>
          <w:p w:rsidR="00910074" w:rsidRPr="00BD4E98" w:rsidRDefault="00910074" w:rsidP="00910074">
            <w:pPr>
              <w:jc w:val="right"/>
              <w:rPr>
                <w:rFonts w:eastAsia="Times New Roman" w:cs="Times New Roman"/>
                <w:lang w:eastAsia="cs-CZ"/>
              </w:rPr>
            </w:pPr>
            <w:r w:rsidRPr="00BD4E98">
              <w:rPr>
                <w:rFonts w:eastAsia="Times New Roman" w:cs="Times New Roman"/>
                <w:lang w:eastAsia="cs-CZ"/>
              </w:rPr>
              <w:t>113 655</w:t>
            </w:r>
          </w:p>
        </w:tc>
        <w:tc>
          <w:tcPr>
            <w:tcW w:w="1335" w:type="dxa"/>
            <w:tcBorders>
              <w:top w:val="single" w:sz="8" w:space="0" w:color="7F7F7F" w:themeColor="text1" w:themeTint="80"/>
            </w:tcBorders>
            <w:shd w:val="clear" w:color="auto" w:fill="auto"/>
            <w:vAlign w:val="center"/>
          </w:tcPr>
          <w:p w:rsidR="00910074" w:rsidRPr="00BD4E98" w:rsidRDefault="00910074" w:rsidP="00910074">
            <w:pPr>
              <w:jc w:val="right"/>
              <w:rPr>
                <w:rFonts w:eastAsia="Times New Roman" w:cs="Times New Roman"/>
                <w:lang w:eastAsia="cs-CZ"/>
              </w:rPr>
            </w:pPr>
            <w:r w:rsidRPr="00BD4E98">
              <w:rPr>
                <w:rFonts w:eastAsia="Times New Roman" w:cs="Times New Roman"/>
                <w:lang w:eastAsia="cs-CZ"/>
              </w:rPr>
              <w:t>173 128</w:t>
            </w:r>
          </w:p>
        </w:tc>
        <w:tc>
          <w:tcPr>
            <w:tcW w:w="1361" w:type="dxa"/>
            <w:tcBorders>
              <w:top w:val="single" w:sz="8" w:space="0" w:color="7F7F7F" w:themeColor="text1" w:themeTint="80"/>
            </w:tcBorders>
            <w:shd w:val="clear" w:color="auto" w:fill="auto"/>
            <w:vAlign w:val="center"/>
          </w:tcPr>
          <w:p w:rsidR="00910074" w:rsidRPr="00BD4E98" w:rsidRDefault="00910074" w:rsidP="00910074">
            <w:pPr>
              <w:jc w:val="right"/>
              <w:rPr>
                <w:rFonts w:eastAsia="Times New Roman" w:cs="Times New Roman"/>
                <w:lang w:eastAsia="cs-CZ"/>
              </w:rPr>
            </w:pPr>
            <w:r w:rsidRPr="00BD4E98">
              <w:rPr>
                <w:rFonts w:eastAsia="Times New Roman" w:cs="Times New Roman"/>
                <w:lang w:eastAsia="cs-CZ"/>
              </w:rPr>
              <w:t>157 589</w:t>
            </w:r>
          </w:p>
        </w:tc>
        <w:tc>
          <w:tcPr>
            <w:tcW w:w="1077" w:type="dxa"/>
            <w:tcBorders>
              <w:top w:val="single" w:sz="8" w:space="0" w:color="7F7F7F" w:themeColor="text1" w:themeTint="80"/>
            </w:tcBorders>
            <w:shd w:val="clear" w:color="auto" w:fill="auto"/>
            <w:vAlign w:val="center"/>
          </w:tcPr>
          <w:p w:rsidR="00910074" w:rsidRPr="008F2DB5" w:rsidRDefault="00910074" w:rsidP="00910074">
            <w:pPr>
              <w:jc w:val="right"/>
              <w:rPr>
                <w:rFonts w:eastAsia="Times New Roman" w:cs="Times New Roman"/>
                <w:lang w:eastAsia="cs-CZ"/>
              </w:rPr>
            </w:pPr>
            <w:r w:rsidRPr="008F2DB5">
              <w:rPr>
                <w:rFonts w:eastAsia="Times New Roman" w:cs="Times New Roman"/>
                <w:lang w:eastAsia="cs-CZ"/>
              </w:rPr>
              <w:t>91,02</w:t>
            </w:r>
          </w:p>
        </w:tc>
      </w:tr>
      <w:tr w:rsidR="00910074" w:rsidRPr="00BD4E98" w:rsidTr="00910074">
        <w:tc>
          <w:tcPr>
            <w:tcW w:w="3969" w:type="dxa"/>
            <w:shd w:val="clear" w:color="auto" w:fill="auto"/>
          </w:tcPr>
          <w:p w:rsidR="00910074" w:rsidRPr="00BD4E98" w:rsidRDefault="00910074" w:rsidP="00910074">
            <w:pPr>
              <w:rPr>
                <w:rFonts w:eastAsia="Times New Roman" w:cs="Times New Roman"/>
                <w:lang w:eastAsia="cs-CZ"/>
              </w:rPr>
            </w:pPr>
            <w:r w:rsidRPr="00BD4E98">
              <w:rPr>
                <w:rFonts w:eastAsia="Times New Roman" w:cs="Times New Roman"/>
                <w:lang w:eastAsia="cs-CZ"/>
              </w:rPr>
              <w:t>příspěvkové organizace</w:t>
            </w:r>
          </w:p>
        </w:tc>
        <w:tc>
          <w:tcPr>
            <w:tcW w:w="1337" w:type="dxa"/>
            <w:shd w:val="clear" w:color="auto" w:fill="auto"/>
            <w:vAlign w:val="center"/>
          </w:tcPr>
          <w:p w:rsidR="00910074" w:rsidRPr="00BD4E98" w:rsidRDefault="00910074" w:rsidP="00910074">
            <w:pPr>
              <w:jc w:val="right"/>
              <w:rPr>
                <w:rFonts w:eastAsia="Times New Roman" w:cs="Times New Roman"/>
                <w:lang w:eastAsia="cs-CZ"/>
              </w:rPr>
            </w:pPr>
            <w:r w:rsidRPr="00BD4E98">
              <w:rPr>
                <w:rFonts w:eastAsia="Times New Roman" w:cs="Times New Roman"/>
                <w:lang w:eastAsia="cs-CZ"/>
              </w:rPr>
              <w:t>0</w:t>
            </w:r>
          </w:p>
        </w:tc>
        <w:tc>
          <w:tcPr>
            <w:tcW w:w="1335" w:type="dxa"/>
            <w:shd w:val="clear" w:color="auto" w:fill="auto"/>
            <w:vAlign w:val="center"/>
          </w:tcPr>
          <w:p w:rsidR="00910074" w:rsidRPr="00BD4E98" w:rsidRDefault="00910074" w:rsidP="00910074">
            <w:pPr>
              <w:jc w:val="right"/>
              <w:rPr>
                <w:rFonts w:eastAsia="Times New Roman" w:cs="Times New Roman"/>
                <w:lang w:eastAsia="cs-CZ"/>
              </w:rPr>
            </w:pPr>
            <w:r w:rsidRPr="00BD4E98">
              <w:rPr>
                <w:rFonts w:eastAsia="Times New Roman" w:cs="Times New Roman"/>
                <w:lang w:eastAsia="cs-CZ"/>
              </w:rPr>
              <w:t>5 000</w:t>
            </w:r>
          </w:p>
        </w:tc>
        <w:tc>
          <w:tcPr>
            <w:tcW w:w="1361" w:type="dxa"/>
            <w:shd w:val="clear" w:color="auto" w:fill="auto"/>
            <w:vAlign w:val="center"/>
          </w:tcPr>
          <w:p w:rsidR="00910074" w:rsidRPr="00BD4E98" w:rsidRDefault="00910074" w:rsidP="00910074">
            <w:pPr>
              <w:jc w:val="right"/>
              <w:rPr>
                <w:rFonts w:eastAsia="Times New Roman" w:cs="Times New Roman"/>
                <w:lang w:eastAsia="cs-CZ"/>
              </w:rPr>
            </w:pPr>
            <w:r w:rsidRPr="00BD4E98">
              <w:rPr>
                <w:rFonts w:eastAsia="Times New Roman" w:cs="Times New Roman"/>
                <w:lang w:eastAsia="cs-CZ"/>
              </w:rPr>
              <w:t>8 673</w:t>
            </w:r>
          </w:p>
        </w:tc>
        <w:tc>
          <w:tcPr>
            <w:tcW w:w="1077" w:type="dxa"/>
            <w:shd w:val="clear" w:color="auto" w:fill="auto"/>
            <w:vAlign w:val="center"/>
          </w:tcPr>
          <w:p w:rsidR="00910074" w:rsidRPr="008F2DB5" w:rsidRDefault="00910074" w:rsidP="00910074">
            <w:pPr>
              <w:jc w:val="right"/>
              <w:rPr>
                <w:rFonts w:eastAsia="Times New Roman" w:cs="Times New Roman"/>
                <w:lang w:eastAsia="cs-CZ"/>
              </w:rPr>
            </w:pPr>
            <w:r w:rsidRPr="008F2DB5">
              <w:rPr>
                <w:rFonts w:eastAsia="Times New Roman" w:cs="Times New Roman"/>
                <w:lang w:eastAsia="cs-CZ"/>
              </w:rPr>
              <w:t>173,46</w:t>
            </w:r>
          </w:p>
        </w:tc>
      </w:tr>
      <w:tr w:rsidR="00910074" w:rsidRPr="00BD4E98" w:rsidTr="00910074">
        <w:tc>
          <w:tcPr>
            <w:tcW w:w="3969" w:type="dxa"/>
            <w:shd w:val="clear" w:color="auto" w:fill="auto"/>
          </w:tcPr>
          <w:p w:rsidR="00910074" w:rsidRPr="00BD4E98" w:rsidRDefault="00910074" w:rsidP="00910074">
            <w:pPr>
              <w:rPr>
                <w:rFonts w:eastAsia="Times New Roman" w:cs="Times New Roman"/>
                <w:lang w:eastAsia="cs-CZ"/>
              </w:rPr>
            </w:pPr>
            <w:r w:rsidRPr="00BD4E98">
              <w:rPr>
                <w:rFonts w:eastAsia="Times New Roman" w:cs="Times New Roman"/>
                <w:lang w:eastAsia="cs-CZ"/>
              </w:rPr>
              <w:t>podnikatelské subjekty</w:t>
            </w:r>
          </w:p>
        </w:tc>
        <w:tc>
          <w:tcPr>
            <w:tcW w:w="1337" w:type="dxa"/>
            <w:shd w:val="clear" w:color="auto" w:fill="auto"/>
            <w:vAlign w:val="center"/>
          </w:tcPr>
          <w:p w:rsidR="00910074" w:rsidRPr="00BD4E98" w:rsidRDefault="00910074" w:rsidP="00910074">
            <w:pPr>
              <w:jc w:val="right"/>
              <w:rPr>
                <w:rFonts w:eastAsia="Times New Roman" w:cs="Times New Roman"/>
                <w:lang w:eastAsia="cs-CZ"/>
              </w:rPr>
            </w:pPr>
            <w:r w:rsidRPr="00BD4E98">
              <w:rPr>
                <w:rFonts w:eastAsia="Times New Roman" w:cs="Times New Roman"/>
                <w:lang w:eastAsia="cs-CZ"/>
              </w:rPr>
              <w:t>2 791</w:t>
            </w:r>
          </w:p>
        </w:tc>
        <w:tc>
          <w:tcPr>
            <w:tcW w:w="1335" w:type="dxa"/>
            <w:shd w:val="clear" w:color="auto" w:fill="auto"/>
            <w:vAlign w:val="center"/>
          </w:tcPr>
          <w:p w:rsidR="00910074" w:rsidRPr="00BD4E98" w:rsidRDefault="00910074" w:rsidP="00910074">
            <w:pPr>
              <w:jc w:val="right"/>
              <w:rPr>
                <w:rFonts w:eastAsia="Times New Roman" w:cs="Times New Roman"/>
                <w:lang w:eastAsia="cs-CZ"/>
              </w:rPr>
            </w:pPr>
            <w:r w:rsidRPr="00BD4E98">
              <w:rPr>
                <w:rFonts w:eastAsia="Times New Roman" w:cs="Times New Roman"/>
                <w:lang w:eastAsia="cs-CZ"/>
              </w:rPr>
              <w:t>404 000</w:t>
            </w:r>
          </w:p>
        </w:tc>
        <w:tc>
          <w:tcPr>
            <w:tcW w:w="1361" w:type="dxa"/>
            <w:shd w:val="clear" w:color="auto" w:fill="auto"/>
            <w:vAlign w:val="center"/>
          </w:tcPr>
          <w:p w:rsidR="00910074" w:rsidRPr="00BD4E98" w:rsidRDefault="00910074" w:rsidP="00910074">
            <w:pPr>
              <w:jc w:val="right"/>
              <w:rPr>
                <w:rFonts w:eastAsia="Times New Roman" w:cs="Times New Roman"/>
                <w:lang w:eastAsia="cs-CZ"/>
              </w:rPr>
            </w:pPr>
            <w:r w:rsidRPr="00BD4E98">
              <w:rPr>
                <w:rFonts w:eastAsia="Times New Roman" w:cs="Times New Roman"/>
                <w:lang w:eastAsia="cs-CZ"/>
              </w:rPr>
              <w:t>2 631 621</w:t>
            </w:r>
          </w:p>
        </w:tc>
        <w:tc>
          <w:tcPr>
            <w:tcW w:w="1077" w:type="dxa"/>
            <w:shd w:val="clear" w:color="auto" w:fill="auto"/>
            <w:vAlign w:val="center"/>
          </w:tcPr>
          <w:p w:rsidR="00910074" w:rsidRPr="008F2DB5" w:rsidRDefault="00910074" w:rsidP="00910074">
            <w:pPr>
              <w:jc w:val="right"/>
              <w:rPr>
                <w:rFonts w:eastAsia="Times New Roman" w:cs="Times New Roman"/>
                <w:lang w:eastAsia="cs-CZ"/>
              </w:rPr>
            </w:pPr>
            <w:r w:rsidRPr="008F2DB5">
              <w:rPr>
                <w:rFonts w:eastAsia="Times New Roman" w:cs="Times New Roman"/>
                <w:lang w:eastAsia="cs-CZ"/>
              </w:rPr>
              <w:t>651,39</w:t>
            </w:r>
          </w:p>
        </w:tc>
      </w:tr>
      <w:tr w:rsidR="00910074" w:rsidRPr="00BD4E98" w:rsidTr="00910074">
        <w:tc>
          <w:tcPr>
            <w:tcW w:w="3969" w:type="dxa"/>
            <w:shd w:val="clear" w:color="auto" w:fill="auto"/>
          </w:tcPr>
          <w:p w:rsidR="00910074" w:rsidRPr="00BD4E98" w:rsidRDefault="00910074" w:rsidP="00910074">
            <w:pPr>
              <w:rPr>
                <w:rFonts w:eastAsia="Times New Roman" w:cs="Times New Roman"/>
                <w:lang w:eastAsia="cs-CZ"/>
              </w:rPr>
            </w:pPr>
            <w:r w:rsidRPr="00BD4E98">
              <w:rPr>
                <w:rFonts w:eastAsia="Times New Roman" w:cs="Times New Roman"/>
                <w:lang w:eastAsia="cs-CZ"/>
              </w:rPr>
              <w:t>veřejné rozpočty územní úrovně</w:t>
            </w:r>
          </w:p>
        </w:tc>
        <w:tc>
          <w:tcPr>
            <w:tcW w:w="1337" w:type="dxa"/>
            <w:shd w:val="clear" w:color="auto" w:fill="auto"/>
            <w:vAlign w:val="center"/>
          </w:tcPr>
          <w:p w:rsidR="00910074" w:rsidRPr="00BD4E98" w:rsidRDefault="00910074" w:rsidP="00910074">
            <w:pPr>
              <w:jc w:val="right"/>
              <w:rPr>
                <w:rFonts w:eastAsia="Times New Roman" w:cs="Times New Roman"/>
                <w:lang w:eastAsia="cs-CZ"/>
              </w:rPr>
            </w:pPr>
            <w:r w:rsidRPr="00BD4E98">
              <w:rPr>
                <w:rFonts w:eastAsia="Times New Roman" w:cs="Times New Roman"/>
                <w:lang w:eastAsia="cs-CZ"/>
              </w:rPr>
              <w:t>0</w:t>
            </w:r>
          </w:p>
        </w:tc>
        <w:tc>
          <w:tcPr>
            <w:tcW w:w="1335" w:type="dxa"/>
            <w:shd w:val="clear" w:color="auto" w:fill="auto"/>
            <w:vAlign w:val="center"/>
          </w:tcPr>
          <w:p w:rsidR="00910074" w:rsidRPr="00BD4E98" w:rsidRDefault="00910074" w:rsidP="00910074">
            <w:pPr>
              <w:jc w:val="right"/>
              <w:rPr>
                <w:rFonts w:eastAsia="Times New Roman" w:cs="Times New Roman"/>
                <w:lang w:eastAsia="cs-CZ"/>
              </w:rPr>
            </w:pPr>
            <w:r w:rsidRPr="00BD4E98">
              <w:rPr>
                <w:rFonts w:eastAsia="Times New Roman" w:cs="Times New Roman"/>
                <w:lang w:eastAsia="cs-CZ"/>
              </w:rPr>
              <w:t>0</w:t>
            </w:r>
          </w:p>
        </w:tc>
        <w:tc>
          <w:tcPr>
            <w:tcW w:w="1361" w:type="dxa"/>
            <w:shd w:val="clear" w:color="auto" w:fill="auto"/>
            <w:vAlign w:val="center"/>
          </w:tcPr>
          <w:p w:rsidR="00910074" w:rsidRPr="00BD4E98" w:rsidRDefault="00910074" w:rsidP="00910074">
            <w:pPr>
              <w:jc w:val="right"/>
              <w:rPr>
                <w:rFonts w:eastAsia="Times New Roman" w:cs="Times New Roman"/>
                <w:lang w:eastAsia="cs-CZ"/>
              </w:rPr>
            </w:pPr>
            <w:r w:rsidRPr="00BD4E98">
              <w:rPr>
                <w:rFonts w:eastAsia="Times New Roman" w:cs="Times New Roman"/>
                <w:lang w:eastAsia="cs-CZ"/>
              </w:rPr>
              <w:t>0</w:t>
            </w:r>
          </w:p>
        </w:tc>
        <w:tc>
          <w:tcPr>
            <w:tcW w:w="1077" w:type="dxa"/>
            <w:shd w:val="clear" w:color="auto" w:fill="auto"/>
            <w:vAlign w:val="center"/>
          </w:tcPr>
          <w:p w:rsidR="00910074" w:rsidRPr="008F2DB5" w:rsidRDefault="00910074" w:rsidP="00910074">
            <w:pPr>
              <w:jc w:val="right"/>
              <w:rPr>
                <w:rFonts w:eastAsia="Times New Roman" w:cs="Times New Roman"/>
                <w:lang w:eastAsia="cs-CZ"/>
              </w:rPr>
            </w:pPr>
            <w:r w:rsidRPr="008F2DB5">
              <w:rPr>
                <w:rFonts w:eastAsia="Times New Roman" w:cs="Times New Roman"/>
                <w:lang w:eastAsia="cs-CZ"/>
              </w:rPr>
              <w:t>x</w:t>
            </w:r>
          </w:p>
        </w:tc>
      </w:tr>
      <w:tr w:rsidR="00910074" w:rsidRPr="00BD4E98" w:rsidTr="00910074">
        <w:tc>
          <w:tcPr>
            <w:tcW w:w="3969" w:type="dxa"/>
            <w:shd w:val="clear" w:color="auto" w:fill="auto"/>
          </w:tcPr>
          <w:p w:rsidR="00910074" w:rsidRPr="00BD4E98" w:rsidRDefault="00910074" w:rsidP="00910074">
            <w:pPr>
              <w:rPr>
                <w:rFonts w:eastAsia="Times New Roman" w:cs="Times New Roman"/>
                <w:lang w:eastAsia="cs-CZ"/>
              </w:rPr>
            </w:pPr>
            <w:r w:rsidRPr="00BD4E98">
              <w:rPr>
                <w:rFonts w:eastAsia="Times New Roman" w:cs="Times New Roman"/>
                <w:lang w:eastAsia="cs-CZ"/>
              </w:rPr>
              <w:t>neziskové a podobné organizace</w:t>
            </w:r>
          </w:p>
        </w:tc>
        <w:tc>
          <w:tcPr>
            <w:tcW w:w="1337" w:type="dxa"/>
            <w:shd w:val="clear" w:color="auto" w:fill="auto"/>
            <w:vAlign w:val="center"/>
          </w:tcPr>
          <w:p w:rsidR="00910074" w:rsidRPr="00BD4E98" w:rsidRDefault="00910074" w:rsidP="00910074">
            <w:pPr>
              <w:jc w:val="right"/>
              <w:rPr>
                <w:rFonts w:eastAsia="Times New Roman" w:cs="Times New Roman"/>
                <w:lang w:eastAsia="cs-CZ"/>
              </w:rPr>
            </w:pPr>
            <w:r w:rsidRPr="00BD4E98">
              <w:rPr>
                <w:rFonts w:eastAsia="Times New Roman" w:cs="Times New Roman"/>
                <w:lang w:eastAsia="cs-CZ"/>
              </w:rPr>
              <w:t>2 862</w:t>
            </w:r>
          </w:p>
        </w:tc>
        <w:tc>
          <w:tcPr>
            <w:tcW w:w="1335" w:type="dxa"/>
            <w:shd w:val="clear" w:color="auto" w:fill="auto"/>
            <w:vAlign w:val="center"/>
          </w:tcPr>
          <w:p w:rsidR="00910074" w:rsidRPr="00BD4E98" w:rsidRDefault="00910074" w:rsidP="00910074">
            <w:pPr>
              <w:jc w:val="right"/>
              <w:rPr>
                <w:rFonts w:eastAsia="Times New Roman" w:cs="Times New Roman"/>
                <w:lang w:eastAsia="cs-CZ"/>
              </w:rPr>
            </w:pPr>
            <w:r w:rsidRPr="00BD4E98">
              <w:rPr>
                <w:rFonts w:eastAsia="Times New Roman" w:cs="Times New Roman"/>
                <w:lang w:eastAsia="cs-CZ"/>
              </w:rPr>
              <w:t>0</w:t>
            </w:r>
          </w:p>
        </w:tc>
        <w:tc>
          <w:tcPr>
            <w:tcW w:w="1361" w:type="dxa"/>
            <w:shd w:val="clear" w:color="auto" w:fill="auto"/>
            <w:vAlign w:val="center"/>
          </w:tcPr>
          <w:p w:rsidR="00910074" w:rsidRPr="00BD4E98" w:rsidRDefault="00910074" w:rsidP="00910074">
            <w:pPr>
              <w:jc w:val="right"/>
              <w:rPr>
                <w:rFonts w:eastAsia="Times New Roman" w:cs="Times New Roman"/>
                <w:lang w:eastAsia="cs-CZ"/>
              </w:rPr>
            </w:pPr>
            <w:r w:rsidRPr="00BD4E98">
              <w:rPr>
                <w:rFonts w:eastAsia="Times New Roman" w:cs="Times New Roman"/>
                <w:lang w:eastAsia="cs-CZ"/>
              </w:rPr>
              <w:t>0</w:t>
            </w:r>
          </w:p>
        </w:tc>
        <w:tc>
          <w:tcPr>
            <w:tcW w:w="1077" w:type="dxa"/>
            <w:shd w:val="clear" w:color="auto" w:fill="auto"/>
            <w:vAlign w:val="center"/>
          </w:tcPr>
          <w:p w:rsidR="00910074" w:rsidRPr="008F2DB5" w:rsidRDefault="00910074" w:rsidP="00910074">
            <w:pPr>
              <w:jc w:val="right"/>
              <w:rPr>
                <w:rFonts w:eastAsia="Times New Roman" w:cs="Times New Roman"/>
                <w:lang w:eastAsia="cs-CZ"/>
              </w:rPr>
            </w:pPr>
            <w:r w:rsidRPr="008F2DB5">
              <w:rPr>
                <w:rFonts w:eastAsia="Times New Roman" w:cs="Times New Roman"/>
                <w:lang w:eastAsia="cs-CZ"/>
              </w:rPr>
              <w:t>x</w:t>
            </w:r>
          </w:p>
        </w:tc>
      </w:tr>
      <w:tr w:rsidR="00910074" w:rsidRPr="00BD4E98" w:rsidTr="00910074">
        <w:tc>
          <w:tcPr>
            <w:tcW w:w="3969" w:type="dxa"/>
            <w:shd w:val="clear" w:color="auto" w:fill="auto"/>
          </w:tcPr>
          <w:p w:rsidR="00910074" w:rsidRPr="00BD4E98" w:rsidRDefault="00910074" w:rsidP="00910074">
            <w:pPr>
              <w:rPr>
                <w:rFonts w:eastAsia="Times New Roman" w:cs="Times New Roman"/>
                <w:lang w:eastAsia="cs-CZ"/>
              </w:rPr>
            </w:pPr>
            <w:r w:rsidRPr="00BD4E98">
              <w:rPr>
                <w:rFonts w:eastAsia="Times New Roman" w:cs="Times New Roman"/>
                <w:lang w:eastAsia="cs-CZ"/>
              </w:rPr>
              <w:t>státní fondy</w:t>
            </w:r>
          </w:p>
        </w:tc>
        <w:tc>
          <w:tcPr>
            <w:tcW w:w="1337" w:type="dxa"/>
            <w:shd w:val="clear" w:color="auto" w:fill="auto"/>
            <w:vAlign w:val="center"/>
          </w:tcPr>
          <w:p w:rsidR="00910074" w:rsidRPr="00BD4E98" w:rsidRDefault="00910074" w:rsidP="00910074">
            <w:pPr>
              <w:jc w:val="right"/>
              <w:rPr>
                <w:rFonts w:eastAsia="Times New Roman" w:cs="Times New Roman"/>
                <w:lang w:eastAsia="cs-CZ"/>
              </w:rPr>
            </w:pPr>
            <w:r w:rsidRPr="00BD4E98">
              <w:rPr>
                <w:rFonts w:eastAsia="Times New Roman" w:cs="Times New Roman"/>
                <w:lang w:eastAsia="cs-CZ"/>
              </w:rPr>
              <w:t>44 745 161</w:t>
            </w:r>
          </w:p>
        </w:tc>
        <w:tc>
          <w:tcPr>
            <w:tcW w:w="1335" w:type="dxa"/>
            <w:shd w:val="clear" w:color="auto" w:fill="auto"/>
            <w:vAlign w:val="center"/>
          </w:tcPr>
          <w:p w:rsidR="00910074" w:rsidRPr="00BD4E98" w:rsidRDefault="00910074" w:rsidP="00910074">
            <w:pPr>
              <w:jc w:val="right"/>
              <w:rPr>
                <w:rFonts w:eastAsia="Times New Roman" w:cs="Times New Roman"/>
                <w:lang w:eastAsia="cs-CZ"/>
              </w:rPr>
            </w:pPr>
            <w:r w:rsidRPr="00BD4E98">
              <w:rPr>
                <w:rFonts w:eastAsia="Times New Roman" w:cs="Times New Roman"/>
                <w:lang w:eastAsia="cs-CZ"/>
              </w:rPr>
              <w:t>74 283 171</w:t>
            </w:r>
          </w:p>
        </w:tc>
        <w:tc>
          <w:tcPr>
            <w:tcW w:w="1361" w:type="dxa"/>
            <w:shd w:val="clear" w:color="auto" w:fill="auto"/>
            <w:vAlign w:val="center"/>
          </w:tcPr>
          <w:p w:rsidR="00910074" w:rsidRPr="00BD4E98" w:rsidRDefault="00910074" w:rsidP="00910074">
            <w:pPr>
              <w:jc w:val="right"/>
              <w:rPr>
                <w:rFonts w:eastAsia="Times New Roman" w:cs="Times New Roman"/>
                <w:lang w:eastAsia="cs-CZ"/>
              </w:rPr>
            </w:pPr>
            <w:r w:rsidRPr="00BD4E98">
              <w:rPr>
                <w:rFonts w:eastAsia="Times New Roman" w:cs="Times New Roman"/>
                <w:lang w:eastAsia="cs-CZ"/>
              </w:rPr>
              <w:t>95 439 156</w:t>
            </w:r>
          </w:p>
        </w:tc>
        <w:tc>
          <w:tcPr>
            <w:tcW w:w="1077" w:type="dxa"/>
            <w:shd w:val="clear" w:color="auto" w:fill="auto"/>
            <w:vAlign w:val="center"/>
          </w:tcPr>
          <w:p w:rsidR="00910074" w:rsidRPr="008F2DB5" w:rsidRDefault="00910074" w:rsidP="00910074">
            <w:pPr>
              <w:jc w:val="right"/>
              <w:rPr>
                <w:rFonts w:eastAsia="Times New Roman" w:cs="Times New Roman"/>
                <w:lang w:eastAsia="cs-CZ"/>
              </w:rPr>
            </w:pPr>
            <w:r w:rsidRPr="008F2DB5">
              <w:rPr>
                <w:rFonts w:eastAsia="Times New Roman" w:cs="Times New Roman"/>
                <w:lang w:eastAsia="cs-CZ"/>
              </w:rPr>
              <w:t>128,48</w:t>
            </w:r>
          </w:p>
        </w:tc>
      </w:tr>
    </w:tbl>
    <w:p w:rsidR="00910074" w:rsidRPr="008F2DB5" w:rsidRDefault="00910074" w:rsidP="00910074">
      <w:pPr>
        <w:pStyle w:val="Styl1"/>
      </w:pPr>
      <w:r w:rsidRPr="008F2DB5">
        <w:t xml:space="preserve">Výdaje </w:t>
      </w:r>
      <w:r w:rsidRPr="00BF47C5">
        <w:t xml:space="preserve">vedené v informačním systému programového financování EDS/SMVS jsou oproti schválenému rozpočtu na rok 2020 vyšší o 23 371 740 tis. Kč, tj. o 31,22 %.  </w:t>
      </w:r>
      <w:r w:rsidRPr="008F2DB5">
        <w:t xml:space="preserve">V absolutním vyjádření dochází k navýšení především u prostředků určených pro Státní fond dopravní infrastruktury. </w:t>
      </w:r>
    </w:p>
    <w:p w:rsidR="00BB459E" w:rsidRPr="00E24034" w:rsidRDefault="00BB459E" w:rsidP="00910074">
      <w:pPr>
        <w:pStyle w:val="Nadpis3"/>
      </w:pPr>
      <w:bookmarkStart w:id="93" w:name="_Toc53750580"/>
      <w:r w:rsidRPr="00E24034">
        <w:t>Organizační složky státu</w:t>
      </w:r>
      <w:bookmarkEnd w:id="89"/>
      <w:bookmarkEnd w:id="90"/>
      <w:bookmarkEnd w:id="91"/>
      <w:bookmarkEnd w:id="92"/>
      <w:bookmarkEnd w:id="93"/>
    </w:p>
    <w:p w:rsidR="00F91FFD" w:rsidRDefault="00910074" w:rsidP="00910074">
      <w:pPr>
        <w:pStyle w:val="Styl1"/>
        <w:spacing w:before="360"/>
      </w:pPr>
      <w:bookmarkStart w:id="94" w:name="_Toc462314403"/>
      <w:bookmarkStart w:id="95" w:name="_Toc489274110"/>
      <w:r w:rsidRPr="00BF47C5">
        <w:t>Výdaje vedené v EDS/SMVS jsou pro rozpočtový rok 2021 u organizačních složek státu</w:t>
      </w:r>
      <w:r w:rsidRPr="00BF47C5">
        <w:rPr>
          <w:b/>
          <w:bCs/>
        </w:rPr>
        <w:t xml:space="preserve"> </w:t>
      </w:r>
      <w:r w:rsidRPr="00BF47C5">
        <w:t xml:space="preserve">navrženy v celkové výši 157 589 tis. Kč (pouze prostředky státního rozpočtu) . Druhové členění výdajů vykazuje následující tabulka.        </w:t>
      </w:r>
    </w:p>
    <w:p w:rsidR="00F91FFD" w:rsidRDefault="00F91FFD" w:rsidP="00910074">
      <w:pPr>
        <w:pStyle w:val="Styl1"/>
        <w:spacing w:before="360"/>
      </w:pPr>
    </w:p>
    <w:p w:rsidR="00F91FFD" w:rsidRDefault="00F91FFD" w:rsidP="00910074">
      <w:pPr>
        <w:pStyle w:val="Styl1"/>
        <w:spacing w:before="360"/>
      </w:pPr>
    </w:p>
    <w:p w:rsidR="00F91FFD" w:rsidRDefault="00F91FFD" w:rsidP="00910074">
      <w:pPr>
        <w:pStyle w:val="Styl1"/>
        <w:spacing w:before="360"/>
      </w:pPr>
    </w:p>
    <w:p w:rsidR="00910074" w:rsidRPr="00BF47C5" w:rsidRDefault="00910074" w:rsidP="00910074">
      <w:pPr>
        <w:pStyle w:val="Styl1"/>
        <w:spacing w:before="360"/>
      </w:pPr>
      <w:r w:rsidRPr="00BF47C5">
        <w:t xml:space="preserve">                                                                                                                                     </w:t>
      </w:r>
    </w:p>
    <w:p w:rsidR="00910074" w:rsidRPr="00BF47C5" w:rsidRDefault="00910074" w:rsidP="00910074">
      <w:pPr>
        <w:pStyle w:val="Titulek"/>
        <w:keepNext/>
        <w:rPr>
          <w:noProof/>
        </w:rPr>
      </w:pPr>
      <w:r w:rsidRPr="00BF47C5">
        <w:lastRenderedPageBreak/>
        <w:t xml:space="preserve">Tabulka č. </w:t>
      </w:r>
      <w:r w:rsidRPr="00BF47C5">
        <w:rPr>
          <w:noProof/>
        </w:rPr>
        <w:fldChar w:fldCharType="begin"/>
      </w:r>
      <w:r w:rsidRPr="00BF47C5">
        <w:rPr>
          <w:noProof/>
        </w:rPr>
        <w:instrText xml:space="preserve"> SEQ Tabulka \* ARABIC </w:instrText>
      </w:r>
      <w:r w:rsidRPr="00BF47C5">
        <w:rPr>
          <w:noProof/>
        </w:rPr>
        <w:fldChar w:fldCharType="separate"/>
      </w:r>
      <w:r w:rsidR="006076E7">
        <w:rPr>
          <w:noProof/>
        </w:rPr>
        <w:t>28</w:t>
      </w:r>
      <w:r w:rsidRPr="00BF47C5">
        <w:rPr>
          <w:noProof/>
        </w:rPr>
        <w:fldChar w:fldCharType="end"/>
      </w:r>
      <w:r w:rsidRPr="00BF47C5">
        <w:rPr>
          <w:noProof/>
        </w:rPr>
        <w:t xml:space="preserve"> Výdaje organizačních složek státu vedené v EDS/SMVS (v tis. Kč)</w:t>
      </w:r>
    </w:p>
    <w:tbl>
      <w:tblPr>
        <w:tblStyle w:val="Svtltabulkasmkou1zvraznn51"/>
        <w:tblW w:w="5002"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853"/>
        <w:gridCol w:w="1376"/>
        <w:gridCol w:w="1375"/>
        <w:gridCol w:w="1375"/>
        <w:gridCol w:w="1076"/>
      </w:tblGrid>
      <w:tr w:rsidR="00910074" w:rsidRPr="00BF47C5" w:rsidTr="00910074">
        <w:tc>
          <w:tcPr>
            <w:tcW w:w="212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F47C5" w:rsidRDefault="00910074" w:rsidP="00910074">
            <w:pPr>
              <w:jc w:val="center"/>
              <w:rPr>
                <w:rFonts w:eastAsia="Times New Roman" w:cs="Times New Roman"/>
                <w:b/>
                <w:lang w:eastAsia="cs-CZ"/>
              </w:rPr>
            </w:pPr>
            <w:r w:rsidRPr="00BF47C5">
              <w:rPr>
                <w:rFonts w:eastAsia="Times New Roman" w:cs="Times New Roman"/>
                <w:b/>
                <w:lang w:eastAsia="cs-CZ"/>
              </w:rPr>
              <w:t>Ukazatel</w:t>
            </w:r>
          </w:p>
        </w:tc>
        <w:tc>
          <w:tcPr>
            <w:tcW w:w="76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F47C5" w:rsidRDefault="00910074" w:rsidP="00910074">
            <w:pPr>
              <w:jc w:val="center"/>
              <w:rPr>
                <w:rFonts w:eastAsia="Times New Roman" w:cs="Times New Roman"/>
                <w:b/>
                <w:lang w:eastAsia="cs-CZ"/>
              </w:rPr>
            </w:pPr>
            <w:r w:rsidRPr="00BF47C5">
              <w:rPr>
                <w:rFonts w:eastAsia="Times New Roman" w:cs="Times New Roman"/>
                <w:b/>
                <w:lang w:eastAsia="cs-CZ"/>
              </w:rPr>
              <w:t>Skutečnost</w:t>
            </w:r>
          </w:p>
          <w:p w:rsidR="00910074" w:rsidRPr="00BF47C5" w:rsidRDefault="00910074" w:rsidP="00910074">
            <w:pPr>
              <w:jc w:val="center"/>
              <w:rPr>
                <w:rFonts w:eastAsia="Times New Roman" w:cs="Times New Roman"/>
                <w:b/>
                <w:lang w:eastAsia="cs-CZ"/>
              </w:rPr>
            </w:pPr>
            <w:r w:rsidRPr="00BF47C5">
              <w:rPr>
                <w:rFonts w:eastAsia="Times New Roman" w:cs="Times New Roman"/>
                <w:b/>
                <w:lang w:eastAsia="cs-CZ"/>
              </w:rPr>
              <w:t>2019</w:t>
            </w:r>
          </w:p>
        </w:tc>
        <w:tc>
          <w:tcPr>
            <w:tcW w:w="75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F47C5" w:rsidRDefault="00910074" w:rsidP="00910074">
            <w:pPr>
              <w:jc w:val="center"/>
              <w:rPr>
                <w:rFonts w:eastAsia="Times New Roman" w:cs="Times New Roman"/>
                <w:b/>
                <w:lang w:eastAsia="cs-CZ"/>
              </w:rPr>
            </w:pPr>
            <w:r w:rsidRPr="00BF47C5">
              <w:rPr>
                <w:rFonts w:eastAsia="Times New Roman" w:cs="Times New Roman"/>
                <w:b/>
                <w:lang w:eastAsia="cs-CZ"/>
              </w:rPr>
              <w:t>Schválený rozpočet</w:t>
            </w:r>
          </w:p>
          <w:p w:rsidR="00910074" w:rsidRPr="00BF47C5" w:rsidRDefault="00910074" w:rsidP="00910074">
            <w:pPr>
              <w:jc w:val="center"/>
              <w:rPr>
                <w:rFonts w:eastAsia="Times New Roman" w:cs="Times New Roman"/>
                <w:b/>
                <w:lang w:eastAsia="cs-CZ"/>
              </w:rPr>
            </w:pPr>
            <w:r w:rsidRPr="00BF47C5">
              <w:rPr>
                <w:rFonts w:eastAsia="Times New Roman" w:cs="Times New Roman"/>
                <w:b/>
                <w:lang w:eastAsia="cs-CZ"/>
              </w:rPr>
              <w:t>2020</w:t>
            </w:r>
          </w:p>
        </w:tc>
        <w:tc>
          <w:tcPr>
            <w:tcW w:w="75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F47C5" w:rsidRDefault="00910074" w:rsidP="00910074">
            <w:pPr>
              <w:jc w:val="center"/>
              <w:rPr>
                <w:rFonts w:eastAsia="Times New Roman" w:cs="Times New Roman"/>
                <w:b/>
                <w:lang w:eastAsia="cs-CZ"/>
              </w:rPr>
            </w:pPr>
            <w:r w:rsidRPr="00BF47C5">
              <w:rPr>
                <w:rFonts w:eastAsia="Times New Roman" w:cs="Times New Roman"/>
                <w:b/>
                <w:lang w:eastAsia="cs-CZ"/>
              </w:rPr>
              <w:t>Návrh</w:t>
            </w:r>
          </w:p>
          <w:p w:rsidR="00910074" w:rsidRPr="00BF47C5" w:rsidRDefault="00910074" w:rsidP="00910074">
            <w:pPr>
              <w:jc w:val="center"/>
              <w:rPr>
                <w:rFonts w:eastAsia="Times New Roman" w:cs="Times New Roman"/>
                <w:b/>
                <w:lang w:eastAsia="cs-CZ"/>
              </w:rPr>
            </w:pPr>
            <w:r w:rsidRPr="00BF47C5">
              <w:rPr>
                <w:rFonts w:eastAsia="Times New Roman" w:cs="Times New Roman"/>
                <w:b/>
                <w:lang w:eastAsia="cs-CZ"/>
              </w:rPr>
              <w:t>rozpočtu</w:t>
            </w:r>
          </w:p>
          <w:p w:rsidR="00910074" w:rsidRPr="00BF47C5" w:rsidRDefault="00910074" w:rsidP="00910074">
            <w:pPr>
              <w:jc w:val="center"/>
              <w:rPr>
                <w:rFonts w:eastAsia="Times New Roman" w:cs="Times New Roman"/>
                <w:b/>
                <w:lang w:eastAsia="cs-CZ"/>
              </w:rPr>
            </w:pPr>
            <w:r w:rsidRPr="00BF47C5">
              <w:rPr>
                <w:rFonts w:eastAsia="Times New Roman" w:cs="Times New Roman"/>
                <w:b/>
                <w:lang w:eastAsia="cs-CZ"/>
              </w:rPr>
              <w:t>2021</w:t>
            </w:r>
          </w:p>
        </w:tc>
        <w:tc>
          <w:tcPr>
            <w:tcW w:w="59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F47C5" w:rsidRDefault="00910074" w:rsidP="00910074">
            <w:pPr>
              <w:jc w:val="center"/>
              <w:rPr>
                <w:rFonts w:eastAsia="Times New Roman" w:cs="Times New Roman"/>
                <w:b/>
                <w:lang w:eastAsia="cs-CZ"/>
              </w:rPr>
            </w:pPr>
            <w:r w:rsidRPr="00BF47C5">
              <w:rPr>
                <w:rFonts w:eastAsia="Times New Roman" w:cs="Times New Roman"/>
                <w:b/>
                <w:lang w:eastAsia="cs-CZ"/>
              </w:rPr>
              <w:t>Index</w:t>
            </w:r>
          </w:p>
          <w:p w:rsidR="00910074" w:rsidRPr="00BF47C5" w:rsidRDefault="00910074" w:rsidP="00910074">
            <w:pPr>
              <w:jc w:val="center"/>
              <w:rPr>
                <w:rFonts w:eastAsia="Times New Roman" w:cs="Times New Roman"/>
                <w:b/>
                <w:lang w:eastAsia="cs-CZ"/>
              </w:rPr>
            </w:pPr>
            <w:r w:rsidRPr="00BF47C5">
              <w:rPr>
                <w:rFonts w:eastAsia="Times New Roman" w:cs="Times New Roman"/>
                <w:b/>
                <w:lang w:eastAsia="cs-CZ"/>
              </w:rPr>
              <w:t>2021/</w:t>
            </w:r>
            <w:r w:rsidRPr="00BF47C5">
              <w:rPr>
                <w:rFonts w:eastAsia="Times New Roman" w:cs="Times New Roman"/>
                <w:b/>
                <w:lang w:eastAsia="cs-CZ"/>
              </w:rPr>
              <w:br/>
              <w:t>2020</w:t>
            </w:r>
          </w:p>
          <w:p w:rsidR="00910074" w:rsidRPr="00BF47C5" w:rsidRDefault="00910074" w:rsidP="00910074">
            <w:pPr>
              <w:jc w:val="center"/>
              <w:rPr>
                <w:rFonts w:eastAsia="Times New Roman" w:cs="Times New Roman"/>
                <w:b/>
                <w:lang w:eastAsia="cs-CZ"/>
              </w:rPr>
            </w:pPr>
            <w:r w:rsidRPr="00BF47C5">
              <w:rPr>
                <w:rFonts w:eastAsia="Times New Roman" w:cs="Times New Roman"/>
                <w:b/>
                <w:lang w:eastAsia="cs-CZ"/>
              </w:rPr>
              <w:t>(v %)</w:t>
            </w:r>
          </w:p>
        </w:tc>
      </w:tr>
      <w:tr w:rsidR="00910074" w:rsidRPr="00BF47C5" w:rsidTr="00910074">
        <w:tc>
          <w:tcPr>
            <w:tcW w:w="2127" w:type="pct"/>
            <w:tcBorders>
              <w:top w:val="single" w:sz="4" w:space="0" w:color="7F7F7F" w:themeColor="text1" w:themeTint="80"/>
              <w:bottom w:val="single" w:sz="8" w:space="0" w:color="7F7F7F" w:themeColor="text1" w:themeTint="80"/>
            </w:tcBorders>
            <w:shd w:val="clear" w:color="auto" w:fill="auto"/>
          </w:tcPr>
          <w:p w:rsidR="00910074" w:rsidRPr="00BF47C5" w:rsidRDefault="00910074" w:rsidP="00910074">
            <w:pPr>
              <w:jc w:val="center"/>
              <w:rPr>
                <w:rFonts w:eastAsia="Times New Roman" w:cs="Times New Roman"/>
                <w:lang w:eastAsia="cs-CZ"/>
              </w:rPr>
            </w:pPr>
            <w:r w:rsidRPr="00BF47C5">
              <w:rPr>
                <w:rFonts w:eastAsia="Times New Roman" w:cs="Times New Roman"/>
                <w:lang w:eastAsia="cs-CZ"/>
              </w:rPr>
              <w:t>a</w:t>
            </w:r>
          </w:p>
        </w:tc>
        <w:tc>
          <w:tcPr>
            <w:tcW w:w="760" w:type="pct"/>
            <w:tcBorders>
              <w:top w:val="single" w:sz="4" w:space="0" w:color="7F7F7F" w:themeColor="text1" w:themeTint="80"/>
              <w:bottom w:val="single" w:sz="8" w:space="0" w:color="7F7F7F" w:themeColor="text1" w:themeTint="80"/>
            </w:tcBorders>
            <w:shd w:val="clear" w:color="auto" w:fill="auto"/>
          </w:tcPr>
          <w:p w:rsidR="00910074" w:rsidRPr="00BF47C5" w:rsidRDefault="00910074" w:rsidP="00910074">
            <w:pPr>
              <w:jc w:val="center"/>
              <w:rPr>
                <w:rFonts w:eastAsia="Times New Roman" w:cs="Times New Roman"/>
                <w:lang w:eastAsia="cs-CZ"/>
              </w:rPr>
            </w:pPr>
            <w:r w:rsidRPr="00BF47C5">
              <w:rPr>
                <w:rFonts w:eastAsia="Times New Roman" w:cs="Times New Roman"/>
                <w:lang w:eastAsia="cs-CZ"/>
              </w:rPr>
              <w:t>1</w:t>
            </w:r>
          </w:p>
        </w:tc>
        <w:tc>
          <w:tcPr>
            <w:tcW w:w="759" w:type="pct"/>
            <w:tcBorders>
              <w:top w:val="single" w:sz="4" w:space="0" w:color="7F7F7F" w:themeColor="text1" w:themeTint="80"/>
              <w:bottom w:val="single" w:sz="8" w:space="0" w:color="7F7F7F" w:themeColor="text1" w:themeTint="80"/>
            </w:tcBorders>
            <w:shd w:val="clear" w:color="auto" w:fill="auto"/>
          </w:tcPr>
          <w:p w:rsidR="00910074" w:rsidRPr="00BF47C5" w:rsidRDefault="00910074" w:rsidP="00910074">
            <w:pPr>
              <w:jc w:val="center"/>
              <w:rPr>
                <w:rFonts w:eastAsia="Times New Roman" w:cs="Times New Roman"/>
                <w:lang w:eastAsia="cs-CZ"/>
              </w:rPr>
            </w:pPr>
            <w:r w:rsidRPr="00BF47C5">
              <w:rPr>
                <w:rFonts w:eastAsia="Times New Roman" w:cs="Times New Roman"/>
                <w:lang w:eastAsia="cs-CZ"/>
              </w:rPr>
              <w:t>2</w:t>
            </w:r>
          </w:p>
        </w:tc>
        <w:tc>
          <w:tcPr>
            <w:tcW w:w="759" w:type="pct"/>
            <w:tcBorders>
              <w:top w:val="single" w:sz="4" w:space="0" w:color="7F7F7F" w:themeColor="text1" w:themeTint="80"/>
              <w:bottom w:val="single" w:sz="8" w:space="0" w:color="7F7F7F" w:themeColor="text1" w:themeTint="80"/>
            </w:tcBorders>
            <w:shd w:val="clear" w:color="auto" w:fill="auto"/>
          </w:tcPr>
          <w:p w:rsidR="00910074" w:rsidRPr="00BF47C5" w:rsidRDefault="00910074" w:rsidP="00910074">
            <w:pPr>
              <w:jc w:val="center"/>
              <w:rPr>
                <w:rFonts w:eastAsia="Times New Roman" w:cs="Times New Roman"/>
                <w:lang w:eastAsia="cs-CZ"/>
              </w:rPr>
            </w:pPr>
            <w:r w:rsidRPr="00BF47C5">
              <w:rPr>
                <w:rFonts w:eastAsia="Times New Roman" w:cs="Times New Roman"/>
                <w:lang w:eastAsia="cs-CZ"/>
              </w:rPr>
              <w:t>3</w:t>
            </w:r>
          </w:p>
        </w:tc>
        <w:tc>
          <w:tcPr>
            <w:tcW w:w="594" w:type="pct"/>
            <w:tcBorders>
              <w:top w:val="single" w:sz="4" w:space="0" w:color="7F7F7F" w:themeColor="text1" w:themeTint="80"/>
              <w:bottom w:val="single" w:sz="8" w:space="0" w:color="7F7F7F" w:themeColor="text1" w:themeTint="80"/>
            </w:tcBorders>
            <w:shd w:val="clear" w:color="auto" w:fill="auto"/>
          </w:tcPr>
          <w:p w:rsidR="00910074" w:rsidRPr="00BF47C5" w:rsidRDefault="00910074" w:rsidP="00910074">
            <w:pPr>
              <w:jc w:val="center"/>
              <w:rPr>
                <w:rFonts w:eastAsia="Times New Roman" w:cs="Times New Roman"/>
                <w:lang w:eastAsia="cs-CZ"/>
              </w:rPr>
            </w:pPr>
            <w:r w:rsidRPr="00BF47C5">
              <w:rPr>
                <w:rFonts w:eastAsia="Times New Roman" w:cs="Times New Roman"/>
                <w:lang w:eastAsia="cs-CZ"/>
              </w:rPr>
              <w:t>4</w:t>
            </w:r>
          </w:p>
        </w:tc>
      </w:tr>
      <w:tr w:rsidR="00910074" w:rsidRPr="00BF47C5" w:rsidTr="00910074">
        <w:tc>
          <w:tcPr>
            <w:tcW w:w="2127" w:type="pct"/>
            <w:tcBorders>
              <w:top w:val="single" w:sz="8" w:space="0" w:color="7F7F7F" w:themeColor="text1" w:themeTint="80"/>
              <w:bottom w:val="single" w:sz="8" w:space="0" w:color="7F7F7F" w:themeColor="text1" w:themeTint="80"/>
            </w:tcBorders>
            <w:shd w:val="clear" w:color="auto" w:fill="auto"/>
          </w:tcPr>
          <w:p w:rsidR="00910074" w:rsidRPr="00BF47C5" w:rsidRDefault="00910074" w:rsidP="00910074">
            <w:pPr>
              <w:rPr>
                <w:rFonts w:eastAsia="Times New Roman" w:cs="Times New Roman"/>
                <w:b/>
                <w:lang w:eastAsia="cs-CZ"/>
              </w:rPr>
            </w:pPr>
            <w:r w:rsidRPr="00BF47C5">
              <w:rPr>
                <w:rFonts w:eastAsia="Times New Roman" w:cs="Times New Roman"/>
                <w:b/>
                <w:lang w:eastAsia="cs-CZ"/>
              </w:rPr>
              <w:t xml:space="preserve">Organizační složky státu celkem </w:t>
            </w:r>
            <w:r w:rsidRPr="00BF47C5">
              <w:rPr>
                <w:rFonts w:eastAsia="Times New Roman" w:cs="Times New Roman"/>
                <w:b/>
                <w:lang w:eastAsia="cs-CZ"/>
              </w:rPr>
              <w:br/>
            </w:r>
            <w:r w:rsidRPr="00BF47C5">
              <w:rPr>
                <w:rFonts w:eastAsia="Times New Roman" w:cs="Times New Roman"/>
                <w:lang w:eastAsia="cs-CZ"/>
              </w:rPr>
              <w:t>v tom:</w:t>
            </w:r>
            <w:r w:rsidRPr="00BF47C5">
              <w:rPr>
                <w:rFonts w:eastAsia="Times New Roman" w:cs="Times New Roman"/>
                <w:b/>
                <w:lang w:eastAsia="cs-CZ"/>
              </w:rPr>
              <w:t xml:space="preserve"> </w:t>
            </w:r>
          </w:p>
        </w:tc>
        <w:tc>
          <w:tcPr>
            <w:tcW w:w="760" w:type="pct"/>
            <w:tcBorders>
              <w:top w:val="single" w:sz="8" w:space="0" w:color="7F7F7F" w:themeColor="text1" w:themeTint="80"/>
              <w:bottom w:val="single" w:sz="4" w:space="0" w:color="auto"/>
            </w:tcBorders>
            <w:shd w:val="clear" w:color="auto" w:fill="auto"/>
            <w:vAlign w:val="center"/>
          </w:tcPr>
          <w:p w:rsidR="00910074" w:rsidRPr="00BF47C5" w:rsidRDefault="00910074" w:rsidP="00910074">
            <w:pPr>
              <w:jc w:val="right"/>
              <w:rPr>
                <w:rFonts w:eastAsia="Times New Roman" w:cs="Times New Roman"/>
                <w:b/>
                <w:lang w:eastAsia="cs-CZ"/>
              </w:rPr>
            </w:pPr>
            <w:r w:rsidRPr="00BF47C5">
              <w:rPr>
                <w:rFonts w:eastAsia="Times New Roman" w:cs="Times New Roman"/>
                <w:b/>
                <w:lang w:eastAsia="cs-CZ"/>
              </w:rPr>
              <w:t>113 655</w:t>
            </w:r>
          </w:p>
        </w:tc>
        <w:tc>
          <w:tcPr>
            <w:tcW w:w="759" w:type="pct"/>
            <w:tcBorders>
              <w:top w:val="single" w:sz="8" w:space="0" w:color="7F7F7F" w:themeColor="text1" w:themeTint="80"/>
              <w:bottom w:val="single" w:sz="4" w:space="0" w:color="auto"/>
            </w:tcBorders>
            <w:shd w:val="clear" w:color="auto" w:fill="auto"/>
            <w:vAlign w:val="center"/>
          </w:tcPr>
          <w:p w:rsidR="00910074" w:rsidRPr="00BF47C5" w:rsidRDefault="00910074" w:rsidP="00910074">
            <w:pPr>
              <w:jc w:val="right"/>
              <w:rPr>
                <w:rFonts w:eastAsia="Times New Roman" w:cs="Times New Roman"/>
                <w:b/>
                <w:lang w:eastAsia="cs-CZ"/>
              </w:rPr>
            </w:pPr>
            <w:r w:rsidRPr="00BF47C5">
              <w:rPr>
                <w:rFonts w:eastAsia="Times New Roman" w:cs="Times New Roman"/>
                <w:b/>
                <w:lang w:eastAsia="cs-CZ"/>
              </w:rPr>
              <w:t xml:space="preserve">173 128 </w:t>
            </w:r>
          </w:p>
        </w:tc>
        <w:tc>
          <w:tcPr>
            <w:tcW w:w="759" w:type="pct"/>
            <w:tcBorders>
              <w:top w:val="single" w:sz="8" w:space="0" w:color="7F7F7F" w:themeColor="text1" w:themeTint="80"/>
              <w:bottom w:val="single" w:sz="4" w:space="0" w:color="auto"/>
            </w:tcBorders>
            <w:shd w:val="clear" w:color="auto" w:fill="auto"/>
            <w:vAlign w:val="center"/>
          </w:tcPr>
          <w:p w:rsidR="00910074" w:rsidRPr="00BF47C5" w:rsidRDefault="00910074" w:rsidP="00910074">
            <w:pPr>
              <w:jc w:val="right"/>
              <w:rPr>
                <w:rFonts w:eastAsia="Times New Roman" w:cs="Times New Roman"/>
                <w:b/>
                <w:lang w:eastAsia="cs-CZ"/>
              </w:rPr>
            </w:pPr>
            <w:r>
              <w:rPr>
                <w:rFonts w:eastAsia="Times New Roman" w:cs="Times New Roman"/>
                <w:b/>
                <w:lang w:eastAsia="cs-CZ"/>
              </w:rPr>
              <w:t>157 589</w:t>
            </w:r>
          </w:p>
        </w:tc>
        <w:tc>
          <w:tcPr>
            <w:tcW w:w="594" w:type="pct"/>
            <w:tcBorders>
              <w:top w:val="single" w:sz="8" w:space="0" w:color="7F7F7F" w:themeColor="text1" w:themeTint="80"/>
              <w:bottom w:val="single" w:sz="4" w:space="0" w:color="auto"/>
            </w:tcBorders>
            <w:shd w:val="clear" w:color="auto" w:fill="auto"/>
            <w:vAlign w:val="center"/>
          </w:tcPr>
          <w:p w:rsidR="00910074" w:rsidRPr="00BF47C5" w:rsidRDefault="00910074" w:rsidP="00910074">
            <w:pPr>
              <w:jc w:val="right"/>
              <w:rPr>
                <w:rFonts w:eastAsia="Times New Roman" w:cs="Times New Roman"/>
                <w:b/>
                <w:lang w:eastAsia="cs-CZ"/>
              </w:rPr>
            </w:pPr>
            <w:r>
              <w:rPr>
                <w:rFonts w:eastAsia="Times New Roman" w:cs="Times New Roman"/>
                <w:b/>
                <w:lang w:eastAsia="cs-CZ"/>
              </w:rPr>
              <w:t>91,02</w:t>
            </w:r>
          </w:p>
        </w:tc>
      </w:tr>
      <w:tr w:rsidR="00910074" w:rsidRPr="00BF47C5" w:rsidTr="00910074">
        <w:tc>
          <w:tcPr>
            <w:tcW w:w="2127" w:type="pct"/>
            <w:tcBorders>
              <w:top w:val="single" w:sz="8" w:space="0" w:color="7F7F7F" w:themeColor="text1" w:themeTint="80"/>
              <w:bottom w:val="nil"/>
            </w:tcBorders>
            <w:shd w:val="clear" w:color="auto" w:fill="auto"/>
          </w:tcPr>
          <w:p w:rsidR="00910074" w:rsidRPr="00BF47C5" w:rsidRDefault="00910074" w:rsidP="00910074">
            <w:pPr>
              <w:rPr>
                <w:rFonts w:eastAsia="Times New Roman" w:cs="Times New Roman"/>
                <w:lang w:eastAsia="cs-CZ"/>
              </w:rPr>
            </w:pPr>
            <w:r w:rsidRPr="00BF47C5">
              <w:rPr>
                <w:rFonts w:eastAsia="Times New Roman" w:cs="Times New Roman"/>
                <w:lang w:eastAsia="cs-CZ"/>
              </w:rPr>
              <w:t>běžné výdaje v tom:</w:t>
            </w:r>
          </w:p>
        </w:tc>
        <w:tc>
          <w:tcPr>
            <w:tcW w:w="760" w:type="pct"/>
            <w:tcBorders>
              <w:top w:val="single" w:sz="4" w:space="0" w:color="auto"/>
              <w:bottom w:val="nil"/>
            </w:tcBorders>
            <w:shd w:val="clear" w:color="auto" w:fill="auto"/>
            <w:vAlign w:val="center"/>
          </w:tcPr>
          <w:p w:rsidR="00910074" w:rsidRPr="00BF47C5" w:rsidRDefault="00910074" w:rsidP="00910074">
            <w:pPr>
              <w:jc w:val="right"/>
              <w:rPr>
                <w:rFonts w:eastAsia="Times New Roman" w:cs="Times New Roman"/>
                <w:lang w:eastAsia="cs-CZ"/>
              </w:rPr>
            </w:pPr>
            <w:r w:rsidRPr="00BF47C5">
              <w:rPr>
                <w:rFonts w:eastAsia="Times New Roman" w:cs="Times New Roman"/>
                <w:lang w:eastAsia="cs-CZ"/>
              </w:rPr>
              <w:t>71 015</w:t>
            </w:r>
          </w:p>
        </w:tc>
        <w:tc>
          <w:tcPr>
            <w:tcW w:w="759" w:type="pct"/>
            <w:tcBorders>
              <w:top w:val="single" w:sz="4" w:space="0" w:color="auto"/>
              <w:bottom w:val="nil"/>
            </w:tcBorders>
            <w:shd w:val="clear" w:color="auto" w:fill="auto"/>
            <w:vAlign w:val="center"/>
          </w:tcPr>
          <w:p w:rsidR="00910074" w:rsidRPr="00BF47C5" w:rsidRDefault="00910074" w:rsidP="00910074">
            <w:pPr>
              <w:jc w:val="right"/>
              <w:rPr>
                <w:rFonts w:eastAsia="Times New Roman" w:cs="Times New Roman"/>
                <w:lang w:eastAsia="cs-CZ"/>
              </w:rPr>
            </w:pPr>
            <w:r w:rsidRPr="00BF47C5">
              <w:rPr>
                <w:rFonts w:eastAsia="Times New Roman" w:cs="Times New Roman"/>
                <w:lang w:eastAsia="cs-CZ"/>
              </w:rPr>
              <w:t>79 354</w:t>
            </w:r>
          </w:p>
        </w:tc>
        <w:tc>
          <w:tcPr>
            <w:tcW w:w="759" w:type="pct"/>
            <w:tcBorders>
              <w:top w:val="single" w:sz="5" w:space="0" w:color="7F7F7F" w:themeColor="text1" w:themeTint="80"/>
              <w:bottom w:val="nil"/>
            </w:tcBorders>
            <w:shd w:val="clear" w:color="auto" w:fill="auto"/>
            <w:vAlign w:val="center"/>
          </w:tcPr>
          <w:p w:rsidR="00910074" w:rsidRPr="00F53376" w:rsidRDefault="00910074" w:rsidP="00910074">
            <w:pPr>
              <w:jc w:val="right"/>
              <w:rPr>
                <w:rFonts w:eastAsia="Times New Roman" w:cs="Times New Roman"/>
                <w:lang w:eastAsia="cs-CZ"/>
              </w:rPr>
            </w:pPr>
            <w:r w:rsidRPr="00F53376">
              <w:rPr>
                <w:rFonts w:eastAsia="Times New Roman" w:cs="Times New Roman"/>
                <w:lang w:eastAsia="cs-CZ"/>
              </w:rPr>
              <w:t>84 413</w:t>
            </w:r>
          </w:p>
        </w:tc>
        <w:tc>
          <w:tcPr>
            <w:tcW w:w="594" w:type="pct"/>
            <w:tcBorders>
              <w:top w:val="single" w:sz="4" w:space="0" w:color="auto"/>
              <w:bottom w:val="nil"/>
            </w:tcBorders>
            <w:shd w:val="clear" w:color="auto" w:fill="auto"/>
            <w:vAlign w:val="center"/>
          </w:tcPr>
          <w:p w:rsidR="00910074" w:rsidRPr="00BF47C5" w:rsidRDefault="00910074" w:rsidP="00910074">
            <w:pPr>
              <w:jc w:val="right"/>
              <w:rPr>
                <w:rFonts w:eastAsia="Times New Roman" w:cs="Times New Roman"/>
                <w:lang w:eastAsia="cs-CZ"/>
              </w:rPr>
            </w:pPr>
            <w:r>
              <w:rPr>
                <w:rFonts w:eastAsia="Times New Roman" w:cs="Times New Roman"/>
                <w:lang w:eastAsia="cs-CZ"/>
              </w:rPr>
              <w:t>106,38</w:t>
            </w:r>
          </w:p>
        </w:tc>
      </w:tr>
      <w:tr w:rsidR="00910074" w:rsidRPr="00BF47C5" w:rsidTr="00910074">
        <w:tc>
          <w:tcPr>
            <w:tcW w:w="2127" w:type="pct"/>
            <w:tcBorders>
              <w:top w:val="nil"/>
              <w:bottom w:val="nil"/>
              <w:right w:val="single" w:sz="4" w:space="0" w:color="7F7F7F" w:themeColor="text1" w:themeTint="80"/>
            </w:tcBorders>
            <w:shd w:val="clear" w:color="auto" w:fill="auto"/>
          </w:tcPr>
          <w:p w:rsidR="00910074" w:rsidRPr="00BF47C5" w:rsidRDefault="00910074" w:rsidP="00910074">
            <w:pPr>
              <w:rPr>
                <w:rFonts w:eastAsia="Times New Roman" w:cs="Times New Roman"/>
                <w:i/>
                <w:lang w:eastAsia="cs-CZ"/>
              </w:rPr>
            </w:pPr>
            <w:r w:rsidRPr="00BF47C5">
              <w:rPr>
                <w:rFonts w:eastAsia="Times New Roman" w:cs="Times New Roman"/>
                <w:i/>
                <w:lang w:eastAsia="cs-CZ"/>
              </w:rPr>
              <w:t xml:space="preserve">      prostředky SR</w:t>
            </w:r>
          </w:p>
        </w:tc>
        <w:tc>
          <w:tcPr>
            <w:tcW w:w="760" w:type="pct"/>
            <w:tcBorders>
              <w:top w:val="nil"/>
              <w:left w:val="single" w:sz="2" w:space="0" w:color="7F7F7F" w:themeColor="text1" w:themeTint="80"/>
              <w:bottom w:val="nil"/>
              <w:right w:val="single" w:sz="2" w:space="0" w:color="7F7F7F" w:themeColor="text1" w:themeTint="80"/>
            </w:tcBorders>
            <w:shd w:val="clear" w:color="auto" w:fill="auto"/>
            <w:vAlign w:val="center"/>
          </w:tcPr>
          <w:p w:rsidR="00910074" w:rsidRPr="00BF47C5" w:rsidRDefault="00910074" w:rsidP="00910074">
            <w:pPr>
              <w:jc w:val="right"/>
              <w:rPr>
                <w:rFonts w:eastAsia="Times New Roman" w:cs="Times New Roman"/>
                <w:i/>
                <w:lang w:eastAsia="cs-CZ"/>
              </w:rPr>
            </w:pPr>
            <w:r w:rsidRPr="00BF47C5">
              <w:rPr>
                <w:rFonts w:eastAsia="Times New Roman" w:cs="Times New Roman"/>
                <w:i/>
                <w:lang w:eastAsia="cs-CZ"/>
              </w:rPr>
              <w:t>71 007</w:t>
            </w:r>
          </w:p>
        </w:tc>
        <w:tc>
          <w:tcPr>
            <w:tcW w:w="759" w:type="pct"/>
            <w:tcBorders>
              <w:top w:val="nil"/>
              <w:left w:val="single" w:sz="2" w:space="0" w:color="7F7F7F" w:themeColor="text1" w:themeTint="80"/>
              <w:bottom w:val="nil"/>
              <w:right w:val="single" w:sz="2" w:space="0" w:color="7F7F7F" w:themeColor="text1" w:themeTint="80"/>
            </w:tcBorders>
            <w:shd w:val="clear" w:color="auto" w:fill="auto"/>
            <w:vAlign w:val="center"/>
          </w:tcPr>
          <w:p w:rsidR="00910074" w:rsidRPr="00BF47C5" w:rsidRDefault="00910074" w:rsidP="00910074">
            <w:pPr>
              <w:jc w:val="right"/>
              <w:rPr>
                <w:rFonts w:eastAsia="Times New Roman" w:cs="Times New Roman"/>
                <w:i/>
                <w:lang w:eastAsia="cs-CZ"/>
              </w:rPr>
            </w:pPr>
            <w:r w:rsidRPr="00BF47C5">
              <w:rPr>
                <w:rFonts w:eastAsia="Times New Roman" w:cs="Times New Roman"/>
                <w:i/>
                <w:lang w:eastAsia="cs-CZ"/>
              </w:rPr>
              <w:t>79 354</w:t>
            </w:r>
          </w:p>
        </w:tc>
        <w:tc>
          <w:tcPr>
            <w:tcW w:w="759" w:type="pct"/>
            <w:tcBorders>
              <w:top w:val="nil"/>
              <w:left w:val="single" w:sz="2" w:space="0" w:color="7F7F7F" w:themeColor="text1" w:themeTint="80"/>
              <w:bottom w:val="nil"/>
              <w:right w:val="single" w:sz="2" w:space="0" w:color="7F7F7F" w:themeColor="text1" w:themeTint="80"/>
            </w:tcBorders>
            <w:shd w:val="clear" w:color="auto" w:fill="auto"/>
            <w:vAlign w:val="center"/>
          </w:tcPr>
          <w:p w:rsidR="00910074" w:rsidRPr="00F53376" w:rsidRDefault="00910074" w:rsidP="00910074">
            <w:pPr>
              <w:jc w:val="right"/>
              <w:rPr>
                <w:rFonts w:eastAsia="Times New Roman" w:cs="Times New Roman"/>
                <w:i/>
                <w:lang w:eastAsia="cs-CZ"/>
              </w:rPr>
            </w:pPr>
            <w:r w:rsidRPr="00F53376">
              <w:rPr>
                <w:rFonts w:eastAsia="Times New Roman" w:cs="Times New Roman"/>
                <w:i/>
                <w:lang w:eastAsia="cs-CZ"/>
              </w:rPr>
              <w:t>84 413</w:t>
            </w:r>
          </w:p>
        </w:tc>
        <w:tc>
          <w:tcPr>
            <w:tcW w:w="594" w:type="pct"/>
            <w:tcBorders>
              <w:top w:val="nil"/>
              <w:left w:val="single" w:sz="2" w:space="0" w:color="7F7F7F" w:themeColor="text1" w:themeTint="80"/>
              <w:bottom w:val="nil"/>
            </w:tcBorders>
            <w:shd w:val="clear" w:color="auto" w:fill="auto"/>
            <w:vAlign w:val="center"/>
          </w:tcPr>
          <w:p w:rsidR="00910074" w:rsidRPr="00BF47C5" w:rsidRDefault="00910074" w:rsidP="00910074">
            <w:pPr>
              <w:jc w:val="right"/>
              <w:rPr>
                <w:rFonts w:eastAsia="Times New Roman" w:cs="Times New Roman"/>
                <w:i/>
                <w:lang w:eastAsia="cs-CZ"/>
              </w:rPr>
            </w:pPr>
            <w:r>
              <w:rPr>
                <w:rFonts w:eastAsia="Times New Roman" w:cs="Times New Roman"/>
                <w:i/>
                <w:lang w:eastAsia="cs-CZ"/>
              </w:rPr>
              <w:t>106,38</w:t>
            </w:r>
          </w:p>
        </w:tc>
      </w:tr>
      <w:tr w:rsidR="00910074" w:rsidRPr="00BF47C5" w:rsidTr="00910074">
        <w:tc>
          <w:tcPr>
            <w:tcW w:w="2127" w:type="pct"/>
            <w:tcBorders>
              <w:top w:val="nil"/>
              <w:bottom w:val="single" w:sz="4" w:space="0" w:color="7F7F7F" w:themeColor="text1" w:themeTint="80"/>
              <w:right w:val="single" w:sz="4" w:space="0" w:color="7F7F7F" w:themeColor="text1" w:themeTint="80"/>
            </w:tcBorders>
            <w:shd w:val="clear" w:color="auto" w:fill="auto"/>
          </w:tcPr>
          <w:p w:rsidR="00910074" w:rsidRPr="00BF47C5" w:rsidRDefault="00910074" w:rsidP="00910074">
            <w:pPr>
              <w:rPr>
                <w:rFonts w:eastAsia="Times New Roman" w:cs="Times New Roman"/>
                <w:i/>
                <w:lang w:eastAsia="cs-CZ"/>
              </w:rPr>
            </w:pPr>
            <w:r w:rsidRPr="00BF47C5">
              <w:rPr>
                <w:rFonts w:eastAsia="Times New Roman" w:cs="Times New Roman"/>
                <w:i/>
                <w:lang w:eastAsia="cs-CZ"/>
              </w:rPr>
              <w:t xml:space="preserve">      prostředky z fondů EU</w:t>
            </w:r>
          </w:p>
        </w:tc>
        <w:tc>
          <w:tcPr>
            <w:tcW w:w="760" w:type="pct"/>
            <w:tcBorders>
              <w:top w:val="nil"/>
              <w:left w:val="single" w:sz="2" w:space="0" w:color="7F7F7F" w:themeColor="text1" w:themeTint="80"/>
              <w:bottom w:val="single" w:sz="2" w:space="0" w:color="7F7F7F" w:themeColor="text1" w:themeTint="80"/>
              <w:right w:val="single" w:sz="2" w:space="0" w:color="7F7F7F" w:themeColor="text1" w:themeTint="80"/>
            </w:tcBorders>
            <w:shd w:val="clear" w:color="auto" w:fill="auto"/>
            <w:vAlign w:val="center"/>
          </w:tcPr>
          <w:p w:rsidR="00910074" w:rsidRPr="00BF47C5" w:rsidRDefault="00910074" w:rsidP="00910074">
            <w:pPr>
              <w:jc w:val="right"/>
              <w:rPr>
                <w:rFonts w:eastAsia="Times New Roman" w:cs="Times New Roman"/>
                <w:i/>
                <w:lang w:eastAsia="cs-CZ"/>
              </w:rPr>
            </w:pPr>
            <w:r w:rsidRPr="00BF47C5">
              <w:rPr>
                <w:rFonts w:eastAsia="Times New Roman" w:cs="Times New Roman"/>
                <w:i/>
                <w:lang w:eastAsia="cs-CZ"/>
              </w:rPr>
              <w:t>8</w:t>
            </w:r>
          </w:p>
        </w:tc>
        <w:tc>
          <w:tcPr>
            <w:tcW w:w="759" w:type="pct"/>
            <w:tcBorders>
              <w:top w:val="nil"/>
              <w:left w:val="single" w:sz="2" w:space="0" w:color="7F7F7F" w:themeColor="text1" w:themeTint="80"/>
              <w:bottom w:val="single" w:sz="2" w:space="0" w:color="7F7F7F" w:themeColor="text1" w:themeTint="80"/>
              <w:right w:val="single" w:sz="2" w:space="0" w:color="7F7F7F" w:themeColor="text1" w:themeTint="80"/>
            </w:tcBorders>
            <w:shd w:val="clear" w:color="auto" w:fill="auto"/>
            <w:vAlign w:val="center"/>
          </w:tcPr>
          <w:p w:rsidR="00910074" w:rsidRPr="00BF47C5" w:rsidRDefault="00910074" w:rsidP="00910074">
            <w:pPr>
              <w:jc w:val="right"/>
              <w:rPr>
                <w:rFonts w:eastAsia="Times New Roman" w:cs="Times New Roman"/>
                <w:i/>
                <w:lang w:eastAsia="cs-CZ"/>
              </w:rPr>
            </w:pPr>
            <w:r w:rsidRPr="00BF47C5">
              <w:rPr>
                <w:rFonts w:eastAsia="Times New Roman" w:cs="Times New Roman"/>
                <w:i/>
                <w:lang w:eastAsia="cs-CZ"/>
              </w:rPr>
              <w:t>0</w:t>
            </w:r>
          </w:p>
        </w:tc>
        <w:tc>
          <w:tcPr>
            <w:tcW w:w="759" w:type="pct"/>
            <w:tcBorders>
              <w:top w:val="nil"/>
              <w:left w:val="single" w:sz="2" w:space="0" w:color="7F7F7F" w:themeColor="text1" w:themeTint="80"/>
              <w:bottom w:val="single" w:sz="2" w:space="0" w:color="7F7F7F" w:themeColor="text1" w:themeTint="80"/>
              <w:right w:val="single" w:sz="2" w:space="0" w:color="7F7F7F" w:themeColor="text1" w:themeTint="80"/>
            </w:tcBorders>
            <w:shd w:val="clear" w:color="auto" w:fill="auto"/>
            <w:vAlign w:val="center"/>
          </w:tcPr>
          <w:p w:rsidR="00910074" w:rsidRPr="00BF47C5" w:rsidRDefault="00910074" w:rsidP="00910074">
            <w:pPr>
              <w:jc w:val="right"/>
              <w:rPr>
                <w:rFonts w:eastAsia="Times New Roman" w:cs="Times New Roman"/>
                <w:i/>
                <w:lang w:eastAsia="cs-CZ"/>
              </w:rPr>
            </w:pPr>
            <w:r w:rsidRPr="00BF47C5">
              <w:rPr>
                <w:rFonts w:eastAsia="Times New Roman" w:cs="Times New Roman"/>
                <w:i/>
                <w:lang w:eastAsia="cs-CZ"/>
              </w:rPr>
              <w:t>0</w:t>
            </w:r>
          </w:p>
        </w:tc>
        <w:tc>
          <w:tcPr>
            <w:tcW w:w="594" w:type="pct"/>
            <w:tcBorders>
              <w:top w:val="nil"/>
              <w:left w:val="single" w:sz="2" w:space="0" w:color="7F7F7F" w:themeColor="text1" w:themeTint="80"/>
              <w:bottom w:val="single" w:sz="2" w:space="0" w:color="7F7F7F" w:themeColor="text1" w:themeTint="80"/>
            </w:tcBorders>
            <w:shd w:val="clear" w:color="auto" w:fill="auto"/>
            <w:vAlign w:val="center"/>
          </w:tcPr>
          <w:p w:rsidR="00910074" w:rsidRPr="00BF47C5" w:rsidRDefault="00910074" w:rsidP="00910074">
            <w:pPr>
              <w:jc w:val="right"/>
              <w:rPr>
                <w:rFonts w:eastAsia="Times New Roman" w:cs="Times New Roman"/>
                <w:i/>
                <w:lang w:eastAsia="cs-CZ"/>
              </w:rPr>
            </w:pPr>
            <w:r w:rsidRPr="00BF47C5">
              <w:rPr>
                <w:rFonts w:eastAsia="Times New Roman" w:cs="Times New Roman"/>
                <w:i/>
                <w:lang w:eastAsia="cs-CZ"/>
              </w:rPr>
              <w:t>x</w:t>
            </w:r>
          </w:p>
        </w:tc>
      </w:tr>
      <w:tr w:rsidR="00910074" w:rsidRPr="00BF47C5" w:rsidTr="00910074">
        <w:tc>
          <w:tcPr>
            <w:tcW w:w="2127" w:type="pct"/>
            <w:tcBorders>
              <w:top w:val="single" w:sz="4" w:space="0" w:color="7F7F7F" w:themeColor="text1" w:themeTint="80"/>
              <w:bottom w:val="nil"/>
            </w:tcBorders>
            <w:shd w:val="clear" w:color="auto" w:fill="auto"/>
          </w:tcPr>
          <w:p w:rsidR="00910074" w:rsidRPr="00BF47C5" w:rsidRDefault="00910074" w:rsidP="00910074">
            <w:pPr>
              <w:spacing w:before="60"/>
              <w:rPr>
                <w:rFonts w:eastAsia="Times New Roman" w:cs="Times New Roman"/>
                <w:lang w:eastAsia="cs-CZ"/>
              </w:rPr>
            </w:pPr>
            <w:r w:rsidRPr="00BF47C5">
              <w:rPr>
                <w:rFonts w:eastAsia="Times New Roman" w:cs="Times New Roman"/>
                <w:lang w:eastAsia="cs-CZ"/>
              </w:rPr>
              <w:t>kapitálové výdaje v tom:</w:t>
            </w:r>
          </w:p>
        </w:tc>
        <w:tc>
          <w:tcPr>
            <w:tcW w:w="760" w:type="pct"/>
            <w:tcBorders>
              <w:top w:val="single" w:sz="2" w:space="0" w:color="7F7F7F" w:themeColor="text1" w:themeTint="80"/>
              <w:bottom w:val="nil"/>
            </w:tcBorders>
            <w:shd w:val="clear" w:color="auto" w:fill="auto"/>
            <w:vAlign w:val="center"/>
          </w:tcPr>
          <w:p w:rsidR="00910074" w:rsidRPr="00BF47C5" w:rsidRDefault="00910074" w:rsidP="00910074">
            <w:pPr>
              <w:spacing w:before="60"/>
              <w:jc w:val="right"/>
              <w:rPr>
                <w:rFonts w:eastAsia="Times New Roman" w:cs="Times New Roman"/>
                <w:lang w:eastAsia="cs-CZ"/>
              </w:rPr>
            </w:pPr>
            <w:r w:rsidRPr="00BF47C5">
              <w:rPr>
                <w:rFonts w:eastAsia="Times New Roman" w:cs="Times New Roman"/>
                <w:lang w:eastAsia="cs-CZ"/>
              </w:rPr>
              <w:t>42 640</w:t>
            </w:r>
          </w:p>
        </w:tc>
        <w:tc>
          <w:tcPr>
            <w:tcW w:w="759" w:type="pct"/>
            <w:tcBorders>
              <w:top w:val="single" w:sz="2" w:space="0" w:color="7F7F7F" w:themeColor="text1" w:themeTint="80"/>
              <w:bottom w:val="nil"/>
            </w:tcBorders>
            <w:shd w:val="clear" w:color="auto" w:fill="auto"/>
            <w:vAlign w:val="center"/>
          </w:tcPr>
          <w:p w:rsidR="00910074" w:rsidRPr="00BF47C5" w:rsidRDefault="00910074" w:rsidP="00910074">
            <w:pPr>
              <w:spacing w:before="60"/>
              <w:jc w:val="right"/>
              <w:rPr>
                <w:rFonts w:eastAsia="Times New Roman" w:cs="Times New Roman"/>
                <w:lang w:eastAsia="cs-CZ"/>
              </w:rPr>
            </w:pPr>
            <w:r w:rsidRPr="00BF47C5">
              <w:rPr>
                <w:rFonts w:eastAsia="Times New Roman" w:cs="Times New Roman"/>
                <w:lang w:eastAsia="cs-CZ"/>
              </w:rPr>
              <w:t>93 774</w:t>
            </w:r>
          </w:p>
        </w:tc>
        <w:tc>
          <w:tcPr>
            <w:tcW w:w="759" w:type="pct"/>
            <w:tcBorders>
              <w:top w:val="single" w:sz="2" w:space="0" w:color="7F7F7F" w:themeColor="text1" w:themeTint="80"/>
              <w:bottom w:val="nil"/>
            </w:tcBorders>
            <w:shd w:val="clear" w:color="auto" w:fill="auto"/>
            <w:vAlign w:val="center"/>
          </w:tcPr>
          <w:p w:rsidR="00910074" w:rsidRPr="00BF47C5" w:rsidRDefault="00910074" w:rsidP="00910074">
            <w:pPr>
              <w:spacing w:before="60"/>
              <w:jc w:val="right"/>
              <w:rPr>
                <w:rFonts w:eastAsia="Times New Roman" w:cs="Times New Roman"/>
                <w:lang w:eastAsia="cs-CZ"/>
              </w:rPr>
            </w:pPr>
            <w:r w:rsidRPr="00BF47C5">
              <w:rPr>
                <w:rFonts w:eastAsia="Times New Roman" w:cs="Times New Roman"/>
                <w:lang w:eastAsia="cs-CZ"/>
              </w:rPr>
              <w:t>73 176</w:t>
            </w:r>
          </w:p>
        </w:tc>
        <w:tc>
          <w:tcPr>
            <w:tcW w:w="594" w:type="pct"/>
            <w:tcBorders>
              <w:top w:val="single" w:sz="2" w:space="0" w:color="7F7F7F" w:themeColor="text1" w:themeTint="80"/>
              <w:bottom w:val="nil"/>
            </w:tcBorders>
            <w:shd w:val="clear" w:color="auto" w:fill="auto"/>
            <w:vAlign w:val="center"/>
          </w:tcPr>
          <w:p w:rsidR="00910074" w:rsidRPr="00BF47C5" w:rsidRDefault="00910074" w:rsidP="00910074">
            <w:pPr>
              <w:spacing w:before="60"/>
              <w:jc w:val="right"/>
              <w:rPr>
                <w:rFonts w:eastAsia="Times New Roman" w:cs="Times New Roman"/>
                <w:lang w:eastAsia="cs-CZ"/>
              </w:rPr>
            </w:pPr>
            <w:r w:rsidRPr="00BF47C5">
              <w:rPr>
                <w:rFonts w:eastAsia="Times New Roman" w:cs="Times New Roman"/>
                <w:lang w:eastAsia="cs-CZ"/>
              </w:rPr>
              <w:t>78,03</w:t>
            </w:r>
          </w:p>
        </w:tc>
      </w:tr>
      <w:tr w:rsidR="00910074" w:rsidRPr="00BF47C5" w:rsidTr="00910074">
        <w:tc>
          <w:tcPr>
            <w:tcW w:w="2127" w:type="pct"/>
            <w:tcBorders>
              <w:top w:val="nil"/>
              <w:bottom w:val="nil"/>
            </w:tcBorders>
            <w:shd w:val="clear" w:color="auto" w:fill="auto"/>
          </w:tcPr>
          <w:p w:rsidR="00910074" w:rsidRPr="00BF47C5" w:rsidRDefault="00910074" w:rsidP="00910074">
            <w:pPr>
              <w:rPr>
                <w:rFonts w:eastAsia="Times New Roman" w:cs="Times New Roman"/>
                <w:i/>
                <w:lang w:eastAsia="cs-CZ"/>
              </w:rPr>
            </w:pPr>
            <w:r w:rsidRPr="00BF47C5">
              <w:rPr>
                <w:rFonts w:eastAsia="Times New Roman" w:cs="Times New Roman"/>
                <w:i/>
                <w:lang w:eastAsia="cs-CZ"/>
              </w:rPr>
              <w:t xml:space="preserve">      prostředky SR</w:t>
            </w:r>
          </w:p>
        </w:tc>
        <w:tc>
          <w:tcPr>
            <w:tcW w:w="760" w:type="pct"/>
            <w:tcBorders>
              <w:top w:val="nil"/>
              <w:bottom w:val="nil"/>
            </w:tcBorders>
            <w:shd w:val="clear" w:color="auto" w:fill="auto"/>
            <w:vAlign w:val="center"/>
          </w:tcPr>
          <w:p w:rsidR="00910074" w:rsidRPr="00BF47C5" w:rsidRDefault="00910074" w:rsidP="00910074">
            <w:pPr>
              <w:jc w:val="right"/>
              <w:rPr>
                <w:rFonts w:eastAsia="Times New Roman" w:cs="Times New Roman"/>
                <w:i/>
                <w:lang w:eastAsia="cs-CZ"/>
              </w:rPr>
            </w:pPr>
            <w:r w:rsidRPr="00BF47C5">
              <w:rPr>
                <w:rFonts w:eastAsia="Times New Roman" w:cs="Times New Roman"/>
                <w:i/>
                <w:lang w:eastAsia="cs-CZ"/>
              </w:rPr>
              <w:t>42 570</w:t>
            </w:r>
          </w:p>
        </w:tc>
        <w:tc>
          <w:tcPr>
            <w:tcW w:w="759" w:type="pct"/>
            <w:tcBorders>
              <w:top w:val="nil"/>
              <w:bottom w:val="nil"/>
            </w:tcBorders>
            <w:shd w:val="clear" w:color="auto" w:fill="auto"/>
            <w:vAlign w:val="center"/>
          </w:tcPr>
          <w:p w:rsidR="00910074" w:rsidRPr="00BF47C5" w:rsidRDefault="00910074" w:rsidP="00910074">
            <w:pPr>
              <w:jc w:val="right"/>
              <w:rPr>
                <w:rFonts w:eastAsia="Times New Roman" w:cs="Times New Roman"/>
                <w:i/>
                <w:lang w:eastAsia="cs-CZ"/>
              </w:rPr>
            </w:pPr>
            <w:r w:rsidRPr="00BF47C5">
              <w:rPr>
                <w:rFonts w:eastAsia="Times New Roman" w:cs="Times New Roman"/>
                <w:i/>
                <w:lang w:eastAsia="cs-CZ"/>
              </w:rPr>
              <w:t>93 487</w:t>
            </w:r>
          </w:p>
        </w:tc>
        <w:tc>
          <w:tcPr>
            <w:tcW w:w="759" w:type="pct"/>
            <w:tcBorders>
              <w:top w:val="nil"/>
              <w:bottom w:val="nil"/>
            </w:tcBorders>
            <w:shd w:val="clear" w:color="auto" w:fill="auto"/>
            <w:vAlign w:val="center"/>
          </w:tcPr>
          <w:p w:rsidR="00910074" w:rsidRPr="00BF47C5" w:rsidRDefault="00910074" w:rsidP="00910074">
            <w:pPr>
              <w:jc w:val="right"/>
              <w:rPr>
                <w:rFonts w:eastAsia="Times New Roman" w:cs="Times New Roman"/>
                <w:i/>
                <w:lang w:eastAsia="cs-CZ"/>
              </w:rPr>
            </w:pPr>
            <w:r w:rsidRPr="00BF47C5">
              <w:rPr>
                <w:rFonts w:eastAsia="Times New Roman" w:cs="Times New Roman"/>
                <w:i/>
                <w:lang w:eastAsia="cs-CZ"/>
              </w:rPr>
              <w:t>73 176</w:t>
            </w:r>
          </w:p>
        </w:tc>
        <w:tc>
          <w:tcPr>
            <w:tcW w:w="594" w:type="pct"/>
            <w:tcBorders>
              <w:top w:val="nil"/>
              <w:bottom w:val="nil"/>
            </w:tcBorders>
            <w:shd w:val="clear" w:color="auto" w:fill="auto"/>
            <w:vAlign w:val="center"/>
          </w:tcPr>
          <w:p w:rsidR="00910074" w:rsidRPr="00BF47C5" w:rsidRDefault="00910074" w:rsidP="00910074">
            <w:pPr>
              <w:jc w:val="right"/>
              <w:rPr>
                <w:rFonts w:eastAsia="Times New Roman" w:cs="Times New Roman"/>
                <w:i/>
                <w:lang w:eastAsia="cs-CZ"/>
              </w:rPr>
            </w:pPr>
            <w:r w:rsidRPr="00BF47C5">
              <w:rPr>
                <w:rFonts w:eastAsia="Times New Roman" w:cs="Times New Roman"/>
                <w:i/>
                <w:lang w:eastAsia="cs-CZ"/>
              </w:rPr>
              <w:t>78,27</w:t>
            </w:r>
          </w:p>
        </w:tc>
      </w:tr>
      <w:tr w:rsidR="00910074" w:rsidRPr="00BF47C5" w:rsidTr="00910074">
        <w:tc>
          <w:tcPr>
            <w:tcW w:w="2127" w:type="pct"/>
            <w:tcBorders>
              <w:top w:val="nil"/>
              <w:bottom w:val="single" w:sz="8" w:space="0" w:color="7F7F7F" w:themeColor="text1" w:themeTint="80"/>
            </w:tcBorders>
            <w:shd w:val="clear" w:color="auto" w:fill="auto"/>
          </w:tcPr>
          <w:p w:rsidR="00910074" w:rsidRPr="00BF47C5" w:rsidRDefault="00910074" w:rsidP="00910074">
            <w:pPr>
              <w:rPr>
                <w:rFonts w:eastAsia="Times New Roman" w:cs="Times New Roman"/>
                <w:i/>
                <w:lang w:eastAsia="cs-CZ"/>
              </w:rPr>
            </w:pPr>
            <w:r w:rsidRPr="00BF47C5">
              <w:rPr>
                <w:rFonts w:eastAsia="Times New Roman" w:cs="Times New Roman"/>
                <w:i/>
                <w:lang w:eastAsia="cs-CZ"/>
              </w:rPr>
              <w:t xml:space="preserve">      prostředky z fondů EU</w:t>
            </w:r>
          </w:p>
        </w:tc>
        <w:tc>
          <w:tcPr>
            <w:tcW w:w="760" w:type="pct"/>
            <w:tcBorders>
              <w:top w:val="nil"/>
              <w:bottom w:val="single" w:sz="5" w:space="0" w:color="7F7F7F" w:themeColor="text1" w:themeTint="80"/>
            </w:tcBorders>
            <w:shd w:val="clear" w:color="auto" w:fill="auto"/>
            <w:vAlign w:val="center"/>
          </w:tcPr>
          <w:p w:rsidR="00910074" w:rsidRPr="00BF47C5" w:rsidRDefault="00910074" w:rsidP="00910074">
            <w:pPr>
              <w:jc w:val="right"/>
              <w:rPr>
                <w:rFonts w:eastAsia="Times New Roman" w:cs="Times New Roman"/>
                <w:i/>
                <w:lang w:eastAsia="cs-CZ"/>
              </w:rPr>
            </w:pPr>
            <w:r w:rsidRPr="00BF47C5">
              <w:rPr>
                <w:rFonts w:eastAsia="Times New Roman" w:cs="Times New Roman"/>
                <w:i/>
                <w:lang w:eastAsia="cs-CZ"/>
              </w:rPr>
              <w:t>70</w:t>
            </w:r>
          </w:p>
        </w:tc>
        <w:tc>
          <w:tcPr>
            <w:tcW w:w="759" w:type="pct"/>
            <w:tcBorders>
              <w:top w:val="nil"/>
              <w:bottom w:val="single" w:sz="5" w:space="0" w:color="7F7F7F" w:themeColor="text1" w:themeTint="80"/>
            </w:tcBorders>
            <w:shd w:val="clear" w:color="auto" w:fill="auto"/>
            <w:vAlign w:val="center"/>
          </w:tcPr>
          <w:p w:rsidR="00910074" w:rsidRPr="00BF47C5" w:rsidRDefault="00910074" w:rsidP="00910074">
            <w:pPr>
              <w:jc w:val="right"/>
              <w:rPr>
                <w:rFonts w:eastAsia="Times New Roman" w:cs="Times New Roman"/>
                <w:i/>
                <w:lang w:eastAsia="cs-CZ"/>
              </w:rPr>
            </w:pPr>
            <w:r w:rsidRPr="00BF47C5">
              <w:rPr>
                <w:rFonts w:eastAsia="Times New Roman" w:cs="Times New Roman"/>
                <w:i/>
                <w:lang w:eastAsia="cs-CZ"/>
              </w:rPr>
              <w:t>287</w:t>
            </w:r>
          </w:p>
        </w:tc>
        <w:tc>
          <w:tcPr>
            <w:tcW w:w="759" w:type="pct"/>
            <w:tcBorders>
              <w:top w:val="nil"/>
              <w:bottom w:val="single" w:sz="5" w:space="0" w:color="7F7F7F" w:themeColor="text1" w:themeTint="80"/>
            </w:tcBorders>
            <w:shd w:val="clear" w:color="auto" w:fill="auto"/>
            <w:vAlign w:val="center"/>
          </w:tcPr>
          <w:p w:rsidR="00910074" w:rsidRPr="00BF47C5" w:rsidRDefault="00910074" w:rsidP="00910074">
            <w:pPr>
              <w:jc w:val="right"/>
              <w:rPr>
                <w:rFonts w:eastAsia="Times New Roman" w:cs="Times New Roman"/>
                <w:i/>
                <w:lang w:eastAsia="cs-CZ"/>
              </w:rPr>
            </w:pPr>
            <w:r w:rsidRPr="00BF47C5">
              <w:rPr>
                <w:rFonts w:eastAsia="Times New Roman" w:cs="Times New Roman"/>
                <w:i/>
                <w:lang w:eastAsia="cs-CZ"/>
              </w:rPr>
              <w:t>0</w:t>
            </w:r>
          </w:p>
        </w:tc>
        <w:tc>
          <w:tcPr>
            <w:tcW w:w="594" w:type="pct"/>
            <w:tcBorders>
              <w:top w:val="nil"/>
              <w:bottom w:val="single" w:sz="5" w:space="0" w:color="7F7F7F" w:themeColor="text1" w:themeTint="80"/>
            </w:tcBorders>
            <w:shd w:val="clear" w:color="auto" w:fill="auto"/>
            <w:vAlign w:val="center"/>
          </w:tcPr>
          <w:p w:rsidR="00910074" w:rsidRPr="00BF47C5" w:rsidRDefault="00910074" w:rsidP="00910074">
            <w:pPr>
              <w:jc w:val="right"/>
              <w:rPr>
                <w:rFonts w:eastAsia="Times New Roman" w:cs="Times New Roman"/>
                <w:i/>
                <w:lang w:eastAsia="cs-CZ"/>
              </w:rPr>
            </w:pPr>
            <w:r w:rsidRPr="00BF47C5">
              <w:rPr>
                <w:rFonts w:eastAsia="Times New Roman" w:cs="Times New Roman"/>
                <w:i/>
                <w:lang w:eastAsia="cs-CZ"/>
              </w:rPr>
              <w:t>0,00</w:t>
            </w:r>
          </w:p>
        </w:tc>
      </w:tr>
    </w:tbl>
    <w:p w:rsidR="00910074" w:rsidRPr="006E7827" w:rsidRDefault="00910074" w:rsidP="00910074">
      <w:pPr>
        <w:pStyle w:val="Styl1"/>
      </w:pPr>
      <w:bookmarkStart w:id="96" w:name="_Toc304375452"/>
      <w:bookmarkStart w:id="97" w:name="_Toc305406310"/>
      <w:r w:rsidRPr="006E7827">
        <w:t xml:space="preserve">Organizační složky státu v působnosti Ministerstva dopravy jsou orgány státní správy, </w:t>
      </w:r>
      <w:r w:rsidRPr="006E7827">
        <w:br/>
        <w:t>tj. Ústřední orgán MD, Úřad pro civilní letectví, Státní plavební správa, Drážní úřad, Drážní inspekce, Ústav pro odborné zjišťování příčin leteckých nehod a ostatní organizační složky státu, tj. Ředitelství vodních cest ČR.</w:t>
      </w:r>
    </w:p>
    <w:p w:rsidR="00910074" w:rsidRPr="006E7827" w:rsidRDefault="00910074" w:rsidP="00910074">
      <w:pPr>
        <w:pStyle w:val="Styl1"/>
      </w:pPr>
      <w:r w:rsidRPr="006E7827">
        <w:t xml:space="preserve">V dalším textu je uváděn návrh rozpočtu výdajů vedených v EDS/SMVS v členění dle konečných příjemců, tj. jednotlivých organizačních složek státu a v členění na jednotlivé programy. </w:t>
      </w:r>
    </w:p>
    <w:p w:rsidR="00910074" w:rsidRPr="006E7827" w:rsidRDefault="00910074" w:rsidP="00910074">
      <w:pPr>
        <w:pStyle w:val="Styl1"/>
      </w:pPr>
      <w:r w:rsidRPr="006E7827">
        <w:t>Organizační složky státu jsou v roce 202</w:t>
      </w:r>
      <w:r>
        <w:t>1</w:t>
      </w:r>
      <w:r w:rsidRPr="006E7827">
        <w:t xml:space="preserve"> účastníky programu 127 03 „Rozvoj a obnova materiálně technické základny systému řízení MD-OSS“. </w:t>
      </w:r>
    </w:p>
    <w:p w:rsidR="00910074" w:rsidRDefault="00910074" w:rsidP="00910074">
      <w:pPr>
        <w:pStyle w:val="Styl1"/>
      </w:pPr>
      <w:r w:rsidRPr="004E2BF8">
        <w:t xml:space="preserve">Běžné výdaje jsou v roce 2021 navrženy pouze u Ústředního orgánu Ministerstva dopravy.    </w:t>
      </w:r>
    </w:p>
    <w:p w:rsidR="00910074" w:rsidRPr="00932580" w:rsidRDefault="00910074" w:rsidP="00F91FFD">
      <w:pPr>
        <w:pStyle w:val="Nadpis9"/>
        <w:rPr>
          <w:lang w:eastAsia="cs-CZ"/>
        </w:rPr>
      </w:pPr>
      <w:r w:rsidRPr="00932580">
        <w:rPr>
          <w:lang w:eastAsia="cs-CZ"/>
        </w:rPr>
        <w:t xml:space="preserve">Ústřední orgán Ministerstvo dopravy </w:t>
      </w:r>
      <w:r w:rsidRPr="00932580">
        <w:rPr>
          <w:bCs/>
          <w:lang w:eastAsia="cs-CZ"/>
        </w:rPr>
        <w:t xml:space="preserve">  </w:t>
      </w:r>
    </w:p>
    <w:p w:rsidR="00910074" w:rsidRPr="00932580" w:rsidRDefault="00910074" w:rsidP="00910074">
      <w:pPr>
        <w:keepNext/>
        <w:spacing w:before="120" w:after="120"/>
        <w:rPr>
          <w:rFonts w:eastAsia="Times New Roman" w:cs="Times New Roman"/>
          <w:b/>
          <w:bCs/>
          <w:noProof/>
          <w:sz w:val="20"/>
          <w:szCs w:val="20"/>
          <w:lang w:eastAsia="cs-CZ"/>
        </w:rPr>
      </w:pPr>
      <w:r w:rsidRPr="00932580">
        <w:rPr>
          <w:rFonts w:eastAsia="Times New Roman" w:cs="Times New Roman"/>
          <w:b/>
          <w:bCs/>
          <w:sz w:val="20"/>
          <w:szCs w:val="20"/>
          <w:lang w:eastAsia="cs-CZ"/>
        </w:rPr>
        <w:t xml:space="preserve">Tabulka č. </w:t>
      </w:r>
      <w:r w:rsidRPr="00932580">
        <w:rPr>
          <w:rFonts w:eastAsia="Times New Roman" w:cs="Times New Roman"/>
          <w:b/>
          <w:bCs/>
          <w:noProof/>
          <w:sz w:val="20"/>
          <w:szCs w:val="20"/>
          <w:lang w:eastAsia="cs-CZ"/>
        </w:rPr>
        <w:fldChar w:fldCharType="begin"/>
      </w:r>
      <w:r w:rsidRPr="00932580">
        <w:rPr>
          <w:rFonts w:eastAsia="Times New Roman" w:cs="Times New Roman"/>
          <w:b/>
          <w:bCs/>
          <w:noProof/>
          <w:sz w:val="20"/>
          <w:szCs w:val="20"/>
          <w:lang w:eastAsia="cs-CZ"/>
        </w:rPr>
        <w:instrText xml:space="preserve"> SEQ Tabulka \* ARABIC </w:instrText>
      </w:r>
      <w:r w:rsidRPr="00932580">
        <w:rPr>
          <w:rFonts w:eastAsia="Times New Roman" w:cs="Times New Roman"/>
          <w:b/>
          <w:bCs/>
          <w:noProof/>
          <w:sz w:val="20"/>
          <w:szCs w:val="20"/>
          <w:lang w:eastAsia="cs-CZ"/>
        </w:rPr>
        <w:fldChar w:fldCharType="separate"/>
      </w:r>
      <w:r w:rsidR="006076E7">
        <w:rPr>
          <w:rFonts w:eastAsia="Times New Roman" w:cs="Times New Roman"/>
          <w:b/>
          <w:bCs/>
          <w:noProof/>
          <w:sz w:val="20"/>
          <w:szCs w:val="20"/>
          <w:lang w:eastAsia="cs-CZ"/>
        </w:rPr>
        <w:t>29</w:t>
      </w:r>
      <w:r w:rsidRPr="00932580">
        <w:rPr>
          <w:rFonts w:eastAsia="Times New Roman" w:cs="Times New Roman"/>
          <w:b/>
          <w:bCs/>
          <w:noProof/>
          <w:sz w:val="20"/>
          <w:szCs w:val="20"/>
          <w:lang w:eastAsia="cs-CZ"/>
        </w:rPr>
        <w:fldChar w:fldCharType="end"/>
      </w:r>
      <w:r w:rsidRPr="00932580">
        <w:rPr>
          <w:rFonts w:eastAsia="Times New Roman" w:cs="Times New Roman"/>
          <w:b/>
          <w:bCs/>
          <w:noProof/>
          <w:sz w:val="20"/>
          <w:szCs w:val="20"/>
          <w:lang w:eastAsia="cs-CZ"/>
        </w:rPr>
        <w:t xml:space="preserve"> Výdaje Ústředního orgánu Ministerstva dopravy vedené v EDS/SMVS (v tis. Kč)</w:t>
      </w:r>
    </w:p>
    <w:tbl>
      <w:tblPr>
        <w:tblStyle w:val="Svtltabulkasmkou1zvraznn52"/>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544"/>
        <w:gridCol w:w="1133"/>
        <w:gridCol w:w="1135"/>
        <w:gridCol w:w="1133"/>
        <w:gridCol w:w="1137"/>
        <w:gridCol w:w="1133"/>
        <w:gridCol w:w="836"/>
      </w:tblGrid>
      <w:tr w:rsidR="00910074" w:rsidRPr="00932580" w:rsidTr="00910074">
        <w:tc>
          <w:tcPr>
            <w:tcW w:w="1405"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C02263" w:rsidRDefault="00910074" w:rsidP="00910074">
            <w:pPr>
              <w:jc w:val="center"/>
              <w:rPr>
                <w:b/>
                <w:bCs/>
              </w:rPr>
            </w:pPr>
            <w:r w:rsidRPr="00C02263">
              <w:rPr>
                <w:b/>
                <w:bCs/>
              </w:rPr>
              <w:t>Číslo programu</w:t>
            </w:r>
          </w:p>
        </w:tc>
        <w:tc>
          <w:tcPr>
            <w:tcW w:w="1253"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C02263" w:rsidRDefault="00910074" w:rsidP="00910074">
            <w:pPr>
              <w:jc w:val="center"/>
              <w:rPr>
                <w:b/>
                <w:bCs/>
              </w:rPr>
            </w:pPr>
            <w:r w:rsidRPr="00C02263">
              <w:rPr>
                <w:b/>
                <w:bCs/>
              </w:rPr>
              <w:t>Skutečnost 2019</w:t>
            </w:r>
          </w:p>
        </w:tc>
        <w:tc>
          <w:tcPr>
            <w:tcW w:w="1254"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C02263" w:rsidRDefault="00910074" w:rsidP="00910074">
            <w:pPr>
              <w:jc w:val="center"/>
              <w:rPr>
                <w:b/>
                <w:bCs/>
              </w:rPr>
            </w:pPr>
            <w:r w:rsidRPr="00C02263">
              <w:rPr>
                <w:b/>
                <w:bCs/>
              </w:rPr>
              <w:t>Schválený rozpočet 2020</w:t>
            </w:r>
          </w:p>
        </w:tc>
        <w:tc>
          <w:tcPr>
            <w:tcW w:w="1089"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C02263" w:rsidRDefault="00910074" w:rsidP="00910074">
            <w:pPr>
              <w:jc w:val="center"/>
              <w:rPr>
                <w:b/>
                <w:bCs/>
              </w:rPr>
            </w:pPr>
            <w:r w:rsidRPr="00C02263">
              <w:rPr>
                <w:b/>
                <w:bCs/>
              </w:rPr>
              <w:t>Návrh rozpočtu 2021</w:t>
            </w:r>
          </w:p>
        </w:tc>
      </w:tr>
      <w:tr w:rsidR="00910074" w:rsidRPr="00932580" w:rsidTr="00910074">
        <w:tc>
          <w:tcPr>
            <w:tcW w:w="1405"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C02263" w:rsidRDefault="00910074" w:rsidP="00910074">
            <w:pPr>
              <w:rPr>
                <w:b/>
              </w:rPr>
            </w:pP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C02263" w:rsidRDefault="00910074" w:rsidP="00910074">
            <w:pPr>
              <w:jc w:val="center"/>
              <w:rPr>
                <w:b/>
              </w:rPr>
            </w:pPr>
            <w:r w:rsidRPr="00C02263">
              <w:rPr>
                <w:b/>
              </w:rPr>
              <w:t>SR</w:t>
            </w:r>
          </w:p>
        </w:tc>
        <w:tc>
          <w:tcPr>
            <w:tcW w:w="627"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C02263" w:rsidRDefault="00910074" w:rsidP="00910074">
            <w:pPr>
              <w:jc w:val="center"/>
              <w:rPr>
                <w:b/>
              </w:rPr>
            </w:pPr>
            <w:r w:rsidRPr="00C02263">
              <w:rPr>
                <w:b/>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C02263" w:rsidRDefault="00910074" w:rsidP="00910074">
            <w:pPr>
              <w:jc w:val="center"/>
              <w:rPr>
                <w:b/>
              </w:rPr>
            </w:pPr>
            <w:r w:rsidRPr="00C02263">
              <w:rPr>
                <w:b/>
              </w:rPr>
              <w:t>SR</w:t>
            </w:r>
          </w:p>
        </w:tc>
        <w:tc>
          <w:tcPr>
            <w:tcW w:w="628"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C02263" w:rsidRDefault="00910074" w:rsidP="00910074">
            <w:pPr>
              <w:jc w:val="center"/>
              <w:rPr>
                <w:b/>
              </w:rPr>
            </w:pPr>
            <w:r w:rsidRPr="00C02263">
              <w:rPr>
                <w:b/>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C02263" w:rsidRDefault="00910074" w:rsidP="00910074">
            <w:pPr>
              <w:jc w:val="center"/>
              <w:rPr>
                <w:b/>
              </w:rPr>
            </w:pPr>
            <w:r w:rsidRPr="00C02263">
              <w:rPr>
                <w:b/>
              </w:rPr>
              <w:t>SR</w:t>
            </w:r>
          </w:p>
        </w:tc>
        <w:tc>
          <w:tcPr>
            <w:tcW w:w="46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C02263" w:rsidRDefault="00910074" w:rsidP="00910074">
            <w:pPr>
              <w:jc w:val="center"/>
              <w:rPr>
                <w:b/>
              </w:rPr>
            </w:pPr>
            <w:r w:rsidRPr="00C02263">
              <w:rPr>
                <w:b/>
              </w:rPr>
              <w:t>EU</w:t>
            </w:r>
          </w:p>
        </w:tc>
      </w:tr>
      <w:tr w:rsidR="00910074" w:rsidRPr="00932580" w:rsidTr="00910074">
        <w:tc>
          <w:tcPr>
            <w:tcW w:w="1405" w:type="pct"/>
            <w:tcBorders>
              <w:top w:val="single" w:sz="4" w:space="0" w:color="7F7F7F" w:themeColor="text1" w:themeTint="80"/>
              <w:bottom w:val="nil"/>
            </w:tcBorders>
            <w:shd w:val="clear" w:color="auto" w:fill="auto"/>
          </w:tcPr>
          <w:p w:rsidR="00910074" w:rsidRPr="00932580" w:rsidRDefault="00910074" w:rsidP="00910074">
            <w:pPr>
              <w:jc w:val="center"/>
            </w:pPr>
            <w:r w:rsidRPr="00932580">
              <w:t>127 01</w:t>
            </w:r>
          </w:p>
        </w:tc>
        <w:tc>
          <w:tcPr>
            <w:tcW w:w="626" w:type="pct"/>
            <w:tcBorders>
              <w:top w:val="single" w:sz="4" w:space="0" w:color="7F7F7F" w:themeColor="text1" w:themeTint="80"/>
              <w:bottom w:val="nil"/>
            </w:tcBorders>
            <w:shd w:val="clear" w:color="auto" w:fill="auto"/>
            <w:vAlign w:val="center"/>
          </w:tcPr>
          <w:p w:rsidR="00910074" w:rsidRPr="00932580" w:rsidRDefault="00910074" w:rsidP="00910074">
            <w:pPr>
              <w:jc w:val="right"/>
            </w:pPr>
            <w:r w:rsidRPr="00932580">
              <w:t>3 762</w:t>
            </w:r>
          </w:p>
        </w:tc>
        <w:tc>
          <w:tcPr>
            <w:tcW w:w="627" w:type="pct"/>
            <w:tcBorders>
              <w:top w:val="single" w:sz="4" w:space="0" w:color="7F7F7F" w:themeColor="text1" w:themeTint="80"/>
              <w:bottom w:val="nil"/>
            </w:tcBorders>
            <w:shd w:val="clear" w:color="auto" w:fill="auto"/>
            <w:vAlign w:val="center"/>
          </w:tcPr>
          <w:p w:rsidR="00910074" w:rsidRPr="00932580" w:rsidRDefault="00910074" w:rsidP="00910074">
            <w:pPr>
              <w:jc w:val="right"/>
            </w:pPr>
            <w:r w:rsidRPr="00932580">
              <w:t>0</w:t>
            </w:r>
          </w:p>
        </w:tc>
        <w:tc>
          <w:tcPr>
            <w:tcW w:w="626" w:type="pct"/>
            <w:tcBorders>
              <w:top w:val="single" w:sz="4" w:space="0" w:color="7F7F7F" w:themeColor="text1" w:themeTint="80"/>
              <w:bottom w:val="nil"/>
            </w:tcBorders>
            <w:shd w:val="clear" w:color="auto" w:fill="auto"/>
            <w:vAlign w:val="center"/>
          </w:tcPr>
          <w:p w:rsidR="00910074" w:rsidRPr="00932580" w:rsidRDefault="00910074" w:rsidP="00910074">
            <w:pPr>
              <w:jc w:val="right"/>
            </w:pPr>
            <w:r w:rsidRPr="00932580">
              <w:t>0</w:t>
            </w:r>
          </w:p>
        </w:tc>
        <w:tc>
          <w:tcPr>
            <w:tcW w:w="628" w:type="pct"/>
            <w:tcBorders>
              <w:top w:val="single" w:sz="4" w:space="0" w:color="7F7F7F" w:themeColor="text1" w:themeTint="80"/>
              <w:bottom w:val="nil"/>
            </w:tcBorders>
            <w:shd w:val="clear" w:color="auto" w:fill="auto"/>
            <w:vAlign w:val="center"/>
          </w:tcPr>
          <w:p w:rsidR="00910074" w:rsidRPr="00932580" w:rsidRDefault="00910074" w:rsidP="00910074">
            <w:pPr>
              <w:jc w:val="right"/>
            </w:pPr>
            <w:r w:rsidRPr="00932580">
              <w:t>0</w:t>
            </w:r>
          </w:p>
        </w:tc>
        <w:tc>
          <w:tcPr>
            <w:tcW w:w="626" w:type="pct"/>
            <w:tcBorders>
              <w:top w:val="single" w:sz="4" w:space="0" w:color="7F7F7F" w:themeColor="text1" w:themeTint="80"/>
              <w:bottom w:val="nil"/>
            </w:tcBorders>
            <w:shd w:val="clear" w:color="auto" w:fill="auto"/>
            <w:vAlign w:val="center"/>
          </w:tcPr>
          <w:p w:rsidR="00910074" w:rsidRPr="00932580" w:rsidRDefault="00910074" w:rsidP="00910074">
            <w:pPr>
              <w:jc w:val="right"/>
            </w:pPr>
            <w:r w:rsidRPr="00932580">
              <w:t>0</w:t>
            </w:r>
          </w:p>
        </w:tc>
        <w:tc>
          <w:tcPr>
            <w:tcW w:w="463" w:type="pct"/>
            <w:tcBorders>
              <w:top w:val="single" w:sz="4" w:space="0" w:color="7F7F7F" w:themeColor="text1" w:themeTint="80"/>
              <w:bottom w:val="nil"/>
            </w:tcBorders>
            <w:shd w:val="clear" w:color="auto" w:fill="auto"/>
            <w:vAlign w:val="center"/>
          </w:tcPr>
          <w:p w:rsidR="00910074" w:rsidRPr="00932580" w:rsidRDefault="00910074" w:rsidP="00910074">
            <w:pPr>
              <w:jc w:val="right"/>
            </w:pPr>
            <w:r w:rsidRPr="00932580">
              <w:t>0</w:t>
            </w:r>
          </w:p>
        </w:tc>
      </w:tr>
      <w:tr w:rsidR="00910074" w:rsidRPr="00932580" w:rsidTr="00910074">
        <w:tc>
          <w:tcPr>
            <w:tcW w:w="1405" w:type="pct"/>
            <w:tcBorders>
              <w:top w:val="nil"/>
              <w:bottom w:val="single" w:sz="4" w:space="0" w:color="7F7F7F" w:themeColor="text1" w:themeTint="80"/>
            </w:tcBorders>
            <w:shd w:val="clear" w:color="auto" w:fill="auto"/>
          </w:tcPr>
          <w:p w:rsidR="00910074" w:rsidRPr="00932580" w:rsidRDefault="00910074" w:rsidP="00910074">
            <w:pPr>
              <w:jc w:val="center"/>
              <w:rPr>
                <w:i/>
                <w:iCs/>
              </w:rPr>
            </w:pPr>
            <w:r w:rsidRPr="00932580">
              <w:rPr>
                <w:i/>
                <w:iCs/>
              </w:rPr>
              <w:t>z toho: BV</w:t>
            </w:r>
          </w:p>
        </w:tc>
        <w:tc>
          <w:tcPr>
            <w:tcW w:w="626" w:type="pct"/>
            <w:tcBorders>
              <w:top w:val="nil"/>
              <w:bottom w:val="single" w:sz="4" w:space="0" w:color="7F7F7F" w:themeColor="text1" w:themeTint="80"/>
            </w:tcBorders>
            <w:shd w:val="clear" w:color="auto" w:fill="auto"/>
            <w:vAlign w:val="center"/>
          </w:tcPr>
          <w:p w:rsidR="00910074" w:rsidRPr="00932580" w:rsidRDefault="00910074" w:rsidP="00910074">
            <w:pPr>
              <w:jc w:val="right"/>
              <w:rPr>
                <w:i/>
                <w:iCs/>
              </w:rPr>
            </w:pPr>
            <w:r w:rsidRPr="00932580">
              <w:rPr>
                <w:i/>
                <w:iCs/>
              </w:rPr>
              <w:t>1 310</w:t>
            </w:r>
          </w:p>
        </w:tc>
        <w:tc>
          <w:tcPr>
            <w:tcW w:w="627" w:type="pct"/>
            <w:tcBorders>
              <w:top w:val="nil"/>
              <w:bottom w:val="single" w:sz="4" w:space="0" w:color="7F7F7F" w:themeColor="text1" w:themeTint="80"/>
            </w:tcBorders>
            <w:shd w:val="clear" w:color="auto" w:fill="auto"/>
            <w:vAlign w:val="center"/>
          </w:tcPr>
          <w:p w:rsidR="00910074" w:rsidRPr="00932580" w:rsidRDefault="00910074" w:rsidP="00910074">
            <w:pPr>
              <w:jc w:val="right"/>
              <w:rPr>
                <w:i/>
                <w:iCs/>
              </w:rPr>
            </w:pPr>
            <w:r w:rsidRPr="00932580">
              <w:rPr>
                <w:i/>
                <w:iCs/>
              </w:rPr>
              <w:t>0</w:t>
            </w:r>
          </w:p>
        </w:tc>
        <w:tc>
          <w:tcPr>
            <w:tcW w:w="626" w:type="pct"/>
            <w:tcBorders>
              <w:top w:val="nil"/>
              <w:bottom w:val="single" w:sz="4" w:space="0" w:color="7F7F7F" w:themeColor="text1" w:themeTint="80"/>
            </w:tcBorders>
            <w:shd w:val="clear" w:color="auto" w:fill="auto"/>
            <w:vAlign w:val="center"/>
          </w:tcPr>
          <w:p w:rsidR="00910074" w:rsidRPr="00932580" w:rsidRDefault="00910074" w:rsidP="00910074">
            <w:pPr>
              <w:jc w:val="right"/>
              <w:rPr>
                <w:i/>
                <w:iCs/>
              </w:rPr>
            </w:pPr>
            <w:r w:rsidRPr="00932580">
              <w:rPr>
                <w:i/>
                <w:iCs/>
              </w:rPr>
              <w:t>0</w:t>
            </w:r>
          </w:p>
        </w:tc>
        <w:tc>
          <w:tcPr>
            <w:tcW w:w="628" w:type="pct"/>
            <w:tcBorders>
              <w:top w:val="nil"/>
              <w:bottom w:val="single" w:sz="4" w:space="0" w:color="7F7F7F" w:themeColor="text1" w:themeTint="80"/>
            </w:tcBorders>
            <w:shd w:val="clear" w:color="auto" w:fill="auto"/>
            <w:vAlign w:val="center"/>
          </w:tcPr>
          <w:p w:rsidR="00910074" w:rsidRPr="00932580" w:rsidRDefault="00910074" w:rsidP="00910074">
            <w:pPr>
              <w:jc w:val="right"/>
              <w:rPr>
                <w:i/>
                <w:iCs/>
              </w:rPr>
            </w:pPr>
            <w:r w:rsidRPr="00932580">
              <w:rPr>
                <w:i/>
                <w:iCs/>
              </w:rPr>
              <w:t>0</w:t>
            </w:r>
          </w:p>
        </w:tc>
        <w:tc>
          <w:tcPr>
            <w:tcW w:w="626" w:type="pct"/>
            <w:tcBorders>
              <w:top w:val="nil"/>
              <w:bottom w:val="single" w:sz="4" w:space="0" w:color="7F7F7F" w:themeColor="text1" w:themeTint="80"/>
            </w:tcBorders>
            <w:shd w:val="clear" w:color="auto" w:fill="auto"/>
            <w:vAlign w:val="center"/>
          </w:tcPr>
          <w:p w:rsidR="00910074" w:rsidRPr="00932580" w:rsidRDefault="00910074" w:rsidP="00910074">
            <w:pPr>
              <w:jc w:val="right"/>
              <w:rPr>
                <w:i/>
                <w:iCs/>
              </w:rPr>
            </w:pPr>
            <w:r w:rsidRPr="00932580">
              <w:rPr>
                <w:i/>
                <w:iCs/>
              </w:rPr>
              <w:t>0</w:t>
            </w:r>
          </w:p>
        </w:tc>
        <w:tc>
          <w:tcPr>
            <w:tcW w:w="463" w:type="pct"/>
            <w:tcBorders>
              <w:top w:val="nil"/>
              <w:bottom w:val="single" w:sz="4" w:space="0" w:color="7F7F7F" w:themeColor="text1" w:themeTint="80"/>
            </w:tcBorders>
            <w:shd w:val="clear" w:color="auto" w:fill="auto"/>
            <w:vAlign w:val="center"/>
          </w:tcPr>
          <w:p w:rsidR="00910074" w:rsidRPr="00932580" w:rsidRDefault="00910074" w:rsidP="00910074">
            <w:pPr>
              <w:jc w:val="right"/>
              <w:rPr>
                <w:i/>
                <w:iCs/>
              </w:rPr>
            </w:pPr>
            <w:r w:rsidRPr="00932580">
              <w:rPr>
                <w:i/>
                <w:iCs/>
              </w:rPr>
              <w:t>0</w:t>
            </w:r>
          </w:p>
        </w:tc>
      </w:tr>
      <w:tr w:rsidR="00910074" w:rsidRPr="00932580" w:rsidTr="00910074">
        <w:tc>
          <w:tcPr>
            <w:tcW w:w="1405" w:type="pct"/>
            <w:tcBorders>
              <w:top w:val="single" w:sz="4" w:space="0" w:color="7F7F7F" w:themeColor="text1" w:themeTint="80"/>
              <w:bottom w:val="nil"/>
            </w:tcBorders>
            <w:shd w:val="clear" w:color="auto" w:fill="auto"/>
          </w:tcPr>
          <w:p w:rsidR="00910074" w:rsidRPr="00932580" w:rsidRDefault="00910074" w:rsidP="00910074">
            <w:pPr>
              <w:jc w:val="center"/>
            </w:pPr>
            <w:r w:rsidRPr="00932580">
              <w:t>127 03</w:t>
            </w:r>
          </w:p>
        </w:tc>
        <w:tc>
          <w:tcPr>
            <w:tcW w:w="626" w:type="pct"/>
            <w:tcBorders>
              <w:top w:val="single" w:sz="4" w:space="0" w:color="7F7F7F" w:themeColor="text1" w:themeTint="80"/>
              <w:bottom w:val="nil"/>
            </w:tcBorders>
            <w:shd w:val="clear" w:color="auto" w:fill="auto"/>
            <w:vAlign w:val="center"/>
          </w:tcPr>
          <w:p w:rsidR="00910074" w:rsidRPr="00932580" w:rsidRDefault="00910074" w:rsidP="00910074">
            <w:pPr>
              <w:jc w:val="right"/>
            </w:pPr>
            <w:r w:rsidRPr="00932580">
              <w:t xml:space="preserve">95 924 </w:t>
            </w:r>
          </w:p>
        </w:tc>
        <w:tc>
          <w:tcPr>
            <w:tcW w:w="627" w:type="pct"/>
            <w:tcBorders>
              <w:top w:val="single" w:sz="4" w:space="0" w:color="7F7F7F" w:themeColor="text1" w:themeTint="80"/>
              <w:bottom w:val="nil"/>
            </w:tcBorders>
            <w:shd w:val="clear" w:color="auto" w:fill="auto"/>
            <w:vAlign w:val="center"/>
          </w:tcPr>
          <w:p w:rsidR="00910074" w:rsidRPr="00932580" w:rsidRDefault="00910074" w:rsidP="00910074">
            <w:pPr>
              <w:jc w:val="center"/>
            </w:pPr>
            <w:r w:rsidRPr="00932580">
              <w:t xml:space="preserve">           78</w:t>
            </w:r>
          </w:p>
        </w:tc>
        <w:tc>
          <w:tcPr>
            <w:tcW w:w="626" w:type="pct"/>
            <w:tcBorders>
              <w:top w:val="single" w:sz="4" w:space="0" w:color="7F7F7F" w:themeColor="text1" w:themeTint="80"/>
              <w:bottom w:val="nil"/>
            </w:tcBorders>
            <w:shd w:val="clear" w:color="auto" w:fill="auto"/>
            <w:vAlign w:val="center"/>
          </w:tcPr>
          <w:p w:rsidR="00910074" w:rsidRPr="00932580" w:rsidRDefault="00910074" w:rsidP="00910074">
            <w:pPr>
              <w:jc w:val="right"/>
            </w:pPr>
            <w:r w:rsidRPr="00932580">
              <w:t>148 391</w:t>
            </w:r>
          </w:p>
        </w:tc>
        <w:tc>
          <w:tcPr>
            <w:tcW w:w="628" w:type="pct"/>
            <w:tcBorders>
              <w:top w:val="single" w:sz="4" w:space="0" w:color="7F7F7F" w:themeColor="text1" w:themeTint="80"/>
              <w:bottom w:val="nil"/>
            </w:tcBorders>
            <w:shd w:val="clear" w:color="auto" w:fill="auto"/>
            <w:vAlign w:val="center"/>
          </w:tcPr>
          <w:p w:rsidR="00910074" w:rsidRPr="00932580" w:rsidRDefault="00910074" w:rsidP="00910074">
            <w:pPr>
              <w:jc w:val="right"/>
            </w:pPr>
            <w:r w:rsidRPr="00932580">
              <w:t>287</w:t>
            </w:r>
          </w:p>
        </w:tc>
        <w:tc>
          <w:tcPr>
            <w:tcW w:w="626" w:type="pct"/>
            <w:tcBorders>
              <w:top w:val="single" w:sz="4" w:space="0" w:color="7F7F7F" w:themeColor="text1" w:themeTint="80"/>
              <w:bottom w:val="nil"/>
            </w:tcBorders>
            <w:shd w:val="clear" w:color="auto" w:fill="auto"/>
            <w:vAlign w:val="center"/>
          </w:tcPr>
          <w:p w:rsidR="00910074" w:rsidRPr="00932580" w:rsidRDefault="00910074" w:rsidP="00910074">
            <w:pPr>
              <w:jc w:val="right"/>
            </w:pPr>
            <w:r w:rsidRPr="00932580">
              <w:t>137 989</w:t>
            </w:r>
          </w:p>
        </w:tc>
        <w:tc>
          <w:tcPr>
            <w:tcW w:w="463" w:type="pct"/>
            <w:tcBorders>
              <w:top w:val="single" w:sz="4" w:space="0" w:color="7F7F7F" w:themeColor="text1" w:themeTint="80"/>
              <w:bottom w:val="nil"/>
            </w:tcBorders>
            <w:shd w:val="clear" w:color="auto" w:fill="auto"/>
            <w:vAlign w:val="center"/>
          </w:tcPr>
          <w:p w:rsidR="00910074" w:rsidRPr="00932580" w:rsidRDefault="00910074" w:rsidP="00910074">
            <w:pPr>
              <w:jc w:val="right"/>
            </w:pPr>
            <w:r w:rsidRPr="00932580">
              <w:t>0</w:t>
            </w:r>
          </w:p>
        </w:tc>
      </w:tr>
      <w:tr w:rsidR="00910074" w:rsidRPr="00932580" w:rsidTr="00910074">
        <w:tc>
          <w:tcPr>
            <w:tcW w:w="1405" w:type="pct"/>
            <w:tcBorders>
              <w:top w:val="nil"/>
              <w:bottom w:val="single" w:sz="4" w:space="0" w:color="7F7F7F" w:themeColor="text1" w:themeTint="80"/>
            </w:tcBorders>
            <w:shd w:val="clear" w:color="auto" w:fill="auto"/>
          </w:tcPr>
          <w:p w:rsidR="00910074" w:rsidRPr="00932580" w:rsidRDefault="00910074" w:rsidP="00910074">
            <w:pPr>
              <w:jc w:val="center"/>
              <w:rPr>
                <w:i/>
                <w:iCs/>
              </w:rPr>
            </w:pPr>
            <w:r w:rsidRPr="00932580">
              <w:rPr>
                <w:i/>
                <w:iCs/>
              </w:rPr>
              <w:t>z toho: BV</w:t>
            </w:r>
          </w:p>
        </w:tc>
        <w:tc>
          <w:tcPr>
            <w:tcW w:w="626" w:type="pct"/>
            <w:tcBorders>
              <w:top w:val="nil"/>
              <w:bottom w:val="single" w:sz="4" w:space="0" w:color="7F7F7F" w:themeColor="text1" w:themeTint="80"/>
            </w:tcBorders>
            <w:shd w:val="clear" w:color="auto" w:fill="auto"/>
            <w:vAlign w:val="center"/>
          </w:tcPr>
          <w:p w:rsidR="00910074" w:rsidRPr="00932580" w:rsidRDefault="00910074" w:rsidP="00910074">
            <w:pPr>
              <w:jc w:val="right"/>
              <w:rPr>
                <w:i/>
                <w:iCs/>
              </w:rPr>
            </w:pPr>
            <w:r w:rsidRPr="00932580">
              <w:rPr>
                <w:i/>
                <w:iCs/>
              </w:rPr>
              <w:t>69 697</w:t>
            </w:r>
          </w:p>
        </w:tc>
        <w:tc>
          <w:tcPr>
            <w:tcW w:w="627" w:type="pct"/>
            <w:tcBorders>
              <w:top w:val="nil"/>
              <w:bottom w:val="single" w:sz="4" w:space="0" w:color="7F7F7F" w:themeColor="text1" w:themeTint="80"/>
            </w:tcBorders>
            <w:shd w:val="clear" w:color="auto" w:fill="auto"/>
            <w:vAlign w:val="center"/>
          </w:tcPr>
          <w:p w:rsidR="00910074" w:rsidRPr="00932580" w:rsidRDefault="00910074" w:rsidP="00910074">
            <w:pPr>
              <w:jc w:val="right"/>
              <w:rPr>
                <w:i/>
                <w:iCs/>
              </w:rPr>
            </w:pPr>
            <w:r w:rsidRPr="00932580">
              <w:rPr>
                <w:i/>
                <w:iCs/>
              </w:rPr>
              <w:t>8</w:t>
            </w:r>
          </w:p>
        </w:tc>
        <w:tc>
          <w:tcPr>
            <w:tcW w:w="626" w:type="pct"/>
            <w:tcBorders>
              <w:top w:val="nil"/>
              <w:bottom w:val="single" w:sz="4" w:space="0" w:color="7F7F7F" w:themeColor="text1" w:themeTint="80"/>
            </w:tcBorders>
            <w:shd w:val="clear" w:color="auto" w:fill="auto"/>
            <w:vAlign w:val="center"/>
          </w:tcPr>
          <w:p w:rsidR="00910074" w:rsidRPr="00932580" w:rsidRDefault="00910074" w:rsidP="00910074">
            <w:pPr>
              <w:jc w:val="right"/>
              <w:rPr>
                <w:i/>
                <w:iCs/>
              </w:rPr>
            </w:pPr>
            <w:r w:rsidRPr="00932580">
              <w:rPr>
                <w:i/>
                <w:iCs/>
              </w:rPr>
              <w:t>79 354</w:t>
            </w:r>
          </w:p>
        </w:tc>
        <w:tc>
          <w:tcPr>
            <w:tcW w:w="628" w:type="pct"/>
            <w:tcBorders>
              <w:top w:val="nil"/>
              <w:bottom w:val="single" w:sz="4" w:space="0" w:color="7F7F7F" w:themeColor="text1" w:themeTint="80"/>
            </w:tcBorders>
            <w:shd w:val="clear" w:color="auto" w:fill="auto"/>
            <w:vAlign w:val="center"/>
          </w:tcPr>
          <w:p w:rsidR="00910074" w:rsidRPr="00932580" w:rsidRDefault="00910074" w:rsidP="00910074">
            <w:pPr>
              <w:jc w:val="right"/>
              <w:rPr>
                <w:i/>
                <w:iCs/>
              </w:rPr>
            </w:pPr>
            <w:r w:rsidRPr="00932580">
              <w:rPr>
                <w:i/>
                <w:iCs/>
              </w:rPr>
              <w:t>0</w:t>
            </w:r>
          </w:p>
        </w:tc>
        <w:tc>
          <w:tcPr>
            <w:tcW w:w="626" w:type="pct"/>
            <w:tcBorders>
              <w:top w:val="nil"/>
              <w:bottom w:val="single" w:sz="4" w:space="0" w:color="7F7F7F" w:themeColor="text1" w:themeTint="80"/>
            </w:tcBorders>
            <w:shd w:val="clear" w:color="auto" w:fill="auto"/>
            <w:vAlign w:val="center"/>
          </w:tcPr>
          <w:p w:rsidR="00910074" w:rsidRPr="00932580" w:rsidRDefault="00910074" w:rsidP="00910074">
            <w:pPr>
              <w:jc w:val="right"/>
              <w:rPr>
                <w:i/>
                <w:iCs/>
              </w:rPr>
            </w:pPr>
            <w:r w:rsidRPr="00932580">
              <w:rPr>
                <w:i/>
                <w:iCs/>
              </w:rPr>
              <w:t>84 413</w:t>
            </w:r>
          </w:p>
        </w:tc>
        <w:tc>
          <w:tcPr>
            <w:tcW w:w="463" w:type="pct"/>
            <w:tcBorders>
              <w:top w:val="nil"/>
              <w:bottom w:val="single" w:sz="4" w:space="0" w:color="7F7F7F" w:themeColor="text1" w:themeTint="80"/>
            </w:tcBorders>
            <w:shd w:val="clear" w:color="auto" w:fill="auto"/>
            <w:vAlign w:val="center"/>
          </w:tcPr>
          <w:p w:rsidR="00910074" w:rsidRPr="00932580" w:rsidRDefault="00910074" w:rsidP="00910074">
            <w:pPr>
              <w:jc w:val="right"/>
              <w:rPr>
                <w:i/>
                <w:iCs/>
              </w:rPr>
            </w:pPr>
            <w:r w:rsidRPr="00932580">
              <w:rPr>
                <w:i/>
                <w:iCs/>
              </w:rPr>
              <w:t>0</w:t>
            </w:r>
          </w:p>
        </w:tc>
      </w:tr>
      <w:tr w:rsidR="00910074" w:rsidRPr="00932580" w:rsidTr="00910074">
        <w:tc>
          <w:tcPr>
            <w:tcW w:w="1405" w:type="pct"/>
            <w:tcBorders>
              <w:top w:val="single" w:sz="8" w:space="0" w:color="7F7F7F" w:themeColor="text1" w:themeTint="80"/>
              <w:bottom w:val="single" w:sz="8" w:space="0" w:color="7F7F7F" w:themeColor="text1" w:themeTint="80"/>
            </w:tcBorders>
            <w:shd w:val="clear" w:color="auto" w:fill="auto"/>
          </w:tcPr>
          <w:p w:rsidR="00910074" w:rsidRPr="00C02263" w:rsidRDefault="00910074" w:rsidP="00910074">
            <w:pPr>
              <w:jc w:val="center"/>
              <w:rPr>
                <w:b/>
                <w:i/>
                <w:iCs/>
              </w:rPr>
            </w:pPr>
            <w:r w:rsidRPr="00C02263">
              <w:rPr>
                <w:b/>
                <w:bCs/>
              </w:rPr>
              <w:t>CELKEM</w:t>
            </w:r>
          </w:p>
        </w:tc>
        <w:tc>
          <w:tcPr>
            <w:tcW w:w="626" w:type="pct"/>
            <w:tcBorders>
              <w:top w:val="single" w:sz="8" w:space="0" w:color="7F7F7F" w:themeColor="text1" w:themeTint="80"/>
              <w:bottom w:val="single" w:sz="8" w:space="0" w:color="7F7F7F" w:themeColor="text1" w:themeTint="80"/>
            </w:tcBorders>
            <w:shd w:val="clear" w:color="auto" w:fill="auto"/>
            <w:vAlign w:val="center"/>
          </w:tcPr>
          <w:p w:rsidR="00910074" w:rsidRPr="00C02263" w:rsidRDefault="00920C8E" w:rsidP="00910074">
            <w:pPr>
              <w:jc w:val="right"/>
              <w:rPr>
                <w:b/>
                <w:iCs/>
              </w:rPr>
            </w:pPr>
            <w:r w:rsidRPr="00C02263">
              <w:rPr>
                <w:b/>
                <w:iCs/>
              </w:rPr>
              <w:t>99 686</w:t>
            </w:r>
          </w:p>
        </w:tc>
        <w:tc>
          <w:tcPr>
            <w:tcW w:w="627" w:type="pct"/>
            <w:tcBorders>
              <w:top w:val="single" w:sz="8" w:space="0" w:color="7F7F7F" w:themeColor="text1" w:themeTint="80"/>
              <w:bottom w:val="single" w:sz="8" w:space="0" w:color="7F7F7F" w:themeColor="text1" w:themeTint="80"/>
            </w:tcBorders>
            <w:shd w:val="clear" w:color="auto" w:fill="auto"/>
            <w:vAlign w:val="center"/>
          </w:tcPr>
          <w:p w:rsidR="00910074" w:rsidRPr="00C02263" w:rsidRDefault="00910074" w:rsidP="00910074">
            <w:pPr>
              <w:jc w:val="right"/>
              <w:rPr>
                <w:b/>
                <w:iCs/>
              </w:rPr>
            </w:pPr>
            <w:r w:rsidRPr="00C02263">
              <w:rPr>
                <w:b/>
                <w:iCs/>
              </w:rPr>
              <w:t>78</w:t>
            </w:r>
          </w:p>
        </w:tc>
        <w:tc>
          <w:tcPr>
            <w:tcW w:w="626" w:type="pct"/>
            <w:tcBorders>
              <w:top w:val="single" w:sz="8" w:space="0" w:color="7F7F7F" w:themeColor="text1" w:themeTint="80"/>
              <w:bottom w:val="single" w:sz="8" w:space="0" w:color="7F7F7F" w:themeColor="text1" w:themeTint="80"/>
            </w:tcBorders>
            <w:shd w:val="clear" w:color="auto" w:fill="auto"/>
            <w:vAlign w:val="center"/>
          </w:tcPr>
          <w:p w:rsidR="00910074" w:rsidRPr="00C02263" w:rsidRDefault="00910074" w:rsidP="00910074">
            <w:pPr>
              <w:jc w:val="right"/>
              <w:rPr>
                <w:b/>
                <w:iCs/>
              </w:rPr>
            </w:pPr>
            <w:r w:rsidRPr="00C02263">
              <w:rPr>
                <w:b/>
                <w:iCs/>
              </w:rPr>
              <w:t>148 391</w:t>
            </w:r>
          </w:p>
        </w:tc>
        <w:tc>
          <w:tcPr>
            <w:tcW w:w="628" w:type="pct"/>
            <w:tcBorders>
              <w:top w:val="single" w:sz="8" w:space="0" w:color="7F7F7F" w:themeColor="text1" w:themeTint="80"/>
              <w:bottom w:val="single" w:sz="8" w:space="0" w:color="7F7F7F" w:themeColor="text1" w:themeTint="80"/>
            </w:tcBorders>
            <w:shd w:val="clear" w:color="auto" w:fill="auto"/>
            <w:vAlign w:val="center"/>
          </w:tcPr>
          <w:p w:rsidR="00910074" w:rsidRPr="00C02263" w:rsidRDefault="00910074" w:rsidP="00910074">
            <w:pPr>
              <w:jc w:val="right"/>
              <w:rPr>
                <w:b/>
                <w:iCs/>
              </w:rPr>
            </w:pPr>
            <w:r w:rsidRPr="00C02263">
              <w:rPr>
                <w:b/>
                <w:iCs/>
              </w:rPr>
              <w:t>287</w:t>
            </w:r>
          </w:p>
        </w:tc>
        <w:tc>
          <w:tcPr>
            <w:tcW w:w="626" w:type="pct"/>
            <w:tcBorders>
              <w:top w:val="single" w:sz="8" w:space="0" w:color="7F7F7F" w:themeColor="text1" w:themeTint="80"/>
              <w:bottom w:val="single" w:sz="8" w:space="0" w:color="7F7F7F" w:themeColor="text1" w:themeTint="80"/>
            </w:tcBorders>
            <w:shd w:val="clear" w:color="auto" w:fill="auto"/>
            <w:vAlign w:val="center"/>
          </w:tcPr>
          <w:p w:rsidR="00910074" w:rsidRPr="00C02263" w:rsidRDefault="00910074" w:rsidP="00910074">
            <w:pPr>
              <w:jc w:val="right"/>
              <w:rPr>
                <w:b/>
                <w:iCs/>
              </w:rPr>
            </w:pPr>
            <w:r w:rsidRPr="00C02263">
              <w:rPr>
                <w:b/>
                <w:iCs/>
              </w:rPr>
              <w:t>137 989</w:t>
            </w:r>
          </w:p>
        </w:tc>
        <w:tc>
          <w:tcPr>
            <w:tcW w:w="463" w:type="pct"/>
            <w:tcBorders>
              <w:top w:val="single" w:sz="8" w:space="0" w:color="7F7F7F" w:themeColor="text1" w:themeTint="80"/>
              <w:bottom w:val="single" w:sz="8" w:space="0" w:color="7F7F7F" w:themeColor="text1" w:themeTint="80"/>
            </w:tcBorders>
            <w:shd w:val="clear" w:color="auto" w:fill="auto"/>
            <w:vAlign w:val="center"/>
          </w:tcPr>
          <w:p w:rsidR="00910074" w:rsidRPr="00C02263" w:rsidRDefault="00910074" w:rsidP="00910074">
            <w:pPr>
              <w:jc w:val="right"/>
              <w:rPr>
                <w:b/>
                <w:iCs/>
              </w:rPr>
            </w:pPr>
            <w:r w:rsidRPr="00C02263">
              <w:rPr>
                <w:b/>
                <w:iCs/>
              </w:rPr>
              <w:t>0</w:t>
            </w:r>
          </w:p>
        </w:tc>
      </w:tr>
    </w:tbl>
    <w:p w:rsidR="00910074" w:rsidRPr="00932580" w:rsidRDefault="00910074" w:rsidP="00E447C1">
      <w:pPr>
        <w:pStyle w:val="Styl1"/>
      </w:pPr>
      <w:r w:rsidRPr="00932580">
        <w:t>Pro Ú</w:t>
      </w:r>
      <w:r w:rsidRPr="00932580">
        <w:rPr>
          <w:bCs/>
        </w:rPr>
        <w:t xml:space="preserve">střední orgán MD jsou </w:t>
      </w:r>
      <w:r w:rsidRPr="00932580">
        <w:t xml:space="preserve">navrženy výdaje na programové financování v celkové výši </w:t>
      </w:r>
      <w:r w:rsidRPr="00932580">
        <w:br/>
      </w:r>
      <w:r w:rsidRPr="00932580">
        <w:rPr>
          <w:b/>
        </w:rPr>
        <w:t>137 989</w:t>
      </w:r>
      <w:r w:rsidRPr="00932580">
        <w:rPr>
          <w:b/>
          <w:bCs/>
        </w:rPr>
        <w:t xml:space="preserve"> tis. Kč</w:t>
      </w:r>
      <w:r w:rsidRPr="00932580">
        <w:t>, z toho kapitálové výdaje 53 576 tis. Kč a běžné výdaje 84 413 tis. Kč.</w:t>
      </w:r>
    </w:p>
    <w:p w:rsidR="00E447C1" w:rsidRDefault="00E447C1" w:rsidP="00E447C1">
      <w:pPr>
        <w:pStyle w:val="Styl1"/>
      </w:pPr>
    </w:p>
    <w:p w:rsidR="00E447C1" w:rsidRDefault="00E447C1" w:rsidP="00E447C1">
      <w:pPr>
        <w:pStyle w:val="Styl1"/>
      </w:pPr>
    </w:p>
    <w:p w:rsidR="00E447C1" w:rsidRDefault="00E447C1" w:rsidP="00E447C1">
      <w:pPr>
        <w:pStyle w:val="Styl1"/>
      </w:pPr>
    </w:p>
    <w:p w:rsidR="00910074" w:rsidRPr="00932580" w:rsidRDefault="00910074" w:rsidP="00E447C1">
      <w:pPr>
        <w:pStyle w:val="Styl1"/>
      </w:pPr>
      <w:r w:rsidRPr="00932580">
        <w:lastRenderedPageBreak/>
        <w:t xml:space="preserve">Celková částka </w:t>
      </w:r>
      <w:r w:rsidRPr="00932580">
        <w:rPr>
          <w:b/>
        </w:rPr>
        <w:t>137 989 tis. Kč</w:t>
      </w:r>
      <w:r w:rsidRPr="00932580">
        <w:t xml:space="preserve"> bude využita v programu 127 03:</w:t>
      </w:r>
    </w:p>
    <w:p w:rsidR="00910074" w:rsidRPr="00932580" w:rsidRDefault="00910074" w:rsidP="00E447C1">
      <w:pPr>
        <w:pStyle w:val="Styl1"/>
        <w:numPr>
          <w:ilvl w:val="0"/>
          <w:numId w:val="41"/>
        </w:numPr>
      </w:pPr>
      <w:r w:rsidRPr="00932580">
        <w:t xml:space="preserve">ve výši 129 669 tis. Kč na financování subtitulu 127V0310 „Pořízení, obnova </w:t>
      </w:r>
      <w:r w:rsidRPr="00932580">
        <w:br/>
        <w:t>a provozován</w:t>
      </w:r>
      <w:r w:rsidR="00920C8E">
        <w:t>í ICT systému řízení MD“ (v tom:</w:t>
      </w:r>
      <w:r w:rsidRPr="00932580">
        <w:t xml:space="preserve"> kapitálové výdaje 45 256</w:t>
      </w:r>
      <w:r w:rsidR="00920C8E">
        <w:t xml:space="preserve"> tis. Kč </w:t>
      </w:r>
      <w:r w:rsidR="00920C8E">
        <w:br/>
        <w:t>a běžné výdaje 84 413</w:t>
      </w:r>
      <w:r w:rsidRPr="00932580">
        <w:t xml:space="preserve"> tis. Kč)</w:t>
      </w:r>
    </w:p>
    <w:p w:rsidR="00910074" w:rsidRPr="00932580" w:rsidRDefault="00910074" w:rsidP="00E447C1">
      <w:pPr>
        <w:pStyle w:val="Styl1"/>
        <w:numPr>
          <w:ilvl w:val="0"/>
          <w:numId w:val="30"/>
        </w:numPr>
      </w:pPr>
      <w:r w:rsidRPr="00932580">
        <w:t>ve výši 8 320 tis. Kč na financování subtitulu 127V0320 „Rozvoj a obnova materiáln</w:t>
      </w:r>
      <w:r w:rsidR="0026316A">
        <w:t>ě technické základny MD“ (v tom:</w:t>
      </w:r>
      <w:r w:rsidRPr="00932580">
        <w:t xml:space="preserve"> kapitálové výdaje 8 320 tis. Kč)</w:t>
      </w:r>
    </w:p>
    <w:p w:rsidR="00910074" w:rsidRPr="00932580" w:rsidRDefault="00910074" w:rsidP="00E447C1">
      <w:pPr>
        <w:pStyle w:val="Styl1"/>
        <w:rPr>
          <w:b/>
        </w:rPr>
      </w:pPr>
      <w:r w:rsidRPr="00932580">
        <w:t xml:space="preserve">Celkový objem </w:t>
      </w:r>
      <w:r w:rsidRPr="00932580">
        <w:rPr>
          <w:b/>
        </w:rPr>
        <w:t xml:space="preserve">kapitálových výdajů </w:t>
      </w:r>
      <w:r w:rsidRPr="00932580">
        <w:t xml:space="preserve">ve výši </w:t>
      </w:r>
      <w:r w:rsidRPr="00932580">
        <w:rPr>
          <w:b/>
        </w:rPr>
        <w:t xml:space="preserve">53 576 tis. Kč </w:t>
      </w:r>
      <w:r w:rsidRPr="00932580">
        <w:t xml:space="preserve">bude vyčleněn </w:t>
      </w:r>
      <w:r w:rsidR="00C154F6">
        <w:t xml:space="preserve">zejména </w:t>
      </w:r>
      <w:r w:rsidRPr="00932580">
        <w:t xml:space="preserve">na zajištění rozvoje aplikace Registru silničních vozidel (12 856 tis. Kč), na rozvoj informačního systému technických prohlídek (6 655 tis. Kč), rozvoj IS CRŘ dle legislativních požadavků </w:t>
      </w:r>
      <w:r w:rsidR="00E447C1">
        <w:br/>
      </w:r>
      <w:r w:rsidRPr="00932580">
        <w:t>(3 000 tis. Kč), na pořízení nového IS „námořní plavby“ (6 059 tis. Kč), pořízení příslušného HW pro zálohování provozních dat, obnovu serverové infrastruktury či rozšíření</w:t>
      </w:r>
      <w:r w:rsidR="00E447C1">
        <w:t xml:space="preserve"> počítačové sítě </w:t>
      </w:r>
      <w:r w:rsidRPr="00932580">
        <w:t>(6 669 tis. Kč), nebo na rozvoj IS Digitálního tachografu (2 178 tis. Kč). Další investice jsou plánovány do pořízení nových bezpečnostních technologií, např. zvýšení plášťové ochrany budovy, výměny kamer a komponentů bezpečnostní sítě (2 150 tis. Kč), obnovy vozového parku (4 500 tis. Kč) či na technické zhodnocení vnitřních prostor budovy (1 670 tis. Kč).</w:t>
      </w:r>
    </w:p>
    <w:p w:rsidR="00910074" w:rsidRPr="00932580" w:rsidRDefault="00910074" w:rsidP="00E447C1">
      <w:pPr>
        <w:pStyle w:val="Styl1"/>
      </w:pPr>
      <w:r w:rsidRPr="00932580">
        <w:t>V </w:t>
      </w:r>
      <w:r w:rsidRPr="00932580">
        <w:rPr>
          <w:b/>
        </w:rPr>
        <w:t>běžných výdajích</w:t>
      </w:r>
      <w:r w:rsidRPr="00932580">
        <w:t>,</w:t>
      </w:r>
      <w:r w:rsidRPr="00932580">
        <w:rPr>
          <w:b/>
        </w:rPr>
        <w:t xml:space="preserve"> </w:t>
      </w:r>
      <w:r w:rsidRPr="00932580">
        <w:t>jejichž celková hodnota je</w:t>
      </w:r>
      <w:r w:rsidRPr="00932580">
        <w:rPr>
          <w:b/>
        </w:rPr>
        <w:t xml:space="preserve"> 84 413 tis. Kč</w:t>
      </w:r>
      <w:r w:rsidRPr="00932580">
        <w:t xml:space="preserve">, jsou </w:t>
      </w:r>
      <w:r w:rsidR="00C154F6">
        <w:t xml:space="preserve">zejména zahrnuty prostředky </w:t>
      </w:r>
      <w:r w:rsidRPr="00932580">
        <w:t>na zajištění podpory a provozu IS na výrobu a personalizaci karet Digitálního tachografu (35 565 tis. Kč), Systému národního tarifu (24 809 tis.</w:t>
      </w:r>
      <w:r w:rsidR="00C154F6">
        <w:t xml:space="preserve"> Kč), IS Technických prohlídek </w:t>
      </w:r>
      <w:r w:rsidRPr="00932580">
        <w:t>(14 874 tis. Kč) či na poskytování služeb zajištění pořízení digitalizované foto a digi podpisu na ORP (4 256 tis Kč).</w:t>
      </w:r>
    </w:p>
    <w:p w:rsidR="00910074" w:rsidRPr="00932580" w:rsidRDefault="00910074" w:rsidP="00E447C1">
      <w:pPr>
        <w:pStyle w:val="Nadpis9"/>
        <w:rPr>
          <w:lang w:eastAsia="cs-CZ"/>
        </w:rPr>
      </w:pPr>
      <w:r w:rsidRPr="00932580">
        <w:rPr>
          <w:lang w:eastAsia="cs-CZ"/>
        </w:rPr>
        <w:t>Úřad pro civilní letectví</w:t>
      </w:r>
    </w:p>
    <w:p w:rsidR="00910074" w:rsidRPr="00932580" w:rsidRDefault="00910074" w:rsidP="00910074">
      <w:pPr>
        <w:keepNext/>
        <w:spacing w:before="120" w:after="120"/>
        <w:rPr>
          <w:rFonts w:eastAsia="Times New Roman" w:cs="Times New Roman"/>
          <w:b/>
          <w:bCs/>
          <w:noProof/>
          <w:sz w:val="20"/>
          <w:szCs w:val="20"/>
          <w:lang w:eastAsia="cs-CZ"/>
        </w:rPr>
      </w:pPr>
      <w:r w:rsidRPr="00932580">
        <w:rPr>
          <w:rFonts w:eastAsia="Times New Roman" w:cs="Times New Roman"/>
          <w:b/>
          <w:bCs/>
          <w:sz w:val="20"/>
          <w:szCs w:val="20"/>
          <w:lang w:eastAsia="cs-CZ"/>
        </w:rPr>
        <w:t xml:space="preserve">Tabulka č. </w:t>
      </w:r>
      <w:r w:rsidRPr="00932580">
        <w:rPr>
          <w:rFonts w:eastAsia="Times New Roman" w:cs="Times New Roman"/>
          <w:b/>
          <w:bCs/>
          <w:noProof/>
          <w:sz w:val="20"/>
          <w:szCs w:val="20"/>
          <w:lang w:eastAsia="cs-CZ"/>
        </w:rPr>
        <w:fldChar w:fldCharType="begin"/>
      </w:r>
      <w:r w:rsidRPr="00932580">
        <w:rPr>
          <w:rFonts w:eastAsia="Times New Roman" w:cs="Times New Roman"/>
          <w:b/>
          <w:bCs/>
          <w:noProof/>
          <w:sz w:val="20"/>
          <w:szCs w:val="20"/>
          <w:lang w:eastAsia="cs-CZ"/>
        </w:rPr>
        <w:instrText xml:space="preserve"> SEQ Tabulka \* ARABIC </w:instrText>
      </w:r>
      <w:r w:rsidRPr="00932580">
        <w:rPr>
          <w:rFonts w:eastAsia="Times New Roman" w:cs="Times New Roman"/>
          <w:b/>
          <w:bCs/>
          <w:noProof/>
          <w:sz w:val="20"/>
          <w:szCs w:val="20"/>
          <w:lang w:eastAsia="cs-CZ"/>
        </w:rPr>
        <w:fldChar w:fldCharType="separate"/>
      </w:r>
      <w:r w:rsidR="006076E7">
        <w:rPr>
          <w:rFonts w:eastAsia="Times New Roman" w:cs="Times New Roman"/>
          <w:b/>
          <w:bCs/>
          <w:noProof/>
          <w:sz w:val="20"/>
          <w:szCs w:val="20"/>
          <w:lang w:eastAsia="cs-CZ"/>
        </w:rPr>
        <w:t>30</w:t>
      </w:r>
      <w:r w:rsidRPr="00932580">
        <w:rPr>
          <w:rFonts w:eastAsia="Times New Roman" w:cs="Times New Roman"/>
          <w:b/>
          <w:bCs/>
          <w:noProof/>
          <w:sz w:val="20"/>
          <w:szCs w:val="20"/>
          <w:lang w:eastAsia="cs-CZ"/>
        </w:rPr>
        <w:fldChar w:fldCharType="end"/>
      </w:r>
      <w:r w:rsidRPr="00932580">
        <w:rPr>
          <w:rFonts w:eastAsia="Times New Roman" w:cs="Times New Roman"/>
          <w:b/>
          <w:bCs/>
          <w:noProof/>
          <w:sz w:val="20"/>
          <w:szCs w:val="20"/>
          <w:lang w:eastAsia="cs-CZ"/>
        </w:rPr>
        <w:t xml:space="preserve"> Výdaje Úřadu pro civilní letectví vedené v EDS/SMVS (v tis. Kč)</w:t>
      </w:r>
    </w:p>
    <w:tbl>
      <w:tblPr>
        <w:tblStyle w:val="Svtltabulkasmkou1zvraznn52"/>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910074" w:rsidRPr="00932580" w:rsidTr="00910074">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C02263" w:rsidRDefault="00910074" w:rsidP="00910074">
            <w:pPr>
              <w:jc w:val="center"/>
              <w:rPr>
                <w:b/>
                <w:bCs/>
              </w:rPr>
            </w:pPr>
            <w:r w:rsidRPr="00C02263">
              <w:rPr>
                <w:b/>
                <w:bCs/>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C02263" w:rsidRDefault="00910074" w:rsidP="00910074">
            <w:pPr>
              <w:jc w:val="center"/>
              <w:rPr>
                <w:b/>
                <w:bCs/>
              </w:rPr>
            </w:pPr>
            <w:r w:rsidRPr="00C02263">
              <w:rPr>
                <w:b/>
                <w:bCs/>
              </w:rPr>
              <w:t xml:space="preserve">Skutečnost </w:t>
            </w:r>
            <w:r w:rsidRPr="00C02263">
              <w:rPr>
                <w:b/>
                <w:bCs/>
              </w:rPr>
              <w:br/>
              <w:t>2019</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C02263" w:rsidRDefault="00910074" w:rsidP="00910074">
            <w:pPr>
              <w:jc w:val="center"/>
              <w:rPr>
                <w:b/>
                <w:bCs/>
              </w:rPr>
            </w:pPr>
            <w:r w:rsidRPr="00C02263">
              <w:rPr>
                <w:b/>
                <w:bCs/>
              </w:rPr>
              <w:t>Schválený rozpočet 2020</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C02263" w:rsidRDefault="00910074" w:rsidP="00910074">
            <w:pPr>
              <w:jc w:val="center"/>
              <w:rPr>
                <w:b/>
                <w:bCs/>
              </w:rPr>
            </w:pPr>
            <w:r w:rsidRPr="00C02263">
              <w:rPr>
                <w:b/>
                <w:bCs/>
              </w:rPr>
              <w:t xml:space="preserve">Návrh rozpočtu </w:t>
            </w:r>
            <w:r w:rsidRPr="00C02263">
              <w:rPr>
                <w:b/>
                <w:bCs/>
              </w:rPr>
              <w:br/>
              <w:t>2021</w:t>
            </w:r>
          </w:p>
        </w:tc>
      </w:tr>
      <w:tr w:rsidR="00910074" w:rsidRPr="00932580" w:rsidTr="00910074">
        <w:tc>
          <w:tcPr>
            <w:tcW w:w="2263" w:type="dxa"/>
            <w:tcBorders>
              <w:top w:val="single" w:sz="4" w:space="0" w:color="7F7F7F" w:themeColor="text1" w:themeTint="80"/>
            </w:tcBorders>
            <w:shd w:val="clear" w:color="auto" w:fill="auto"/>
          </w:tcPr>
          <w:p w:rsidR="00910074" w:rsidRPr="00932580" w:rsidRDefault="00910074" w:rsidP="00910074">
            <w:pPr>
              <w:jc w:val="center"/>
            </w:pPr>
            <w:r w:rsidRPr="00932580">
              <w:t>127 01</w:t>
            </w:r>
          </w:p>
        </w:tc>
        <w:tc>
          <w:tcPr>
            <w:tcW w:w="2266" w:type="dxa"/>
            <w:tcBorders>
              <w:top w:val="single" w:sz="4" w:space="0" w:color="7F7F7F" w:themeColor="text1" w:themeTint="80"/>
            </w:tcBorders>
            <w:shd w:val="clear" w:color="auto" w:fill="auto"/>
            <w:vAlign w:val="center"/>
          </w:tcPr>
          <w:p w:rsidR="00910074" w:rsidRPr="00932580" w:rsidRDefault="00910074" w:rsidP="00910074">
            <w:pPr>
              <w:jc w:val="right"/>
            </w:pPr>
            <w:r w:rsidRPr="00932580">
              <w:t>0</w:t>
            </w:r>
          </w:p>
        </w:tc>
        <w:tc>
          <w:tcPr>
            <w:tcW w:w="2264" w:type="dxa"/>
            <w:tcBorders>
              <w:top w:val="single" w:sz="4" w:space="0" w:color="7F7F7F" w:themeColor="text1" w:themeTint="80"/>
            </w:tcBorders>
            <w:shd w:val="clear" w:color="auto" w:fill="auto"/>
            <w:vAlign w:val="center"/>
          </w:tcPr>
          <w:p w:rsidR="00910074" w:rsidRPr="00932580" w:rsidRDefault="00910074" w:rsidP="00910074">
            <w:pPr>
              <w:jc w:val="right"/>
            </w:pPr>
            <w:r w:rsidRPr="00932580">
              <w:t>0</w:t>
            </w:r>
          </w:p>
        </w:tc>
        <w:tc>
          <w:tcPr>
            <w:tcW w:w="2257" w:type="dxa"/>
            <w:tcBorders>
              <w:top w:val="single" w:sz="4" w:space="0" w:color="7F7F7F" w:themeColor="text1" w:themeTint="80"/>
            </w:tcBorders>
            <w:shd w:val="clear" w:color="auto" w:fill="auto"/>
            <w:vAlign w:val="center"/>
          </w:tcPr>
          <w:p w:rsidR="00910074" w:rsidRPr="00932580" w:rsidRDefault="00910074" w:rsidP="00910074">
            <w:pPr>
              <w:jc w:val="right"/>
            </w:pPr>
            <w:r w:rsidRPr="00932580">
              <w:t xml:space="preserve">0 </w:t>
            </w:r>
          </w:p>
        </w:tc>
      </w:tr>
      <w:tr w:rsidR="00910074" w:rsidRPr="00932580" w:rsidTr="00910074">
        <w:tc>
          <w:tcPr>
            <w:tcW w:w="2263" w:type="dxa"/>
            <w:tcBorders>
              <w:bottom w:val="single" w:sz="8" w:space="0" w:color="7F7F7F" w:themeColor="text1" w:themeTint="80"/>
            </w:tcBorders>
            <w:shd w:val="clear" w:color="auto" w:fill="auto"/>
          </w:tcPr>
          <w:p w:rsidR="00910074" w:rsidRPr="00932580" w:rsidRDefault="00910074" w:rsidP="00910074">
            <w:pPr>
              <w:jc w:val="center"/>
            </w:pPr>
            <w:r w:rsidRPr="00932580">
              <w:rPr>
                <w:iCs/>
              </w:rPr>
              <w:t>127 03</w:t>
            </w:r>
          </w:p>
        </w:tc>
        <w:tc>
          <w:tcPr>
            <w:tcW w:w="2266" w:type="dxa"/>
            <w:tcBorders>
              <w:bottom w:val="single" w:sz="8" w:space="0" w:color="7F7F7F" w:themeColor="text1" w:themeTint="80"/>
            </w:tcBorders>
            <w:shd w:val="clear" w:color="auto" w:fill="auto"/>
            <w:vAlign w:val="center"/>
          </w:tcPr>
          <w:p w:rsidR="00910074" w:rsidRPr="00932580" w:rsidRDefault="00910074" w:rsidP="00910074">
            <w:pPr>
              <w:jc w:val="right"/>
              <w:rPr>
                <w:iCs/>
              </w:rPr>
            </w:pPr>
            <w:r w:rsidRPr="00932580">
              <w:rPr>
                <w:iCs/>
              </w:rPr>
              <w:t xml:space="preserve"> 3 629  </w:t>
            </w:r>
          </w:p>
        </w:tc>
        <w:tc>
          <w:tcPr>
            <w:tcW w:w="2264" w:type="dxa"/>
            <w:tcBorders>
              <w:bottom w:val="single" w:sz="8" w:space="0" w:color="7F7F7F" w:themeColor="text1" w:themeTint="80"/>
            </w:tcBorders>
            <w:shd w:val="clear" w:color="auto" w:fill="auto"/>
            <w:vAlign w:val="center"/>
          </w:tcPr>
          <w:p w:rsidR="00910074" w:rsidRPr="00932580" w:rsidRDefault="00910074" w:rsidP="00910074">
            <w:pPr>
              <w:jc w:val="right"/>
              <w:rPr>
                <w:iCs/>
              </w:rPr>
            </w:pPr>
            <w:r w:rsidRPr="00932580">
              <w:rPr>
                <w:iCs/>
              </w:rPr>
              <w:t>7 950</w:t>
            </w:r>
          </w:p>
        </w:tc>
        <w:tc>
          <w:tcPr>
            <w:tcW w:w="2257" w:type="dxa"/>
            <w:tcBorders>
              <w:bottom w:val="single" w:sz="8" w:space="0" w:color="7F7F7F" w:themeColor="text1" w:themeTint="80"/>
            </w:tcBorders>
            <w:shd w:val="clear" w:color="auto" w:fill="auto"/>
            <w:vAlign w:val="center"/>
          </w:tcPr>
          <w:p w:rsidR="00910074" w:rsidRPr="00932580" w:rsidRDefault="00910074" w:rsidP="00910074">
            <w:pPr>
              <w:jc w:val="right"/>
              <w:rPr>
                <w:iCs/>
              </w:rPr>
            </w:pPr>
            <w:r w:rsidRPr="00932580">
              <w:rPr>
                <w:iCs/>
              </w:rPr>
              <w:t>3 700</w:t>
            </w:r>
          </w:p>
        </w:tc>
      </w:tr>
      <w:tr w:rsidR="00910074" w:rsidRPr="00932580" w:rsidTr="00910074">
        <w:tc>
          <w:tcPr>
            <w:tcW w:w="2263" w:type="dxa"/>
            <w:tcBorders>
              <w:top w:val="single" w:sz="8" w:space="0" w:color="7F7F7F" w:themeColor="text1" w:themeTint="80"/>
              <w:bottom w:val="single" w:sz="8" w:space="0" w:color="7F7F7F" w:themeColor="text1" w:themeTint="80"/>
            </w:tcBorders>
            <w:shd w:val="clear" w:color="auto" w:fill="auto"/>
          </w:tcPr>
          <w:p w:rsidR="00910074" w:rsidRPr="00C02263" w:rsidRDefault="00910074" w:rsidP="00910074">
            <w:pPr>
              <w:jc w:val="center"/>
              <w:rPr>
                <w:b/>
                <w:iCs/>
              </w:rPr>
            </w:pPr>
            <w:r w:rsidRPr="00C02263">
              <w:rPr>
                <w:b/>
                <w:bCs/>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rsidR="00910074" w:rsidRPr="00C02263" w:rsidRDefault="00910074" w:rsidP="00910074">
            <w:pPr>
              <w:jc w:val="right"/>
              <w:rPr>
                <w:b/>
                <w:iCs/>
              </w:rPr>
            </w:pPr>
            <w:r w:rsidRPr="00C02263">
              <w:rPr>
                <w:b/>
                <w:iCs/>
              </w:rPr>
              <w:t>3 629</w:t>
            </w:r>
          </w:p>
        </w:tc>
        <w:tc>
          <w:tcPr>
            <w:tcW w:w="2264" w:type="dxa"/>
            <w:tcBorders>
              <w:top w:val="single" w:sz="8" w:space="0" w:color="7F7F7F" w:themeColor="text1" w:themeTint="80"/>
              <w:bottom w:val="single" w:sz="8" w:space="0" w:color="7F7F7F" w:themeColor="text1" w:themeTint="80"/>
            </w:tcBorders>
            <w:shd w:val="clear" w:color="auto" w:fill="auto"/>
            <w:vAlign w:val="center"/>
          </w:tcPr>
          <w:p w:rsidR="00910074" w:rsidRPr="00C02263" w:rsidRDefault="00910074" w:rsidP="00910074">
            <w:pPr>
              <w:jc w:val="right"/>
              <w:rPr>
                <w:b/>
                <w:iCs/>
              </w:rPr>
            </w:pPr>
            <w:r w:rsidRPr="00C02263">
              <w:rPr>
                <w:b/>
                <w:iCs/>
              </w:rPr>
              <w:t>7 950</w:t>
            </w:r>
          </w:p>
        </w:tc>
        <w:tc>
          <w:tcPr>
            <w:tcW w:w="2257" w:type="dxa"/>
            <w:tcBorders>
              <w:top w:val="single" w:sz="8" w:space="0" w:color="7F7F7F" w:themeColor="text1" w:themeTint="80"/>
              <w:bottom w:val="single" w:sz="8" w:space="0" w:color="7F7F7F" w:themeColor="text1" w:themeTint="80"/>
            </w:tcBorders>
            <w:shd w:val="clear" w:color="auto" w:fill="auto"/>
            <w:vAlign w:val="center"/>
          </w:tcPr>
          <w:p w:rsidR="00910074" w:rsidRPr="00C02263" w:rsidRDefault="00910074" w:rsidP="00910074">
            <w:pPr>
              <w:jc w:val="right"/>
              <w:rPr>
                <w:b/>
                <w:iCs/>
              </w:rPr>
            </w:pPr>
            <w:r w:rsidRPr="00C02263">
              <w:rPr>
                <w:b/>
                <w:iCs/>
              </w:rPr>
              <w:t>3 700</w:t>
            </w:r>
          </w:p>
        </w:tc>
      </w:tr>
    </w:tbl>
    <w:p w:rsidR="00910074" w:rsidRPr="00932580" w:rsidRDefault="00910074" w:rsidP="00E447C1">
      <w:pPr>
        <w:pStyle w:val="Styl1"/>
      </w:pPr>
      <w:r w:rsidRPr="00932580">
        <w:rPr>
          <w:b/>
        </w:rPr>
        <w:t>Kapitálové výdaje</w:t>
      </w:r>
      <w:r w:rsidRPr="00932580">
        <w:t xml:space="preserve"> ve výši </w:t>
      </w:r>
      <w:r w:rsidRPr="00932580">
        <w:rPr>
          <w:b/>
        </w:rPr>
        <w:t>3 700</w:t>
      </w:r>
      <w:r w:rsidRPr="00932580">
        <w:rPr>
          <w:b/>
          <w:bCs/>
        </w:rPr>
        <w:t xml:space="preserve"> tis. Kč </w:t>
      </w:r>
      <w:r w:rsidRPr="00932580">
        <w:t xml:space="preserve">určené pro </w:t>
      </w:r>
      <w:r w:rsidRPr="00932580">
        <w:rPr>
          <w:b/>
          <w:bCs/>
        </w:rPr>
        <w:t>Úřad pro civilní letectví</w:t>
      </w:r>
      <w:r w:rsidRPr="00932580">
        <w:t xml:space="preserve"> v programu </w:t>
      </w:r>
      <w:r w:rsidRPr="00932580">
        <w:br/>
        <w:t xml:space="preserve">127 03 budou použity v subtitulu ICT na technické zhodnocení softwarového vybavení telefonní ústředny (1 200 tis. Kč). Dále je plánována obměna serverů a diskových polí pro informační systém a spisovou službu organizace (2 500 tis. Kč). </w:t>
      </w:r>
    </w:p>
    <w:p w:rsidR="00910074" w:rsidRPr="00932580" w:rsidRDefault="00910074" w:rsidP="00E447C1">
      <w:pPr>
        <w:pStyle w:val="Nadpis9"/>
        <w:rPr>
          <w:lang w:eastAsia="cs-CZ"/>
        </w:rPr>
      </w:pPr>
      <w:r w:rsidRPr="00932580">
        <w:rPr>
          <w:lang w:eastAsia="cs-CZ"/>
        </w:rPr>
        <w:t>Státní plavební správa</w:t>
      </w:r>
    </w:p>
    <w:p w:rsidR="00910074" w:rsidRPr="00932580" w:rsidRDefault="00910074" w:rsidP="00910074">
      <w:pPr>
        <w:keepNext/>
        <w:spacing w:before="120" w:after="120"/>
        <w:rPr>
          <w:rFonts w:eastAsia="Times New Roman" w:cs="Times New Roman"/>
          <w:b/>
          <w:bCs/>
          <w:noProof/>
          <w:sz w:val="20"/>
          <w:szCs w:val="20"/>
          <w:lang w:eastAsia="cs-CZ"/>
        </w:rPr>
      </w:pPr>
      <w:r w:rsidRPr="00932580">
        <w:rPr>
          <w:rFonts w:eastAsia="Times New Roman" w:cs="Times New Roman"/>
          <w:b/>
          <w:bCs/>
          <w:sz w:val="20"/>
          <w:szCs w:val="20"/>
          <w:lang w:eastAsia="cs-CZ"/>
        </w:rPr>
        <w:t xml:space="preserve">Tabulka č. </w:t>
      </w:r>
      <w:r w:rsidRPr="00932580">
        <w:rPr>
          <w:rFonts w:eastAsia="Times New Roman" w:cs="Times New Roman"/>
          <w:b/>
          <w:bCs/>
          <w:noProof/>
          <w:sz w:val="20"/>
          <w:szCs w:val="20"/>
          <w:lang w:eastAsia="cs-CZ"/>
        </w:rPr>
        <w:fldChar w:fldCharType="begin"/>
      </w:r>
      <w:r w:rsidRPr="00932580">
        <w:rPr>
          <w:rFonts w:eastAsia="Times New Roman" w:cs="Times New Roman"/>
          <w:b/>
          <w:bCs/>
          <w:noProof/>
          <w:sz w:val="20"/>
          <w:szCs w:val="20"/>
          <w:lang w:eastAsia="cs-CZ"/>
        </w:rPr>
        <w:instrText xml:space="preserve"> SEQ Tabulka \* ARABIC </w:instrText>
      </w:r>
      <w:r w:rsidRPr="00932580">
        <w:rPr>
          <w:rFonts w:eastAsia="Times New Roman" w:cs="Times New Roman"/>
          <w:b/>
          <w:bCs/>
          <w:noProof/>
          <w:sz w:val="20"/>
          <w:szCs w:val="20"/>
          <w:lang w:eastAsia="cs-CZ"/>
        </w:rPr>
        <w:fldChar w:fldCharType="separate"/>
      </w:r>
      <w:r w:rsidR="006076E7">
        <w:rPr>
          <w:rFonts w:eastAsia="Times New Roman" w:cs="Times New Roman"/>
          <w:b/>
          <w:bCs/>
          <w:noProof/>
          <w:sz w:val="20"/>
          <w:szCs w:val="20"/>
          <w:lang w:eastAsia="cs-CZ"/>
        </w:rPr>
        <w:t>31</w:t>
      </w:r>
      <w:r w:rsidRPr="00932580">
        <w:rPr>
          <w:rFonts w:eastAsia="Times New Roman" w:cs="Times New Roman"/>
          <w:b/>
          <w:bCs/>
          <w:noProof/>
          <w:sz w:val="20"/>
          <w:szCs w:val="20"/>
          <w:lang w:eastAsia="cs-CZ"/>
        </w:rPr>
        <w:fldChar w:fldCharType="end"/>
      </w:r>
      <w:r w:rsidRPr="00932580">
        <w:rPr>
          <w:rFonts w:eastAsia="Times New Roman" w:cs="Times New Roman"/>
          <w:b/>
          <w:bCs/>
          <w:noProof/>
          <w:sz w:val="20"/>
          <w:szCs w:val="20"/>
          <w:lang w:eastAsia="cs-CZ"/>
        </w:rPr>
        <w:t xml:space="preserve"> Výdaje Státní plavební správy vedené v EDS/SMVS (v tis. Kč)</w:t>
      </w:r>
    </w:p>
    <w:tbl>
      <w:tblPr>
        <w:tblStyle w:val="Svtltabulkasmkou1zvraznn52"/>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910074" w:rsidRPr="00932580" w:rsidTr="00910074">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C02263" w:rsidRDefault="00910074" w:rsidP="00910074">
            <w:pPr>
              <w:jc w:val="center"/>
              <w:rPr>
                <w:b/>
                <w:bCs/>
              </w:rPr>
            </w:pPr>
            <w:r w:rsidRPr="00C02263">
              <w:rPr>
                <w:b/>
                <w:bCs/>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C02263" w:rsidRDefault="00910074" w:rsidP="00910074">
            <w:pPr>
              <w:jc w:val="center"/>
              <w:rPr>
                <w:b/>
                <w:bCs/>
              </w:rPr>
            </w:pPr>
            <w:r w:rsidRPr="00C02263">
              <w:rPr>
                <w:b/>
                <w:bCs/>
              </w:rPr>
              <w:t>Skutečnost</w:t>
            </w:r>
            <w:r w:rsidRPr="00C02263">
              <w:rPr>
                <w:b/>
                <w:bCs/>
              </w:rPr>
              <w:br/>
              <w:t xml:space="preserve"> 2019</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C02263" w:rsidRDefault="00910074" w:rsidP="00910074">
            <w:pPr>
              <w:jc w:val="center"/>
              <w:rPr>
                <w:b/>
                <w:bCs/>
              </w:rPr>
            </w:pPr>
            <w:r w:rsidRPr="00C02263">
              <w:rPr>
                <w:b/>
                <w:bCs/>
              </w:rPr>
              <w:t>Schválený rozpočet 2020</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C02263" w:rsidRDefault="00910074" w:rsidP="00910074">
            <w:pPr>
              <w:jc w:val="center"/>
              <w:rPr>
                <w:b/>
                <w:bCs/>
              </w:rPr>
            </w:pPr>
            <w:r w:rsidRPr="00C02263">
              <w:rPr>
                <w:b/>
                <w:bCs/>
              </w:rPr>
              <w:t xml:space="preserve">Návrh rozpočtu </w:t>
            </w:r>
            <w:r w:rsidRPr="00C02263">
              <w:rPr>
                <w:b/>
                <w:bCs/>
              </w:rPr>
              <w:br/>
              <w:t>2021</w:t>
            </w:r>
          </w:p>
        </w:tc>
      </w:tr>
      <w:tr w:rsidR="00910074" w:rsidRPr="00932580" w:rsidTr="00910074">
        <w:tc>
          <w:tcPr>
            <w:tcW w:w="2263" w:type="dxa"/>
            <w:tcBorders>
              <w:top w:val="single" w:sz="4" w:space="0" w:color="7F7F7F" w:themeColor="text1" w:themeTint="80"/>
            </w:tcBorders>
            <w:shd w:val="clear" w:color="auto" w:fill="auto"/>
          </w:tcPr>
          <w:p w:rsidR="00910074" w:rsidRPr="00932580" w:rsidRDefault="00910074" w:rsidP="00910074">
            <w:pPr>
              <w:jc w:val="center"/>
            </w:pPr>
            <w:r w:rsidRPr="00932580">
              <w:t>127 01</w:t>
            </w:r>
          </w:p>
        </w:tc>
        <w:tc>
          <w:tcPr>
            <w:tcW w:w="2266" w:type="dxa"/>
            <w:tcBorders>
              <w:top w:val="single" w:sz="4" w:space="0" w:color="7F7F7F" w:themeColor="text1" w:themeTint="80"/>
            </w:tcBorders>
            <w:shd w:val="clear" w:color="auto" w:fill="auto"/>
            <w:vAlign w:val="center"/>
          </w:tcPr>
          <w:p w:rsidR="00910074" w:rsidRPr="00932580" w:rsidRDefault="00910074" w:rsidP="00910074">
            <w:pPr>
              <w:jc w:val="right"/>
            </w:pPr>
            <w:r w:rsidRPr="00932580">
              <w:t>0</w:t>
            </w:r>
          </w:p>
        </w:tc>
        <w:tc>
          <w:tcPr>
            <w:tcW w:w="2264" w:type="dxa"/>
            <w:tcBorders>
              <w:top w:val="single" w:sz="4" w:space="0" w:color="7F7F7F" w:themeColor="text1" w:themeTint="80"/>
            </w:tcBorders>
            <w:shd w:val="clear" w:color="auto" w:fill="auto"/>
            <w:vAlign w:val="center"/>
          </w:tcPr>
          <w:p w:rsidR="00910074" w:rsidRPr="00932580" w:rsidRDefault="00910074" w:rsidP="00910074">
            <w:pPr>
              <w:jc w:val="right"/>
            </w:pPr>
            <w:r w:rsidRPr="00932580">
              <w:t>0</w:t>
            </w:r>
          </w:p>
        </w:tc>
        <w:tc>
          <w:tcPr>
            <w:tcW w:w="2257" w:type="dxa"/>
            <w:tcBorders>
              <w:top w:val="single" w:sz="4" w:space="0" w:color="7F7F7F" w:themeColor="text1" w:themeTint="80"/>
            </w:tcBorders>
            <w:shd w:val="clear" w:color="auto" w:fill="auto"/>
            <w:vAlign w:val="center"/>
          </w:tcPr>
          <w:p w:rsidR="00910074" w:rsidRPr="00932580" w:rsidRDefault="00910074" w:rsidP="00910074">
            <w:pPr>
              <w:jc w:val="right"/>
            </w:pPr>
            <w:r w:rsidRPr="00932580">
              <w:t>0</w:t>
            </w:r>
          </w:p>
        </w:tc>
      </w:tr>
      <w:tr w:rsidR="00910074" w:rsidRPr="00932580" w:rsidTr="00910074">
        <w:trPr>
          <w:trHeight w:val="50"/>
        </w:trPr>
        <w:tc>
          <w:tcPr>
            <w:tcW w:w="2263" w:type="dxa"/>
            <w:tcBorders>
              <w:bottom w:val="single" w:sz="8" w:space="0" w:color="7F7F7F" w:themeColor="text1" w:themeTint="80"/>
            </w:tcBorders>
            <w:shd w:val="clear" w:color="auto" w:fill="auto"/>
          </w:tcPr>
          <w:p w:rsidR="00910074" w:rsidRPr="00932580" w:rsidRDefault="00910074" w:rsidP="00910074">
            <w:pPr>
              <w:jc w:val="center"/>
            </w:pPr>
            <w:r w:rsidRPr="00932580">
              <w:rPr>
                <w:iCs/>
              </w:rPr>
              <w:t>127 03</w:t>
            </w:r>
          </w:p>
        </w:tc>
        <w:tc>
          <w:tcPr>
            <w:tcW w:w="2266" w:type="dxa"/>
            <w:tcBorders>
              <w:bottom w:val="single" w:sz="8" w:space="0" w:color="7F7F7F" w:themeColor="text1" w:themeTint="80"/>
            </w:tcBorders>
            <w:shd w:val="clear" w:color="auto" w:fill="auto"/>
            <w:vAlign w:val="center"/>
          </w:tcPr>
          <w:p w:rsidR="00910074" w:rsidRPr="00932580" w:rsidRDefault="00910074" w:rsidP="00910074">
            <w:pPr>
              <w:jc w:val="right"/>
              <w:rPr>
                <w:iCs/>
              </w:rPr>
            </w:pPr>
            <w:r w:rsidRPr="00932580">
              <w:rPr>
                <w:iCs/>
              </w:rPr>
              <w:t>7 246</w:t>
            </w:r>
          </w:p>
        </w:tc>
        <w:tc>
          <w:tcPr>
            <w:tcW w:w="2264" w:type="dxa"/>
            <w:tcBorders>
              <w:bottom w:val="single" w:sz="8" w:space="0" w:color="7F7F7F" w:themeColor="text1" w:themeTint="80"/>
            </w:tcBorders>
            <w:shd w:val="clear" w:color="auto" w:fill="auto"/>
            <w:vAlign w:val="center"/>
          </w:tcPr>
          <w:p w:rsidR="00910074" w:rsidRPr="00932580" w:rsidRDefault="00910074" w:rsidP="00910074">
            <w:pPr>
              <w:jc w:val="right"/>
              <w:rPr>
                <w:iCs/>
              </w:rPr>
            </w:pPr>
            <w:r w:rsidRPr="00932580">
              <w:rPr>
                <w:iCs/>
              </w:rPr>
              <w:t>11 500</w:t>
            </w:r>
          </w:p>
        </w:tc>
        <w:tc>
          <w:tcPr>
            <w:tcW w:w="2257" w:type="dxa"/>
            <w:tcBorders>
              <w:bottom w:val="single" w:sz="8" w:space="0" w:color="7F7F7F" w:themeColor="text1" w:themeTint="80"/>
            </w:tcBorders>
            <w:shd w:val="clear" w:color="auto" w:fill="auto"/>
            <w:vAlign w:val="center"/>
          </w:tcPr>
          <w:p w:rsidR="00910074" w:rsidRPr="00932580" w:rsidRDefault="00910074" w:rsidP="00910074">
            <w:pPr>
              <w:jc w:val="right"/>
              <w:rPr>
                <w:iCs/>
              </w:rPr>
            </w:pPr>
            <w:r w:rsidRPr="00932580">
              <w:rPr>
                <w:iCs/>
              </w:rPr>
              <w:t>12 200</w:t>
            </w:r>
          </w:p>
        </w:tc>
      </w:tr>
      <w:tr w:rsidR="00910074" w:rsidRPr="00932580" w:rsidTr="00910074">
        <w:tc>
          <w:tcPr>
            <w:tcW w:w="2263" w:type="dxa"/>
            <w:tcBorders>
              <w:top w:val="single" w:sz="8" w:space="0" w:color="7F7F7F" w:themeColor="text1" w:themeTint="80"/>
              <w:bottom w:val="single" w:sz="8" w:space="0" w:color="7F7F7F" w:themeColor="text1" w:themeTint="80"/>
            </w:tcBorders>
            <w:shd w:val="clear" w:color="auto" w:fill="auto"/>
          </w:tcPr>
          <w:p w:rsidR="00910074" w:rsidRPr="00C02263" w:rsidRDefault="00910074" w:rsidP="00910074">
            <w:pPr>
              <w:jc w:val="center"/>
              <w:rPr>
                <w:b/>
                <w:iCs/>
              </w:rPr>
            </w:pPr>
            <w:r w:rsidRPr="00C02263">
              <w:rPr>
                <w:b/>
                <w:bCs/>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rsidR="00910074" w:rsidRPr="00C02263" w:rsidRDefault="00910074" w:rsidP="00910074">
            <w:pPr>
              <w:jc w:val="right"/>
              <w:rPr>
                <w:b/>
                <w:iCs/>
              </w:rPr>
            </w:pPr>
            <w:r w:rsidRPr="00C02263">
              <w:rPr>
                <w:b/>
                <w:iCs/>
              </w:rPr>
              <w:t>7 246</w:t>
            </w:r>
          </w:p>
        </w:tc>
        <w:tc>
          <w:tcPr>
            <w:tcW w:w="2264" w:type="dxa"/>
            <w:tcBorders>
              <w:top w:val="single" w:sz="8" w:space="0" w:color="7F7F7F" w:themeColor="text1" w:themeTint="80"/>
              <w:bottom w:val="single" w:sz="8" w:space="0" w:color="7F7F7F" w:themeColor="text1" w:themeTint="80"/>
            </w:tcBorders>
            <w:shd w:val="clear" w:color="auto" w:fill="auto"/>
            <w:vAlign w:val="center"/>
          </w:tcPr>
          <w:p w:rsidR="00910074" w:rsidRPr="00C02263" w:rsidRDefault="00910074" w:rsidP="00910074">
            <w:pPr>
              <w:jc w:val="right"/>
              <w:rPr>
                <w:b/>
                <w:iCs/>
              </w:rPr>
            </w:pPr>
            <w:r w:rsidRPr="00C02263">
              <w:rPr>
                <w:b/>
                <w:iCs/>
              </w:rPr>
              <w:t>11 500</w:t>
            </w:r>
          </w:p>
        </w:tc>
        <w:tc>
          <w:tcPr>
            <w:tcW w:w="2257" w:type="dxa"/>
            <w:tcBorders>
              <w:top w:val="single" w:sz="8" w:space="0" w:color="7F7F7F" w:themeColor="text1" w:themeTint="80"/>
              <w:bottom w:val="single" w:sz="8" w:space="0" w:color="7F7F7F" w:themeColor="text1" w:themeTint="80"/>
            </w:tcBorders>
            <w:shd w:val="clear" w:color="auto" w:fill="auto"/>
            <w:vAlign w:val="center"/>
          </w:tcPr>
          <w:p w:rsidR="00910074" w:rsidRPr="00C02263" w:rsidRDefault="00910074" w:rsidP="00910074">
            <w:pPr>
              <w:jc w:val="right"/>
              <w:rPr>
                <w:b/>
                <w:iCs/>
              </w:rPr>
            </w:pPr>
            <w:r w:rsidRPr="00C02263">
              <w:rPr>
                <w:b/>
                <w:iCs/>
              </w:rPr>
              <w:t>12 200</w:t>
            </w:r>
          </w:p>
        </w:tc>
      </w:tr>
    </w:tbl>
    <w:p w:rsidR="00910074" w:rsidRPr="00932580" w:rsidRDefault="00910074" w:rsidP="00E447C1">
      <w:pPr>
        <w:pStyle w:val="Styl1"/>
        <w:rPr>
          <w:color w:val="FF0000"/>
        </w:rPr>
      </w:pPr>
      <w:r w:rsidRPr="00932580">
        <w:rPr>
          <w:b/>
        </w:rPr>
        <w:lastRenderedPageBreak/>
        <w:t>Kapitálové výdaje</w:t>
      </w:r>
      <w:r w:rsidRPr="00932580">
        <w:t xml:space="preserve"> v programu 127 03 určené pro </w:t>
      </w:r>
      <w:r w:rsidRPr="00932580">
        <w:rPr>
          <w:b/>
        </w:rPr>
        <w:t>Státní plavební správu</w:t>
      </w:r>
      <w:r w:rsidRPr="00932580">
        <w:t xml:space="preserve"> v celkové výši </w:t>
      </w:r>
      <w:r w:rsidRPr="00932580">
        <w:br/>
      </w:r>
      <w:r w:rsidRPr="00932580">
        <w:rPr>
          <w:b/>
        </w:rPr>
        <w:t xml:space="preserve">12 200 tis. Kč </w:t>
      </w:r>
      <w:r w:rsidRPr="00932580">
        <w:t>budou</w:t>
      </w:r>
      <w:r w:rsidR="00623C21">
        <w:t xml:space="preserve"> využity v subtitulu ICT</w:t>
      </w:r>
      <w:r w:rsidRPr="00932580">
        <w:t xml:space="preserve"> na obnovu a rozšíření informačního systému SPS s ohledem na zavádění legislativních změn a da</w:t>
      </w:r>
      <w:r w:rsidR="00623C21">
        <w:t>lší opatření v souvislosti</w:t>
      </w:r>
      <w:r w:rsidRPr="00932580">
        <w:t xml:space="preserve"> s rozvojem spisové služby a ochranou osobních údajů (1 400 tis. Kč). Dále budou investovány prostředky na upgrade softwaru pro Říční informační systém (1 000 tis. Kč), na rozšíření funkcionalit národního geoportálu plavebních map (1 300 tis. Kč).</w:t>
      </w:r>
      <w:r w:rsidRPr="00932580">
        <w:rPr>
          <w:color w:val="FF0000"/>
        </w:rPr>
        <w:t xml:space="preserve"> </w:t>
      </w:r>
      <w:r w:rsidRPr="00932580">
        <w:t xml:space="preserve">Další část kapitálových výdajů je vyčleněna na obnovu výpočetní techniky (1 300 tis. Kč). Na obnovu materiálně technické základny organizace jsou předpokládány výdaje ve výši 7 200 tis. Kč. Významná výše investice bude využita na modernizaci parkoviště pobočky Děčín, které bude i nadále sloužit jako stanoviště pro výkon technických prohlídek a parkování klientů (3 200 tis. Kč), technické zhodnocení budovy ředitelství (4 000 tis. Kč). </w:t>
      </w:r>
    </w:p>
    <w:p w:rsidR="00910074" w:rsidRPr="00932580" w:rsidRDefault="00910074" w:rsidP="00E447C1">
      <w:pPr>
        <w:pStyle w:val="Nadpis9"/>
        <w:rPr>
          <w:lang w:eastAsia="cs-CZ"/>
        </w:rPr>
      </w:pPr>
      <w:r w:rsidRPr="00932580">
        <w:rPr>
          <w:lang w:eastAsia="cs-CZ"/>
        </w:rPr>
        <w:t>Drážní úřad</w:t>
      </w:r>
    </w:p>
    <w:p w:rsidR="00910074" w:rsidRPr="00932580" w:rsidRDefault="00910074" w:rsidP="00910074">
      <w:pPr>
        <w:keepNext/>
        <w:spacing w:before="120" w:after="120"/>
        <w:rPr>
          <w:rFonts w:eastAsia="Times New Roman" w:cs="Times New Roman"/>
          <w:b/>
          <w:bCs/>
          <w:noProof/>
          <w:sz w:val="20"/>
          <w:szCs w:val="20"/>
          <w:lang w:eastAsia="cs-CZ"/>
        </w:rPr>
      </w:pPr>
      <w:r w:rsidRPr="00932580">
        <w:rPr>
          <w:rFonts w:eastAsia="Times New Roman" w:cs="Times New Roman"/>
          <w:b/>
          <w:bCs/>
          <w:sz w:val="20"/>
          <w:szCs w:val="20"/>
          <w:lang w:eastAsia="cs-CZ"/>
        </w:rPr>
        <w:t xml:space="preserve">Tabulka č. </w:t>
      </w:r>
      <w:r w:rsidRPr="00932580">
        <w:rPr>
          <w:rFonts w:eastAsia="Times New Roman" w:cs="Times New Roman"/>
          <w:b/>
          <w:bCs/>
          <w:noProof/>
          <w:sz w:val="20"/>
          <w:szCs w:val="20"/>
          <w:lang w:eastAsia="cs-CZ"/>
        </w:rPr>
        <w:fldChar w:fldCharType="begin"/>
      </w:r>
      <w:r w:rsidRPr="00932580">
        <w:rPr>
          <w:rFonts w:eastAsia="Times New Roman" w:cs="Times New Roman"/>
          <w:b/>
          <w:bCs/>
          <w:noProof/>
          <w:sz w:val="20"/>
          <w:szCs w:val="20"/>
          <w:lang w:eastAsia="cs-CZ"/>
        </w:rPr>
        <w:instrText xml:space="preserve"> SEQ Tabulka \* ARABIC </w:instrText>
      </w:r>
      <w:r w:rsidRPr="00932580">
        <w:rPr>
          <w:rFonts w:eastAsia="Times New Roman" w:cs="Times New Roman"/>
          <w:b/>
          <w:bCs/>
          <w:noProof/>
          <w:sz w:val="20"/>
          <w:szCs w:val="20"/>
          <w:lang w:eastAsia="cs-CZ"/>
        </w:rPr>
        <w:fldChar w:fldCharType="separate"/>
      </w:r>
      <w:r w:rsidR="006076E7">
        <w:rPr>
          <w:rFonts w:eastAsia="Times New Roman" w:cs="Times New Roman"/>
          <w:b/>
          <w:bCs/>
          <w:noProof/>
          <w:sz w:val="20"/>
          <w:szCs w:val="20"/>
          <w:lang w:eastAsia="cs-CZ"/>
        </w:rPr>
        <w:t>32</w:t>
      </w:r>
      <w:r w:rsidRPr="00932580">
        <w:rPr>
          <w:rFonts w:eastAsia="Times New Roman" w:cs="Times New Roman"/>
          <w:b/>
          <w:bCs/>
          <w:noProof/>
          <w:sz w:val="20"/>
          <w:szCs w:val="20"/>
          <w:lang w:eastAsia="cs-CZ"/>
        </w:rPr>
        <w:fldChar w:fldCharType="end"/>
      </w:r>
      <w:r w:rsidRPr="00932580">
        <w:rPr>
          <w:rFonts w:eastAsia="Times New Roman" w:cs="Times New Roman"/>
          <w:b/>
          <w:bCs/>
          <w:noProof/>
          <w:sz w:val="20"/>
          <w:szCs w:val="20"/>
          <w:lang w:eastAsia="cs-CZ"/>
        </w:rPr>
        <w:t xml:space="preserve"> Výdaje Drážního úřadu vedené v EDS/SMVS (v tis. Kč)</w:t>
      </w:r>
    </w:p>
    <w:tbl>
      <w:tblPr>
        <w:tblStyle w:val="Svtltabulkasmkou1zvraznn52"/>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8"/>
      </w:tblGrid>
      <w:tr w:rsidR="00910074" w:rsidRPr="00932580" w:rsidTr="00910074">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0254A" w:rsidRDefault="00910074" w:rsidP="00910074">
            <w:pPr>
              <w:jc w:val="center"/>
              <w:rPr>
                <w:b/>
                <w:bCs/>
              </w:rPr>
            </w:pPr>
            <w:r w:rsidRPr="00B0254A">
              <w:rPr>
                <w:b/>
                <w:bCs/>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0254A" w:rsidRDefault="00910074" w:rsidP="00910074">
            <w:pPr>
              <w:jc w:val="center"/>
              <w:rPr>
                <w:b/>
                <w:bCs/>
              </w:rPr>
            </w:pPr>
            <w:r w:rsidRPr="00B0254A">
              <w:rPr>
                <w:b/>
                <w:bCs/>
              </w:rPr>
              <w:t xml:space="preserve">Skutečnost </w:t>
            </w:r>
            <w:r w:rsidRPr="00B0254A">
              <w:rPr>
                <w:b/>
                <w:bCs/>
              </w:rPr>
              <w:br/>
              <w:t>2019</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0254A" w:rsidRDefault="00910074" w:rsidP="00910074">
            <w:pPr>
              <w:jc w:val="center"/>
              <w:rPr>
                <w:b/>
                <w:bCs/>
              </w:rPr>
            </w:pPr>
            <w:r w:rsidRPr="00B0254A">
              <w:rPr>
                <w:b/>
                <w:bCs/>
              </w:rPr>
              <w:t>Schválený rozpočet 2020</w:t>
            </w:r>
          </w:p>
        </w:tc>
        <w:tc>
          <w:tcPr>
            <w:tcW w:w="225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0254A" w:rsidRDefault="00910074" w:rsidP="00910074">
            <w:pPr>
              <w:jc w:val="center"/>
              <w:rPr>
                <w:b/>
                <w:bCs/>
              </w:rPr>
            </w:pPr>
            <w:r w:rsidRPr="00B0254A">
              <w:rPr>
                <w:b/>
                <w:bCs/>
              </w:rPr>
              <w:t>Návrh rozpočtu</w:t>
            </w:r>
            <w:r w:rsidRPr="00B0254A">
              <w:rPr>
                <w:b/>
                <w:bCs/>
              </w:rPr>
              <w:br/>
              <w:t xml:space="preserve"> 2021</w:t>
            </w:r>
          </w:p>
        </w:tc>
      </w:tr>
      <w:tr w:rsidR="00910074" w:rsidRPr="00932580" w:rsidTr="00910074">
        <w:tc>
          <w:tcPr>
            <w:tcW w:w="2264" w:type="dxa"/>
            <w:tcBorders>
              <w:top w:val="single" w:sz="4" w:space="0" w:color="7F7F7F" w:themeColor="text1" w:themeTint="80"/>
            </w:tcBorders>
            <w:shd w:val="clear" w:color="auto" w:fill="auto"/>
          </w:tcPr>
          <w:p w:rsidR="00910074" w:rsidRPr="00932580" w:rsidRDefault="00910074" w:rsidP="00910074">
            <w:pPr>
              <w:jc w:val="center"/>
            </w:pPr>
            <w:r w:rsidRPr="00932580">
              <w:t>127 01</w:t>
            </w:r>
          </w:p>
        </w:tc>
        <w:tc>
          <w:tcPr>
            <w:tcW w:w="2266" w:type="dxa"/>
            <w:tcBorders>
              <w:top w:val="single" w:sz="4" w:space="0" w:color="7F7F7F" w:themeColor="text1" w:themeTint="80"/>
            </w:tcBorders>
            <w:shd w:val="clear" w:color="auto" w:fill="auto"/>
            <w:vAlign w:val="center"/>
          </w:tcPr>
          <w:p w:rsidR="00910074" w:rsidRPr="00932580" w:rsidRDefault="00910074" w:rsidP="00910074">
            <w:pPr>
              <w:jc w:val="right"/>
            </w:pPr>
            <w:r w:rsidRPr="00932580">
              <w:t>0</w:t>
            </w:r>
          </w:p>
        </w:tc>
        <w:tc>
          <w:tcPr>
            <w:tcW w:w="2264" w:type="dxa"/>
            <w:tcBorders>
              <w:top w:val="single" w:sz="4" w:space="0" w:color="7F7F7F" w:themeColor="text1" w:themeTint="80"/>
            </w:tcBorders>
            <w:shd w:val="clear" w:color="auto" w:fill="auto"/>
            <w:vAlign w:val="center"/>
          </w:tcPr>
          <w:p w:rsidR="00910074" w:rsidRPr="00932580" w:rsidRDefault="00910074" w:rsidP="00910074">
            <w:pPr>
              <w:jc w:val="right"/>
            </w:pPr>
            <w:r w:rsidRPr="00932580">
              <w:t>0</w:t>
            </w:r>
          </w:p>
        </w:tc>
        <w:tc>
          <w:tcPr>
            <w:tcW w:w="2258" w:type="dxa"/>
            <w:tcBorders>
              <w:top w:val="single" w:sz="4" w:space="0" w:color="7F7F7F" w:themeColor="text1" w:themeTint="80"/>
            </w:tcBorders>
            <w:shd w:val="clear" w:color="auto" w:fill="auto"/>
            <w:vAlign w:val="center"/>
          </w:tcPr>
          <w:p w:rsidR="00910074" w:rsidRPr="00932580" w:rsidRDefault="00910074" w:rsidP="00910074">
            <w:pPr>
              <w:jc w:val="right"/>
            </w:pPr>
            <w:r w:rsidRPr="00932580">
              <w:t>0</w:t>
            </w:r>
          </w:p>
        </w:tc>
      </w:tr>
      <w:tr w:rsidR="00910074" w:rsidRPr="00932580" w:rsidTr="00910074">
        <w:tc>
          <w:tcPr>
            <w:tcW w:w="2264" w:type="dxa"/>
            <w:tcBorders>
              <w:bottom w:val="single" w:sz="8" w:space="0" w:color="7F7F7F" w:themeColor="text1" w:themeTint="80"/>
            </w:tcBorders>
            <w:shd w:val="clear" w:color="auto" w:fill="auto"/>
          </w:tcPr>
          <w:p w:rsidR="00910074" w:rsidRPr="00932580" w:rsidRDefault="00910074" w:rsidP="00910074">
            <w:pPr>
              <w:jc w:val="center"/>
            </w:pPr>
            <w:r w:rsidRPr="00932580">
              <w:t>127 03</w:t>
            </w:r>
          </w:p>
        </w:tc>
        <w:tc>
          <w:tcPr>
            <w:tcW w:w="2266" w:type="dxa"/>
            <w:tcBorders>
              <w:bottom w:val="single" w:sz="8" w:space="0" w:color="7F7F7F" w:themeColor="text1" w:themeTint="80"/>
            </w:tcBorders>
            <w:shd w:val="clear" w:color="auto" w:fill="auto"/>
            <w:vAlign w:val="center"/>
          </w:tcPr>
          <w:p w:rsidR="00910074" w:rsidRPr="00932580" w:rsidRDefault="00910074" w:rsidP="00910074">
            <w:pPr>
              <w:jc w:val="right"/>
              <w:rPr>
                <w:iCs/>
              </w:rPr>
            </w:pPr>
            <w:r w:rsidRPr="00932580">
              <w:rPr>
                <w:iCs/>
              </w:rPr>
              <w:t>95</w:t>
            </w:r>
          </w:p>
        </w:tc>
        <w:tc>
          <w:tcPr>
            <w:tcW w:w="2264" w:type="dxa"/>
            <w:tcBorders>
              <w:bottom w:val="single" w:sz="8" w:space="0" w:color="7F7F7F" w:themeColor="text1" w:themeTint="80"/>
            </w:tcBorders>
            <w:shd w:val="clear" w:color="auto" w:fill="auto"/>
            <w:vAlign w:val="center"/>
          </w:tcPr>
          <w:p w:rsidR="00910074" w:rsidRPr="00932580" w:rsidRDefault="00910074" w:rsidP="00910074">
            <w:pPr>
              <w:jc w:val="right"/>
              <w:rPr>
                <w:iCs/>
              </w:rPr>
            </w:pPr>
            <w:r w:rsidRPr="00932580">
              <w:rPr>
                <w:iCs/>
              </w:rPr>
              <w:t>800</w:t>
            </w:r>
          </w:p>
        </w:tc>
        <w:tc>
          <w:tcPr>
            <w:tcW w:w="2258" w:type="dxa"/>
            <w:tcBorders>
              <w:bottom w:val="single" w:sz="8" w:space="0" w:color="7F7F7F" w:themeColor="text1" w:themeTint="80"/>
            </w:tcBorders>
            <w:shd w:val="clear" w:color="auto" w:fill="auto"/>
            <w:vAlign w:val="center"/>
          </w:tcPr>
          <w:p w:rsidR="00910074" w:rsidRPr="00932580" w:rsidRDefault="00910074" w:rsidP="00910074">
            <w:pPr>
              <w:jc w:val="right"/>
              <w:rPr>
                <w:iCs/>
              </w:rPr>
            </w:pPr>
            <w:r w:rsidRPr="00932580">
              <w:rPr>
                <w:iCs/>
              </w:rPr>
              <w:t>2 400</w:t>
            </w:r>
          </w:p>
        </w:tc>
      </w:tr>
      <w:tr w:rsidR="00910074" w:rsidRPr="00932580" w:rsidTr="00910074">
        <w:tc>
          <w:tcPr>
            <w:tcW w:w="2264" w:type="dxa"/>
            <w:tcBorders>
              <w:top w:val="single" w:sz="8" w:space="0" w:color="7F7F7F" w:themeColor="text1" w:themeTint="80"/>
              <w:bottom w:val="single" w:sz="8" w:space="0" w:color="7F7F7F" w:themeColor="text1" w:themeTint="80"/>
            </w:tcBorders>
            <w:shd w:val="clear" w:color="auto" w:fill="auto"/>
          </w:tcPr>
          <w:p w:rsidR="00910074" w:rsidRPr="00B0254A" w:rsidRDefault="00910074" w:rsidP="00910074">
            <w:pPr>
              <w:jc w:val="center"/>
              <w:rPr>
                <w:b/>
              </w:rPr>
            </w:pPr>
            <w:r w:rsidRPr="00B0254A">
              <w:rPr>
                <w:b/>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rsidR="00910074" w:rsidRPr="00B0254A" w:rsidRDefault="00910074" w:rsidP="00910074">
            <w:pPr>
              <w:jc w:val="right"/>
              <w:rPr>
                <w:b/>
                <w:iCs/>
              </w:rPr>
            </w:pPr>
            <w:r w:rsidRPr="00B0254A">
              <w:rPr>
                <w:b/>
                <w:iCs/>
              </w:rPr>
              <w:t>95</w:t>
            </w:r>
          </w:p>
        </w:tc>
        <w:tc>
          <w:tcPr>
            <w:tcW w:w="2264" w:type="dxa"/>
            <w:tcBorders>
              <w:top w:val="single" w:sz="8" w:space="0" w:color="7F7F7F" w:themeColor="text1" w:themeTint="80"/>
              <w:bottom w:val="single" w:sz="8" w:space="0" w:color="7F7F7F" w:themeColor="text1" w:themeTint="80"/>
            </w:tcBorders>
            <w:shd w:val="clear" w:color="auto" w:fill="auto"/>
            <w:vAlign w:val="center"/>
          </w:tcPr>
          <w:p w:rsidR="00910074" w:rsidRPr="00B0254A" w:rsidRDefault="00910074" w:rsidP="00910074">
            <w:pPr>
              <w:jc w:val="right"/>
              <w:rPr>
                <w:b/>
                <w:iCs/>
              </w:rPr>
            </w:pPr>
            <w:r w:rsidRPr="00B0254A">
              <w:rPr>
                <w:b/>
                <w:iCs/>
              </w:rPr>
              <w:t>800</w:t>
            </w:r>
          </w:p>
        </w:tc>
        <w:tc>
          <w:tcPr>
            <w:tcW w:w="2258" w:type="dxa"/>
            <w:tcBorders>
              <w:top w:val="single" w:sz="8" w:space="0" w:color="7F7F7F" w:themeColor="text1" w:themeTint="80"/>
              <w:bottom w:val="single" w:sz="8" w:space="0" w:color="7F7F7F" w:themeColor="text1" w:themeTint="80"/>
            </w:tcBorders>
            <w:shd w:val="clear" w:color="auto" w:fill="auto"/>
            <w:vAlign w:val="center"/>
          </w:tcPr>
          <w:p w:rsidR="00910074" w:rsidRPr="00B0254A" w:rsidRDefault="00910074" w:rsidP="00910074">
            <w:pPr>
              <w:jc w:val="right"/>
              <w:rPr>
                <w:b/>
                <w:iCs/>
              </w:rPr>
            </w:pPr>
            <w:r w:rsidRPr="00B0254A">
              <w:rPr>
                <w:b/>
                <w:iCs/>
              </w:rPr>
              <w:t>2 400</w:t>
            </w:r>
          </w:p>
        </w:tc>
      </w:tr>
    </w:tbl>
    <w:p w:rsidR="00910074" w:rsidRPr="00932580" w:rsidRDefault="00910074" w:rsidP="00E447C1">
      <w:pPr>
        <w:pStyle w:val="Styl1"/>
        <w:rPr>
          <w:color w:val="FF0000"/>
        </w:rPr>
      </w:pPr>
      <w:r w:rsidRPr="00932580">
        <w:t xml:space="preserve">V navrženém objemu výdajů pro </w:t>
      </w:r>
      <w:r w:rsidRPr="00932580">
        <w:rPr>
          <w:b/>
          <w:bCs/>
        </w:rPr>
        <w:t>Drážní úřad</w:t>
      </w:r>
      <w:r w:rsidRPr="00932580">
        <w:t xml:space="preserve"> jsou v programu 127 03 zahrnuty </w:t>
      </w:r>
      <w:r w:rsidRPr="00932580">
        <w:rPr>
          <w:b/>
        </w:rPr>
        <w:t>kapitálové výdaje</w:t>
      </w:r>
      <w:r w:rsidRPr="00932580">
        <w:t xml:space="preserve"> v celkové výši </w:t>
      </w:r>
      <w:r w:rsidRPr="00932580">
        <w:rPr>
          <w:b/>
        </w:rPr>
        <w:t xml:space="preserve">2 400 tis. Kč. </w:t>
      </w:r>
      <w:r w:rsidRPr="00932580">
        <w:t xml:space="preserve">Tyto výdaje jsou určeny na pořízení systému                                 pro zálohování dat (1 000 tis. Kč), na obnovu výpočetní techniky (200 tis. Kč), na softwarové investice pro účely státní správy v oblasti železniční dopravy s návazností na evropské softwary                      (500 tis. Kč), na obnovu vozového parku (600 tis. Kč) a na obnovu kancelářské techniky </w:t>
      </w:r>
      <w:r w:rsidRPr="00932580">
        <w:br/>
        <w:t xml:space="preserve">(100 tis. Kč).  </w:t>
      </w:r>
    </w:p>
    <w:p w:rsidR="00910074" w:rsidRPr="00932580" w:rsidRDefault="00910074" w:rsidP="00E447C1">
      <w:pPr>
        <w:pStyle w:val="Nadpis9"/>
        <w:rPr>
          <w:lang w:eastAsia="cs-CZ"/>
        </w:rPr>
      </w:pPr>
      <w:r w:rsidRPr="00932580">
        <w:rPr>
          <w:lang w:eastAsia="cs-CZ"/>
        </w:rPr>
        <w:t>Drážní inspekce</w:t>
      </w:r>
    </w:p>
    <w:p w:rsidR="00910074" w:rsidRPr="00932580" w:rsidRDefault="00910074" w:rsidP="00910074">
      <w:pPr>
        <w:keepNext/>
        <w:spacing w:before="120" w:after="120"/>
        <w:rPr>
          <w:rFonts w:eastAsia="Times New Roman" w:cs="Times New Roman"/>
          <w:b/>
          <w:bCs/>
          <w:noProof/>
          <w:sz w:val="20"/>
          <w:szCs w:val="20"/>
          <w:lang w:eastAsia="cs-CZ"/>
        </w:rPr>
      </w:pPr>
      <w:r w:rsidRPr="00932580">
        <w:rPr>
          <w:rFonts w:eastAsia="Times New Roman" w:cs="Times New Roman"/>
          <w:b/>
          <w:bCs/>
          <w:sz w:val="20"/>
          <w:szCs w:val="20"/>
          <w:lang w:eastAsia="cs-CZ"/>
        </w:rPr>
        <w:t xml:space="preserve">Tabulka č. </w:t>
      </w:r>
      <w:r w:rsidRPr="00932580">
        <w:rPr>
          <w:rFonts w:eastAsia="Times New Roman" w:cs="Times New Roman"/>
          <w:b/>
          <w:bCs/>
          <w:noProof/>
          <w:sz w:val="20"/>
          <w:szCs w:val="20"/>
          <w:lang w:eastAsia="cs-CZ"/>
        </w:rPr>
        <w:fldChar w:fldCharType="begin"/>
      </w:r>
      <w:r w:rsidRPr="00932580">
        <w:rPr>
          <w:rFonts w:eastAsia="Times New Roman" w:cs="Times New Roman"/>
          <w:b/>
          <w:bCs/>
          <w:noProof/>
          <w:sz w:val="20"/>
          <w:szCs w:val="20"/>
          <w:lang w:eastAsia="cs-CZ"/>
        </w:rPr>
        <w:instrText xml:space="preserve"> SEQ Tabulka \* ARABIC </w:instrText>
      </w:r>
      <w:r w:rsidRPr="00932580">
        <w:rPr>
          <w:rFonts w:eastAsia="Times New Roman" w:cs="Times New Roman"/>
          <w:b/>
          <w:bCs/>
          <w:noProof/>
          <w:sz w:val="20"/>
          <w:szCs w:val="20"/>
          <w:lang w:eastAsia="cs-CZ"/>
        </w:rPr>
        <w:fldChar w:fldCharType="separate"/>
      </w:r>
      <w:r w:rsidR="006076E7">
        <w:rPr>
          <w:rFonts w:eastAsia="Times New Roman" w:cs="Times New Roman"/>
          <w:b/>
          <w:bCs/>
          <w:noProof/>
          <w:sz w:val="20"/>
          <w:szCs w:val="20"/>
          <w:lang w:eastAsia="cs-CZ"/>
        </w:rPr>
        <w:t>33</w:t>
      </w:r>
      <w:r w:rsidRPr="00932580">
        <w:rPr>
          <w:rFonts w:eastAsia="Times New Roman" w:cs="Times New Roman"/>
          <w:b/>
          <w:bCs/>
          <w:noProof/>
          <w:sz w:val="20"/>
          <w:szCs w:val="20"/>
          <w:lang w:eastAsia="cs-CZ"/>
        </w:rPr>
        <w:fldChar w:fldCharType="end"/>
      </w:r>
      <w:r w:rsidRPr="00932580">
        <w:rPr>
          <w:rFonts w:eastAsia="Times New Roman" w:cs="Times New Roman"/>
          <w:b/>
          <w:bCs/>
          <w:noProof/>
          <w:sz w:val="20"/>
          <w:szCs w:val="20"/>
          <w:lang w:eastAsia="cs-CZ"/>
        </w:rPr>
        <w:t xml:space="preserve"> Výdaje Drážní inspekce vedené v EDS/SMVS (v tis. Kč)</w:t>
      </w:r>
    </w:p>
    <w:tbl>
      <w:tblPr>
        <w:tblStyle w:val="Svtltabulkasmkou1zvraznn52"/>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910074" w:rsidRPr="00932580" w:rsidTr="00B0254A">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0254A" w:rsidRDefault="00910074" w:rsidP="00B0254A">
            <w:pPr>
              <w:jc w:val="center"/>
              <w:rPr>
                <w:b/>
                <w:bCs/>
              </w:rPr>
            </w:pPr>
            <w:r w:rsidRPr="00B0254A">
              <w:rPr>
                <w:b/>
                <w:bCs/>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0254A" w:rsidRDefault="00910074" w:rsidP="00B0254A">
            <w:pPr>
              <w:jc w:val="center"/>
              <w:rPr>
                <w:b/>
                <w:bCs/>
              </w:rPr>
            </w:pPr>
            <w:r w:rsidRPr="00B0254A">
              <w:rPr>
                <w:b/>
                <w:bCs/>
              </w:rPr>
              <w:t xml:space="preserve">Skutečnost </w:t>
            </w:r>
            <w:r w:rsidRPr="00B0254A">
              <w:rPr>
                <w:b/>
                <w:bCs/>
              </w:rPr>
              <w:br/>
              <w:t>2019</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0254A" w:rsidRDefault="00910074" w:rsidP="00B0254A">
            <w:pPr>
              <w:jc w:val="center"/>
              <w:rPr>
                <w:b/>
                <w:bCs/>
              </w:rPr>
            </w:pPr>
            <w:r w:rsidRPr="00B0254A">
              <w:rPr>
                <w:b/>
                <w:bCs/>
              </w:rPr>
              <w:t>Schválený rozpočet 2020</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0254A" w:rsidRDefault="00910074" w:rsidP="00B0254A">
            <w:pPr>
              <w:jc w:val="center"/>
              <w:rPr>
                <w:b/>
                <w:bCs/>
              </w:rPr>
            </w:pPr>
            <w:r w:rsidRPr="00B0254A">
              <w:rPr>
                <w:b/>
                <w:bCs/>
              </w:rPr>
              <w:t>Návrh rozpočtu</w:t>
            </w:r>
            <w:r w:rsidRPr="00B0254A">
              <w:rPr>
                <w:b/>
                <w:bCs/>
              </w:rPr>
              <w:br/>
              <w:t xml:space="preserve"> 2021</w:t>
            </w:r>
          </w:p>
        </w:tc>
      </w:tr>
      <w:tr w:rsidR="00910074" w:rsidRPr="00932580" w:rsidTr="00910074">
        <w:tc>
          <w:tcPr>
            <w:tcW w:w="2263" w:type="dxa"/>
            <w:tcBorders>
              <w:top w:val="single" w:sz="4" w:space="0" w:color="7F7F7F" w:themeColor="text1" w:themeTint="80"/>
            </w:tcBorders>
            <w:shd w:val="clear" w:color="auto" w:fill="auto"/>
          </w:tcPr>
          <w:p w:rsidR="00910074" w:rsidRPr="00932580" w:rsidRDefault="00910074" w:rsidP="00910074">
            <w:pPr>
              <w:jc w:val="center"/>
            </w:pPr>
            <w:r w:rsidRPr="00932580">
              <w:t>127 01</w:t>
            </w:r>
          </w:p>
        </w:tc>
        <w:tc>
          <w:tcPr>
            <w:tcW w:w="2266" w:type="dxa"/>
            <w:tcBorders>
              <w:top w:val="single" w:sz="4" w:space="0" w:color="7F7F7F" w:themeColor="text1" w:themeTint="80"/>
            </w:tcBorders>
            <w:shd w:val="clear" w:color="auto" w:fill="auto"/>
            <w:vAlign w:val="center"/>
          </w:tcPr>
          <w:p w:rsidR="00910074" w:rsidRPr="00932580" w:rsidRDefault="00910074" w:rsidP="00910074">
            <w:pPr>
              <w:jc w:val="right"/>
            </w:pPr>
            <w:r w:rsidRPr="00932580">
              <w:t>0</w:t>
            </w:r>
          </w:p>
        </w:tc>
        <w:tc>
          <w:tcPr>
            <w:tcW w:w="2264" w:type="dxa"/>
            <w:tcBorders>
              <w:top w:val="single" w:sz="4" w:space="0" w:color="7F7F7F" w:themeColor="text1" w:themeTint="80"/>
            </w:tcBorders>
            <w:shd w:val="clear" w:color="auto" w:fill="auto"/>
            <w:vAlign w:val="center"/>
          </w:tcPr>
          <w:p w:rsidR="00910074" w:rsidRPr="00932580" w:rsidRDefault="00910074" w:rsidP="00910074">
            <w:pPr>
              <w:jc w:val="right"/>
            </w:pPr>
            <w:r w:rsidRPr="00932580">
              <w:t>0</w:t>
            </w:r>
          </w:p>
        </w:tc>
        <w:tc>
          <w:tcPr>
            <w:tcW w:w="2257" w:type="dxa"/>
            <w:tcBorders>
              <w:top w:val="single" w:sz="4" w:space="0" w:color="7F7F7F" w:themeColor="text1" w:themeTint="80"/>
            </w:tcBorders>
            <w:shd w:val="clear" w:color="auto" w:fill="auto"/>
            <w:vAlign w:val="center"/>
          </w:tcPr>
          <w:p w:rsidR="00910074" w:rsidRPr="00932580" w:rsidRDefault="00910074" w:rsidP="00910074">
            <w:pPr>
              <w:jc w:val="right"/>
            </w:pPr>
            <w:r w:rsidRPr="00932580">
              <w:t>0</w:t>
            </w:r>
          </w:p>
        </w:tc>
      </w:tr>
      <w:tr w:rsidR="00910074" w:rsidRPr="00932580" w:rsidTr="00910074">
        <w:tc>
          <w:tcPr>
            <w:tcW w:w="2263" w:type="dxa"/>
            <w:tcBorders>
              <w:bottom w:val="single" w:sz="8" w:space="0" w:color="7F7F7F" w:themeColor="text1" w:themeTint="80"/>
            </w:tcBorders>
            <w:shd w:val="clear" w:color="auto" w:fill="auto"/>
          </w:tcPr>
          <w:p w:rsidR="00910074" w:rsidRPr="00932580" w:rsidRDefault="00910074" w:rsidP="00910074">
            <w:pPr>
              <w:jc w:val="center"/>
            </w:pPr>
            <w:r w:rsidRPr="00932580">
              <w:rPr>
                <w:iCs/>
              </w:rPr>
              <w:t>127 03</w:t>
            </w:r>
          </w:p>
        </w:tc>
        <w:tc>
          <w:tcPr>
            <w:tcW w:w="2266" w:type="dxa"/>
            <w:tcBorders>
              <w:bottom w:val="single" w:sz="8" w:space="0" w:color="7F7F7F" w:themeColor="text1" w:themeTint="80"/>
            </w:tcBorders>
            <w:shd w:val="clear" w:color="auto" w:fill="auto"/>
            <w:vAlign w:val="center"/>
          </w:tcPr>
          <w:p w:rsidR="00910074" w:rsidRPr="00932580" w:rsidRDefault="00910074" w:rsidP="00910074">
            <w:pPr>
              <w:jc w:val="right"/>
              <w:rPr>
                <w:iCs/>
              </w:rPr>
            </w:pPr>
            <w:r w:rsidRPr="00932580">
              <w:rPr>
                <w:iCs/>
              </w:rPr>
              <w:t>1 935</w:t>
            </w:r>
          </w:p>
        </w:tc>
        <w:tc>
          <w:tcPr>
            <w:tcW w:w="2264" w:type="dxa"/>
            <w:tcBorders>
              <w:bottom w:val="single" w:sz="8" w:space="0" w:color="7F7F7F" w:themeColor="text1" w:themeTint="80"/>
            </w:tcBorders>
            <w:shd w:val="clear" w:color="auto" w:fill="auto"/>
            <w:vAlign w:val="center"/>
          </w:tcPr>
          <w:p w:rsidR="00910074" w:rsidRPr="00932580" w:rsidRDefault="00910074" w:rsidP="00910074">
            <w:pPr>
              <w:jc w:val="right"/>
              <w:rPr>
                <w:iCs/>
              </w:rPr>
            </w:pPr>
            <w:r w:rsidRPr="00932580">
              <w:rPr>
                <w:iCs/>
              </w:rPr>
              <w:t>1 600</w:t>
            </w:r>
          </w:p>
        </w:tc>
        <w:tc>
          <w:tcPr>
            <w:tcW w:w="2257" w:type="dxa"/>
            <w:tcBorders>
              <w:bottom w:val="single" w:sz="8" w:space="0" w:color="7F7F7F" w:themeColor="text1" w:themeTint="80"/>
            </w:tcBorders>
            <w:shd w:val="clear" w:color="auto" w:fill="auto"/>
            <w:vAlign w:val="center"/>
          </w:tcPr>
          <w:p w:rsidR="00910074" w:rsidRPr="00932580" w:rsidRDefault="00910074" w:rsidP="00910074">
            <w:pPr>
              <w:jc w:val="right"/>
              <w:rPr>
                <w:iCs/>
              </w:rPr>
            </w:pPr>
            <w:r w:rsidRPr="00932580">
              <w:rPr>
                <w:iCs/>
              </w:rPr>
              <w:t>0</w:t>
            </w:r>
          </w:p>
        </w:tc>
      </w:tr>
      <w:tr w:rsidR="00910074" w:rsidRPr="00932580" w:rsidTr="00910074">
        <w:tc>
          <w:tcPr>
            <w:tcW w:w="2263" w:type="dxa"/>
            <w:tcBorders>
              <w:top w:val="single" w:sz="8" w:space="0" w:color="7F7F7F" w:themeColor="text1" w:themeTint="80"/>
              <w:bottom w:val="single" w:sz="8" w:space="0" w:color="7F7F7F" w:themeColor="text1" w:themeTint="80"/>
            </w:tcBorders>
            <w:shd w:val="clear" w:color="auto" w:fill="auto"/>
          </w:tcPr>
          <w:p w:rsidR="00910074" w:rsidRPr="00B0254A" w:rsidRDefault="00910074" w:rsidP="00910074">
            <w:pPr>
              <w:jc w:val="center"/>
              <w:rPr>
                <w:b/>
                <w:iCs/>
              </w:rPr>
            </w:pPr>
            <w:r w:rsidRPr="00B0254A">
              <w:rPr>
                <w:b/>
                <w:iCs/>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rsidR="00910074" w:rsidRPr="00B0254A" w:rsidRDefault="00910074" w:rsidP="00910074">
            <w:pPr>
              <w:jc w:val="right"/>
              <w:rPr>
                <w:b/>
                <w:iCs/>
              </w:rPr>
            </w:pPr>
            <w:r w:rsidRPr="00B0254A">
              <w:rPr>
                <w:b/>
                <w:iCs/>
              </w:rPr>
              <w:t>1 935</w:t>
            </w:r>
          </w:p>
        </w:tc>
        <w:tc>
          <w:tcPr>
            <w:tcW w:w="2264" w:type="dxa"/>
            <w:tcBorders>
              <w:top w:val="single" w:sz="8" w:space="0" w:color="7F7F7F" w:themeColor="text1" w:themeTint="80"/>
              <w:bottom w:val="single" w:sz="8" w:space="0" w:color="7F7F7F" w:themeColor="text1" w:themeTint="80"/>
            </w:tcBorders>
            <w:shd w:val="clear" w:color="auto" w:fill="auto"/>
            <w:vAlign w:val="center"/>
          </w:tcPr>
          <w:p w:rsidR="00910074" w:rsidRPr="00B0254A" w:rsidRDefault="00910074" w:rsidP="00910074">
            <w:pPr>
              <w:jc w:val="right"/>
              <w:rPr>
                <w:b/>
                <w:iCs/>
              </w:rPr>
            </w:pPr>
            <w:r w:rsidRPr="00B0254A">
              <w:rPr>
                <w:b/>
                <w:iCs/>
              </w:rPr>
              <w:t>1 600</w:t>
            </w:r>
          </w:p>
        </w:tc>
        <w:tc>
          <w:tcPr>
            <w:tcW w:w="2257" w:type="dxa"/>
            <w:tcBorders>
              <w:top w:val="single" w:sz="8" w:space="0" w:color="7F7F7F" w:themeColor="text1" w:themeTint="80"/>
              <w:bottom w:val="single" w:sz="8" w:space="0" w:color="7F7F7F" w:themeColor="text1" w:themeTint="80"/>
            </w:tcBorders>
            <w:shd w:val="clear" w:color="auto" w:fill="auto"/>
            <w:vAlign w:val="center"/>
          </w:tcPr>
          <w:p w:rsidR="00910074" w:rsidRPr="00B0254A" w:rsidRDefault="00910074" w:rsidP="00910074">
            <w:pPr>
              <w:jc w:val="right"/>
              <w:rPr>
                <w:b/>
                <w:iCs/>
              </w:rPr>
            </w:pPr>
            <w:r w:rsidRPr="00B0254A">
              <w:rPr>
                <w:b/>
                <w:iCs/>
              </w:rPr>
              <w:t>0</w:t>
            </w:r>
          </w:p>
        </w:tc>
      </w:tr>
    </w:tbl>
    <w:p w:rsidR="00910074" w:rsidRPr="00932580" w:rsidRDefault="00910074" w:rsidP="00E447C1">
      <w:pPr>
        <w:pStyle w:val="Styl1"/>
      </w:pPr>
      <w:r w:rsidRPr="00932580">
        <w:rPr>
          <w:b/>
          <w:bCs/>
        </w:rPr>
        <w:t>Drážní inspekce ČR</w:t>
      </w:r>
      <w:r w:rsidRPr="00932580">
        <w:t xml:space="preserve"> nevyužije žádné kapitálové výdaje v r. 2021. Nové investice jsou plánovány až na rok 2022. </w:t>
      </w:r>
    </w:p>
    <w:p w:rsidR="00910074" w:rsidRPr="00932580" w:rsidRDefault="00910074" w:rsidP="00E447C1">
      <w:pPr>
        <w:pStyle w:val="Nadpis9"/>
        <w:rPr>
          <w:lang w:eastAsia="cs-CZ"/>
        </w:rPr>
      </w:pPr>
      <w:r w:rsidRPr="00932580">
        <w:rPr>
          <w:lang w:eastAsia="cs-CZ"/>
        </w:rPr>
        <w:t>Ředitelství vodních cest ČR</w:t>
      </w:r>
    </w:p>
    <w:p w:rsidR="00910074" w:rsidRPr="00932580" w:rsidRDefault="00910074" w:rsidP="00910074">
      <w:pPr>
        <w:keepNext/>
        <w:spacing w:before="120" w:after="120"/>
        <w:rPr>
          <w:rFonts w:eastAsia="Times New Roman" w:cs="Times New Roman"/>
          <w:b/>
          <w:bCs/>
          <w:sz w:val="20"/>
          <w:szCs w:val="20"/>
          <w:lang w:eastAsia="cs-CZ"/>
        </w:rPr>
      </w:pPr>
      <w:r w:rsidRPr="00932580">
        <w:rPr>
          <w:rFonts w:eastAsia="Times New Roman" w:cs="Times New Roman"/>
          <w:b/>
          <w:bCs/>
          <w:sz w:val="20"/>
          <w:szCs w:val="20"/>
          <w:lang w:eastAsia="cs-CZ"/>
        </w:rPr>
        <w:t xml:space="preserve">Tabulka č. </w:t>
      </w:r>
      <w:r w:rsidRPr="00932580">
        <w:rPr>
          <w:rFonts w:eastAsia="Times New Roman" w:cs="Times New Roman"/>
          <w:b/>
          <w:bCs/>
          <w:noProof/>
          <w:sz w:val="20"/>
          <w:szCs w:val="20"/>
          <w:lang w:eastAsia="cs-CZ"/>
        </w:rPr>
        <w:fldChar w:fldCharType="begin"/>
      </w:r>
      <w:r w:rsidRPr="00932580">
        <w:rPr>
          <w:rFonts w:eastAsia="Times New Roman" w:cs="Times New Roman"/>
          <w:b/>
          <w:bCs/>
          <w:noProof/>
          <w:sz w:val="20"/>
          <w:szCs w:val="20"/>
          <w:lang w:eastAsia="cs-CZ"/>
        </w:rPr>
        <w:instrText xml:space="preserve"> SEQ Tabulka \* ARABIC </w:instrText>
      </w:r>
      <w:r w:rsidRPr="00932580">
        <w:rPr>
          <w:rFonts w:eastAsia="Times New Roman" w:cs="Times New Roman"/>
          <w:b/>
          <w:bCs/>
          <w:noProof/>
          <w:sz w:val="20"/>
          <w:szCs w:val="20"/>
          <w:lang w:eastAsia="cs-CZ"/>
        </w:rPr>
        <w:fldChar w:fldCharType="separate"/>
      </w:r>
      <w:r w:rsidR="006076E7">
        <w:rPr>
          <w:rFonts w:eastAsia="Times New Roman" w:cs="Times New Roman"/>
          <w:b/>
          <w:bCs/>
          <w:noProof/>
          <w:sz w:val="20"/>
          <w:szCs w:val="20"/>
          <w:lang w:eastAsia="cs-CZ"/>
        </w:rPr>
        <w:t>34</w:t>
      </w:r>
      <w:r w:rsidRPr="00932580">
        <w:rPr>
          <w:rFonts w:eastAsia="Times New Roman" w:cs="Times New Roman"/>
          <w:b/>
          <w:bCs/>
          <w:noProof/>
          <w:sz w:val="20"/>
          <w:szCs w:val="20"/>
          <w:lang w:eastAsia="cs-CZ"/>
        </w:rPr>
        <w:fldChar w:fldCharType="end"/>
      </w:r>
      <w:r w:rsidRPr="00932580">
        <w:rPr>
          <w:rFonts w:eastAsia="Times New Roman" w:cs="Times New Roman"/>
          <w:b/>
          <w:bCs/>
          <w:noProof/>
          <w:sz w:val="20"/>
          <w:szCs w:val="20"/>
          <w:lang w:eastAsia="cs-CZ"/>
        </w:rPr>
        <w:t xml:space="preserve"> Výdaje Ředitelství vodních cest ČR vedené v EDS/SMVS (v tis. Kč)</w:t>
      </w:r>
    </w:p>
    <w:tbl>
      <w:tblPr>
        <w:tblStyle w:val="Svtltabulkasmkou1zvraznn52"/>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910074" w:rsidRPr="00932580" w:rsidTr="00B0254A">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0254A" w:rsidRDefault="00910074" w:rsidP="00B0254A">
            <w:pPr>
              <w:jc w:val="center"/>
              <w:rPr>
                <w:b/>
                <w:bCs/>
              </w:rPr>
            </w:pPr>
            <w:r w:rsidRPr="00B0254A">
              <w:rPr>
                <w:b/>
                <w:bCs/>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0254A" w:rsidRDefault="00910074" w:rsidP="00B0254A">
            <w:pPr>
              <w:jc w:val="center"/>
              <w:rPr>
                <w:b/>
                <w:bCs/>
              </w:rPr>
            </w:pPr>
            <w:r w:rsidRPr="00B0254A">
              <w:rPr>
                <w:b/>
                <w:bCs/>
              </w:rPr>
              <w:t xml:space="preserve">Skutečnost </w:t>
            </w:r>
            <w:r w:rsidRPr="00B0254A">
              <w:rPr>
                <w:b/>
                <w:bCs/>
              </w:rPr>
              <w:br/>
              <w:t>2019</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0254A" w:rsidRDefault="00910074" w:rsidP="00B0254A">
            <w:pPr>
              <w:jc w:val="center"/>
              <w:rPr>
                <w:b/>
                <w:bCs/>
              </w:rPr>
            </w:pPr>
            <w:r w:rsidRPr="00B0254A">
              <w:rPr>
                <w:b/>
                <w:bCs/>
              </w:rPr>
              <w:t>Schválený rozpočet 2020</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0254A" w:rsidRDefault="00910074" w:rsidP="00B0254A">
            <w:pPr>
              <w:jc w:val="center"/>
              <w:rPr>
                <w:b/>
                <w:bCs/>
              </w:rPr>
            </w:pPr>
            <w:r w:rsidRPr="00B0254A">
              <w:rPr>
                <w:b/>
                <w:bCs/>
              </w:rPr>
              <w:t>Návrh rozpočtu</w:t>
            </w:r>
            <w:r w:rsidRPr="00B0254A">
              <w:rPr>
                <w:b/>
                <w:bCs/>
              </w:rPr>
              <w:br/>
              <w:t xml:space="preserve"> 2021</w:t>
            </w:r>
          </w:p>
        </w:tc>
      </w:tr>
      <w:tr w:rsidR="00910074" w:rsidRPr="00932580" w:rsidTr="00910074">
        <w:tc>
          <w:tcPr>
            <w:tcW w:w="2263" w:type="dxa"/>
            <w:tcBorders>
              <w:top w:val="single" w:sz="4" w:space="0" w:color="7F7F7F" w:themeColor="text1" w:themeTint="80"/>
              <w:bottom w:val="nil"/>
            </w:tcBorders>
            <w:shd w:val="clear" w:color="auto" w:fill="auto"/>
          </w:tcPr>
          <w:p w:rsidR="00910074" w:rsidRPr="00932580" w:rsidRDefault="00910074" w:rsidP="00910074">
            <w:pPr>
              <w:jc w:val="center"/>
            </w:pPr>
            <w:r w:rsidRPr="00932580">
              <w:t>127 01</w:t>
            </w:r>
          </w:p>
        </w:tc>
        <w:tc>
          <w:tcPr>
            <w:tcW w:w="2266" w:type="dxa"/>
            <w:tcBorders>
              <w:top w:val="single" w:sz="4" w:space="0" w:color="7F7F7F" w:themeColor="text1" w:themeTint="80"/>
              <w:bottom w:val="nil"/>
            </w:tcBorders>
            <w:shd w:val="clear" w:color="auto" w:fill="auto"/>
            <w:vAlign w:val="center"/>
          </w:tcPr>
          <w:p w:rsidR="00910074" w:rsidRPr="00932580" w:rsidRDefault="00910074" w:rsidP="00910074">
            <w:pPr>
              <w:jc w:val="right"/>
            </w:pPr>
            <w:r w:rsidRPr="00932580">
              <w:t>0</w:t>
            </w:r>
          </w:p>
        </w:tc>
        <w:tc>
          <w:tcPr>
            <w:tcW w:w="2264" w:type="dxa"/>
            <w:tcBorders>
              <w:top w:val="single" w:sz="4" w:space="0" w:color="7F7F7F" w:themeColor="text1" w:themeTint="80"/>
              <w:bottom w:val="nil"/>
            </w:tcBorders>
            <w:shd w:val="clear" w:color="auto" w:fill="auto"/>
            <w:vAlign w:val="center"/>
          </w:tcPr>
          <w:p w:rsidR="00910074" w:rsidRPr="00932580" w:rsidRDefault="00910074" w:rsidP="00910074">
            <w:pPr>
              <w:jc w:val="right"/>
            </w:pPr>
            <w:r w:rsidRPr="00932580">
              <w:t>0</w:t>
            </w:r>
          </w:p>
        </w:tc>
        <w:tc>
          <w:tcPr>
            <w:tcW w:w="2257" w:type="dxa"/>
            <w:tcBorders>
              <w:top w:val="single" w:sz="4" w:space="0" w:color="7F7F7F" w:themeColor="text1" w:themeTint="80"/>
              <w:bottom w:val="nil"/>
            </w:tcBorders>
            <w:shd w:val="clear" w:color="auto" w:fill="auto"/>
            <w:vAlign w:val="center"/>
          </w:tcPr>
          <w:p w:rsidR="00910074" w:rsidRPr="00932580" w:rsidRDefault="00910074" w:rsidP="00910074">
            <w:pPr>
              <w:jc w:val="right"/>
            </w:pPr>
            <w:r w:rsidRPr="00932580">
              <w:t>0</w:t>
            </w:r>
          </w:p>
        </w:tc>
      </w:tr>
      <w:tr w:rsidR="00910074" w:rsidRPr="00932580" w:rsidTr="00910074">
        <w:tc>
          <w:tcPr>
            <w:tcW w:w="2263" w:type="dxa"/>
            <w:tcBorders>
              <w:top w:val="single" w:sz="4" w:space="0" w:color="7F7F7F" w:themeColor="text1" w:themeTint="80"/>
              <w:bottom w:val="single" w:sz="8" w:space="0" w:color="7F7F7F" w:themeColor="text1" w:themeTint="80"/>
            </w:tcBorders>
            <w:shd w:val="clear" w:color="auto" w:fill="auto"/>
          </w:tcPr>
          <w:p w:rsidR="00910074" w:rsidRPr="00932580" w:rsidRDefault="00910074" w:rsidP="00910074">
            <w:pPr>
              <w:jc w:val="center"/>
            </w:pPr>
            <w:r w:rsidRPr="00932580">
              <w:rPr>
                <w:iCs/>
              </w:rPr>
              <w:t>127 03</w:t>
            </w:r>
          </w:p>
        </w:tc>
        <w:tc>
          <w:tcPr>
            <w:tcW w:w="2266" w:type="dxa"/>
            <w:tcBorders>
              <w:top w:val="single" w:sz="4" w:space="0" w:color="7F7F7F" w:themeColor="text1" w:themeTint="80"/>
              <w:bottom w:val="single" w:sz="8" w:space="0" w:color="7F7F7F" w:themeColor="text1" w:themeTint="80"/>
            </w:tcBorders>
            <w:shd w:val="clear" w:color="auto" w:fill="auto"/>
            <w:vAlign w:val="center"/>
          </w:tcPr>
          <w:p w:rsidR="00910074" w:rsidRPr="00932580" w:rsidRDefault="00910074" w:rsidP="00910074">
            <w:pPr>
              <w:jc w:val="right"/>
              <w:rPr>
                <w:iCs/>
              </w:rPr>
            </w:pPr>
            <w:r w:rsidRPr="00932580">
              <w:rPr>
                <w:iCs/>
              </w:rPr>
              <w:t>580</w:t>
            </w:r>
          </w:p>
        </w:tc>
        <w:tc>
          <w:tcPr>
            <w:tcW w:w="2264" w:type="dxa"/>
            <w:tcBorders>
              <w:top w:val="single" w:sz="4" w:space="0" w:color="7F7F7F" w:themeColor="text1" w:themeTint="80"/>
              <w:bottom w:val="single" w:sz="8" w:space="0" w:color="7F7F7F" w:themeColor="text1" w:themeTint="80"/>
            </w:tcBorders>
            <w:shd w:val="clear" w:color="auto" w:fill="auto"/>
            <w:vAlign w:val="center"/>
          </w:tcPr>
          <w:p w:rsidR="00910074" w:rsidRPr="00932580" w:rsidRDefault="00910074" w:rsidP="00910074">
            <w:pPr>
              <w:jc w:val="right"/>
              <w:rPr>
                <w:iCs/>
              </w:rPr>
            </w:pPr>
            <w:r w:rsidRPr="00932580">
              <w:rPr>
                <w:iCs/>
              </w:rPr>
              <w:t>1 300</w:t>
            </w:r>
          </w:p>
        </w:tc>
        <w:tc>
          <w:tcPr>
            <w:tcW w:w="2257" w:type="dxa"/>
            <w:tcBorders>
              <w:top w:val="single" w:sz="4" w:space="0" w:color="7F7F7F" w:themeColor="text1" w:themeTint="80"/>
              <w:bottom w:val="single" w:sz="8" w:space="0" w:color="7F7F7F" w:themeColor="text1" w:themeTint="80"/>
            </w:tcBorders>
            <w:shd w:val="clear" w:color="auto" w:fill="auto"/>
            <w:vAlign w:val="center"/>
          </w:tcPr>
          <w:p w:rsidR="00910074" w:rsidRPr="00932580" w:rsidRDefault="00910074" w:rsidP="00910074">
            <w:pPr>
              <w:jc w:val="right"/>
              <w:rPr>
                <w:iCs/>
              </w:rPr>
            </w:pPr>
            <w:r w:rsidRPr="00932580">
              <w:rPr>
                <w:iCs/>
              </w:rPr>
              <w:t>0</w:t>
            </w:r>
          </w:p>
        </w:tc>
      </w:tr>
      <w:tr w:rsidR="00910074" w:rsidRPr="00932580" w:rsidTr="00910074">
        <w:tc>
          <w:tcPr>
            <w:tcW w:w="2263" w:type="dxa"/>
            <w:tcBorders>
              <w:top w:val="single" w:sz="8" w:space="0" w:color="7F7F7F" w:themeColor="text1" w:themeTint="80"/>
              <w:bottom w:val="single" w:sz="8" w:space="0" w:color="7F7F7F" w:themeColor="text1" w:themeTint="80"/>
            </w:tcBorders>
            <w:shd w:val="clear" w:color="auto" w:fill="auto"/>
          </w:tcPr>
          <w:p w:rsidR="00910074" w:rsidRPr="00CE6B30" w:rsidRDefault="00910074" w:rsidP="00910074">
            <w:pPr>
              <w:jc w:val="center"/>
              <w:rPr>
                <w:b/>
                <w:iCs/>
              </w:rPr>
            </w:pPr>
            <w:r w:rsidRPr="00CE6B30">
              <w:rPr>
                <w:b/>
                <w:iCs/>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rsidR="00910074" w:rsidRPr="00CE6B30" w:rsidRDefault="00910074" w:rsidP="00910074">
            <w:pPr>
              <w:jc w:val="right"/>
              <w:rPr>
                <w:b/>
                <w:iCs/>
              </w:rPr>
            </w:pPr>
            <w:r w:rsidRPr="00CE6B30">
              <w:rPr>
                <w:b/>
                <w:iCs/>
              </w:rPr>
              <w:t>580</w:t>
            </w:r>
          </w:p>
        </w:tc>
        <w:tc>
          <w:tcPr>
            <w:tcW w:w="2264" w:type="dxa"/>
            <w:tcBorders>
              <w:top w:val="single" w:sz="8" w:space="0" w:color="7F7F7F" w:themeColor="text1" w:themeTint="80"/>
              <w:bottom w:val="single" w:sz="8" w:space="0" w:color="7F7F7F" w:themeColor="text1" w:themeTint="80"/>
            </w:tcBorders>
            <w:shd w:val="clear" w:color="auto" w:fill="auto"/>
            <w:vAlign w:val="center"/>
          </w:tcPr>
          <w:p w:rsidR="00910074" w:rsidRPr="00CE6B30" w:rsidRDefault="00910074" w:rsidP="00910074">
            <w:pPr>
              <w:jc w:val="right"/>
              <w:rPr>
                <w:b/>
                <w:iCs/>
              </w:rPr>
            </w:pPr>
            <w:r w:rsidRPr="00CE6B30">
              <w:rPr>
                <w:b/>
                <w:iCs/>
              </w:rPr>
              <w:t>1 300</w:t>
            </w:r>
          </w:p>
        </w:tc>
        <w:tc>
          <w:tcPr>
            <w:tcW w:w="2257" w:type="dxa"/>
            <w:tcBorders>
              <w:top w:val="single" w:sz="8" w:space="0" w:color="7F7F7F" w:themeColor="text1" w:themeTint="80"/>
              <w:bottom w:val="single" w:sz="8" w:space="0" w:color="7F7F7F" w:themeColor="text1" w:themeTint="80"/>
            </w:tcBorders>
            <w:shd w:val="clear" w:color="auto" w:fill="auto"/>
            <w:vAlign w:val="center"/>
          </w:tcPr>
          <w:p w:rsidR="00910074" w:rsidRPr="00CE6B30" w:rsidRDefault="00910074" w:rsidP="00910074">
            <w:pPr>
              <w:jc w:val="right"/>
              <w:rPr>
                <w:b/>
                <w:iCs/>
              </w:rPr>
            </w:pPr>
            <w:r w:rsidRPr="00CE6B30">
              <w:rPr>
                <w:b/>
                <w:iCs/>
              </w:rPr>
              <w:t>0</w:t>
            </w:r>
          </w:p>
        </w:tc>
      </w:tr>
    </w:tbl>
    <w:p w:rsidR="00910074" w:rsidRPr="00932580" w:rsidRDefault="00910074" w:rsidP="00E447C1">
      <w:pPr>
        <w:pStyle w:val="Styl1"/>
      </w:pPr>
      <w:r w:rsidRPr="00932580">
        <w:rPr>
          <w:b/>
          <w:bCs/>
        </w:rPr>
        <w:lastRenderedPageBreak/>
        <w:t>Ředitelství vodních cest ČR</w:t>
      </w:r>
      <w:r w:rsidRPr="00932580">
        <w:t xml:space="preserve"> nevyužije žádné kapitálové výdaje v r. 2021. Nové investice jsou plánovány až na roky 2022 a 2023. </w:t>
      </w:r>
    </w:p>
    <w:p w:rsidR="00910074" w:rsidRPr="00932580" w:rsidRDefault="00910074" w:rsidP="00E447C1">
      <w:pPr>
        <w:pStyle w:val="Nadpis9"/>
        <w:rPr>
          <w:lang w:eastAsia="cs-CZ"/>
        </w:rPr>
      </w:pPr>
      <w:r w:rsidRPr="00932580">
        <w:rPr>
          <w:lang w:eastAsia="cs-CZ"/>
        </w:rPr>
        <w:t>Ústav pro odborné zjišťování příčin leteckých nehod</w:t>
      </w:r>
    </w:p>
    <w:p w:rsidR="00910074" w:rsidRPr="00932580" w:rsidRDefault="00910074" w:rsidP="00910074">
      <w:pPr>
        <w:keepNext/>
        <w:spacing w:before="120" w:after="120"/>
        <w:rPr>
          <w:rFonts w:eastAsia="Times New Roman" w:cs="Times New Roman"/>
          <w:b/>
          <w:bCs/>
          <w:noProof/>
          <w:sz w:val="20"/>
          <w:szCs w:val="20"/>
          <w:lang w:eastAsia="cs-CZ"/>
        </w:rPr>
      </w:pPr>
      <w:r w:rsidRPr="00932580">
        <w:rPr>
          <w:rFonts w:eastAsia="Times New Roman" w:cs="Times New Roman"/>
          <w:b/>
          <w:bCs/>
          <w:sz w:val="20"/>
          <w:szCs w:val="20"/>
          <w:lang w:eastAsia="cs-CZ"/>
        </w:rPr>
        <w:t xml:space="preserve">Tabulka č. </w:t>
      </w:r>
      <w:r w:rsidRPr="00932580">
        <w:rPr>
          <w:rFonts w:eastAsia="Times New Roman" w:cs="Times New Roman"/>
          <w:b/>
          <w:bCs/>
          <w:noProof/>
          <w:sz w:val="20"/>
          <w:szCs w:val="20"/>
          <w:lang w:eastAsia="cs-CZ"/>
        </w:rPr>
        <w:fldChar w:fldCharType="begin"/>
      </w:r>
      <w:r w:rsidRPr="00932580">
        <w:rPr>
          <w:rFonts w:eastAsia="Times New Roman" w:cs="Times New Roman"/>
          <w:b/>
          <w:bCs/>
          <w:noProof/>
          <w:sz w:val="20"/>
          <w:szCs w:val="20"/>
          <w:lang w:eastAsia="cs-CZ"/>
        </w:rPr>
        <w:instrText xml:space="preserve"> SEQ Tabulka \* ARABIC </w:instrText>
      </w:r>
      <w:r w:rsidRPr="00932580">
        <w:rPr>
          <w:rFonts w:eastAsia="Times New Roman" w:cs="Times New Roman"/>
          <w:b/>
          <w:bCs/>
          <w:noProof/>
          <w:sz w:val="20"/>
          <w:szCs w:val="20"/>
          <w:lang w:eastAsia="cs-CZ"/>
        </w:rPr>
        <w:fldChar w:fldCharType="separate"/>
      </w:r>
      <w:r w:rsidR="006076E7">
        <w:rPr>
          <w:rFonts w:eastAsia="Times New Roman" w:cs="Times New Roman"/>
          <w:b/>
          <w:bCs/>
          <w:noProof/>
          <w:sz w:val="20"/>
          <w:szCs w:val="20"/>
          <w:lang w:eastAsia="cs-CZ"/>
        </w:rPr>
        <w:t>35</w:t>
      </w:r>
      <w:r w:rsidRPr="00932580">
        <w:rPr>
          <w:rFonts w:eastAsia="Times New Roman" w:cs="Times New Roman"/>
          <w:b/>
          <w:bCs/>
          <w:noProof/>
          <w:sz w:val="20"/>
          <w:szCs w:val="20"/>
          <w:lang w:eastAsia="cs-CZ"/>
        </w:rPr>
        <w:fldChar w:fldCharType="end"/>
      </w:r>
      <w:r w:rsidRPr="00932580">
        <w:rPr>
          <w:rFonts w:eastAsia="Times New Roman" w:cs="Times New Roman"/>
          <w:b/>
          <w:bCs/>
          <w:noProof/>
          <w:sz w:val="20"/>
          <w:szCs w:val="20"/>
          <w:lang w:eastAsia="cs-CZ"/>
        </w:rPr>
        <w:t xml:space="preserve"> Výdaje Ústavu pro odborné zjišťování příčin let. nehod vedené v EDS/SMVS (v tis. Kč)</w:t>
      </w:r>
    </w:p>
    <w:tbl>
      <w:tblPr>
        <w:tblStyle w:val="Svtltabulkasmkou1zvraznn52"/>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8"/>
      </w:tblGrid>
      <w:tr w:rsidR="00910074" w:rsidRPr="00932580" w:rsidTr="00B0254A">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0254A" w:rsidRDefault="00910074" w:rsidP="00B0254A">
            <w:pPr>
              <w:jc w:val="center"/>
              <w:rPr>
                <w:b/>
                <w:bCs/>
              </w:rPr>
            </w:pPr>
            <w:r w:rsidRPr="00B0254A">
              <w:rPr>
                <w:b/>
                <w:bCs/>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0254A" w:rsidRDefault="00910074" w:rsidP="00B0254A">
            <w:pPr>
              <w:jc w:val="center"/>
              <w:rPr>
                <w:b/>
                <w:bCs/>
              </w:rPr>
            </w:pPr>
            <w:r w:rsidRPr="00B0254A">
              <w:rPr>
                <w:b/>
                <w:bCs/>
              </w:rPr>
              <w:t xml:space="preserve">Skutečnost </w:t>
            </w:r>
            <w:r w:rsidRPr="00B0254A">
              <w:rPr>
                <w:b/>
                <w:bCs/>
              </w:rPr>
              <w:br/>
              <w:t>2019</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0254A" w:rsidRDefault="00910074" w:rsidP="00B0254A">
            <w:pPr>
              <w:jc w:val="center"/>
              <w:rPr>
                <w:b/>
                <w:bCs/>
              </w:rPr>
            </w:pPr>
            <w:r w:rsidRPr="00B0254A">
              <w:rPr>
                <w:b/>
                <w:bCs/>
              </w:rPr>
              <w:t>Schválený rozpočet 2020</w:t>
            </w:r>
          </w:p>
        </w:tc>
        <w:tc>
          <w:tcPr>
            <w:tcW w:w="225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B0254A" w:rsidRDefault="00910074" w:rsidP="00B0254A">
            <w:pPr>
              <w:jc w:val="center"/>
              <w:rPr>
                <w:b/>
                <w:bCs/>
              </w:rPr>
            </w:pPr>
            <w:r w:rsidRPr="00B0254A">
              <w:rPr>
                <w:b/>
                <w:bCs/>
              </w:rPr>
              <w:t xml:space="preserve">Návrh rozpočtu </w:t>
            </w:r>
            <w:r w:rsidRPr="00B0254A">
              <w:rPr>
                <w:b/>
                <w:bCs/>
              </w:rPr>
              <w:br/>
              <w:t>2021</w:t>
            </w:r>
          </w:p>
        </w:tc>
      </w:tr>
      <w:tr w:rsidR="00910074" w:rsidRPr="00932580" w:rsidTr="00910074">
        <w:tc>
          <w:tcPr>
            <w:tcW w:w="2264" w:type="dxa"/>
            <w:tcBorders>
              <w:top w:val="single" w:sz="4" w:space="0" w:color="7F7F7F" w:themeColor="text1" w:themeTint="80"/>
            </w:tcBorders>
            <w:shd w:val="clear" w:color="auto" w:fill="auto"/>
          </w:tcPr>
          <w:p w:rsidR="00910074" w:rsidRPr="00932580" w:rsidRDefault="00910074" w:rsidP="00910074">
            <w:pPr>
              <w:jc w:val="center"/>
            </w:pPr>
            <w:r w:rsidRPr="00932580">
              <w:t>127 01</w:t>
            </w:r>
          </w:p>
        </w:tc>
        <w:tc>
          <w:tcPr>
            <w:tcW w:w="2266" w:type="dxa"/>
            <w:tcBorders>
              <w:top w:val="single" w:sz="4" w:space="0" w:color="7F7F7F" w:themeColor="text1" w:themeTint="80"/>
            </w:tcBorders>
            <w:shd w:val="clear" w:color="auto" w:fill="auto"/>
            <w:vAlign w:val="center"/>
          </w:tcPr>
          <w:p w:rsidR="00910074" w:rsidRPr="00932580" w:rsidRDefault="00910074" w:rsidP="00910074">
            <w:pPr>
              <w:jc w:val="right"/>
            </w:pPr>
            <w:r w:rsidRPr="00932580">
              <w:t>0</w:t>
            </w:r>
          </w:p>
        </w:tc>
        <w:tc>
          <w:tcPr>
            <w:tcW w:w="2264" w:type="dxa"/>
            <w:tcBorders>
              <w:top w:val="single" w:sz="4" w:space="0" w:color="7F7F7F" w:themeColor="text1" w:themeTint="80"/>
            </w:tcBorders>
            <w:shd w:val="clear" w:color="auto" w:fill="auto"/>
            <w:vAlign w:val="center"/>
          </w:tcPr>
          <w:p w:rsidR="00910074" w:rsidRPr="00932580" w:rsidRDefault="00910074" w:rsidP="00910074">
            <w:pPr>
              <w:jc w:val="right"/>
            </w:pPr>
            <w:r w:rsidRPr="00932580">
              <w:t>0</w:t>
            </w:r>
          </w:p>
        </w:tc>
        <w:tc>
          <w:tcPr>
            <w:tcW w:w="2258" w:type="dxa"/>
            <w:tcBorders>
              <w:top w:val="single" w:sz="4" w:space="0" w:color="7F7F7F" w:themeColor="text1" w:themeTint="80"/>
            </w:tcBorders>
            <w:shd w:val="clear" w:color="auto" w:fill="auto"/>
            <w:vAlign w:val="center"/>
          </w:tcPr>
          <w:p w:rsidR="00910074" w:rsidRPr="00932580" w:rsidRDefault="00910074" w:rsidP="00910074">
            <w:pPr>
              <w:jc w:val="right"/>
            </w:pPr>
            <w:r w:rsidRPr="00932580">
              <w:t>0</w:t>
            </w:r>
          </w:p>
        </w:tc>
      </w:tr>
      <w:tr w:rsidR="00910074" w:rsidRPr="00932580" w:rsidTr="00910074">
        <w:tc>
          <w:tcPr>
            <w:tcW w:w="2264" w:type="dxa"/>
            <w:tcBorders>
              <w:bottom w:val="single" w:sz="8" w:space="0" w:color="7F7F7F" w:themeColor="text1" w:themeTint="80"/>
            </w:tcBorders>
            <w:shd w:val="clear" w:color="auto" w:fill="auto"/>
          </w:tcPr>
          <w:p w:rsidR="00910074" w:rsidRPr="00932580" w:rsidRDefault="00910074" w:rsidP="00910074">
            <w:pPr>
              <w:jc w:val="center"/>
            </w:pPr>
            <w:r w:rsidRPr="00932580">
              <w:rPr>
                <w:iCs/>
              </w:rPr>
              <w:t>127 03</w:t>
            </w:r>
          </w:p>
        </w:tc>
        <w:tc>
          <w:tcPr>
            <w:tcW w:w="2266" w:type="dxa"/>
            <w:tcBorders>
              <w:bottom w:val="single" w:sz="8" w:space="0" w:color="7F7F7F" w:themeColor="text1" w:themeTint="80"/>
            </w:tcBorders>
            <w:shd w:val="clear" w:color="auto" w:fill="auto"/>
            <w:vAlign w:val="center"/>
          </w:tcPr>
          <w:p w:rsidR="00910074" w:rsidRPr="00932580" w:rsidRDefault="00910074" w:rsidP="00910074">
            <w:pPr>
              <w:jc w:val="right"/>
              <w:rPr>
                <w:iCs/>
              </w:rPr>
            </w:pPr>
            <w:r w:rsidRPr="00932580">
              <w:rPr>
                <w:iCs/>
              </w:rPr>
              <w:t>406</w:t>
            </w:r>
          </w:p>
        </w:tc>
        <w:tc>
          <w:tcPr>
            <w:tcW w:w="2264" w:type="dxa"/>
            <w:tcBorders>
              <w:bottom w:val="single" w:sz="8" w:space="0" w:color="7F7F7F" w:themeColor="text1" w:themeTint="80"/>
            </w:tcBorders>
            <w:shd w:val="clear" w:color="auto" w:fill="auto"/>
            <w:vAlign w:val="center"/>
          </w:tcPr>
          <w:p w:rsidR="00910074" w:rsidRPr="00932580" w:rsidRDefault="00910074" w:rsidP="00910074">
            <w:pPr>
              <w:jc w:val="right"/>
              <w:rPr>
                <w:iCs/>
              </w:rPr>
            </w:pPr>
            <w:r w:rsidRPr="00932580">
              <w:rPr>
                <w:iCs/>
              </w:rPr>
              <w:t>1 300</w:t>
            </w:r>
          </w:p>
        </w:tc>
        <w:tc>
          <w:tcPr>
            <w:tcW w:w="2258" w:type="dxa"/>
            <w:tcBorders>
              <w:bottom w:val="single" w:sz="8" w:space="0" w:color="7F7F7F" w:themeColor="text1" w:themeTint="80"/>
            </w:tcBorders>
            <w:shd w:val="clear" w:color="auto" w:fill="auto"/>
            <w:vAlign w:val="center"/>
          </w:tcPr>
          <w:p w:rsidR="00910074" w:rsidRPr="00932580" w:rsidRDefault="00910074" w:rsidP="00910074">
            <w:pPr>
              <w:jc w:val="right"/>
              <w:rPr>
                <w:iCs/>
              </w:rPr>
            </w:pPr>
            <w:r w:rsidRPr="00932580">
              <w:rPr>
                <w:iCs/>
              </w:rPr>
              <w:t>1 300</w:t>
            </w:r>
          </w:p>
        </w:tc>
      </w:tr>
      <w:tr w:rsidR="00910074" w:rsidRPr="00932580" w:rsidTr="00910074">
        <w:tc>
          <w:tcPr>
            <w:tcW w:w="2264" w:type="dxa"/>
            <w:tcBorders>
              <w:top w:val="single" w:sz="8" w:space="0" w:color="7F7F7F" w:themeColor="text1" w:themeTint="80"/>
              <w:bottom w:val="single" w:sz="8" w:space="0" w:color="7F7F7F" w:themeColor="text1" w:themeTint="80"/>
            </w:tcBorders>
            <w:shd w:val="clear" w:color="auto" w:fill="auto"/>
          </w:tcPr>
          <w:p w:rsidR="00910074" w:rsidRPr="00CE6B30" w:rsidRDefault="00910074" w:rsidP="00910074">
            <w:pPr>
              <w:jc w:val="center"/>
              <w:rPr>
                <w:b/>
                <w:iCs/>
              </w:rPr>
            </w:pPr>
            <w:r w:rsidRPr="00CE6B30">
              <w:rPr>
                <w:b/>
                <w:iCs/>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rsidR="00910074" w:rsidRPr="00CE6B30" w:rsidRDefault="00910074" w:rsidP="00910074">
            <w:pPr>
              <w:jc w:val="right"/>
              <w:rPr>
                <w:b/>
                <w:iCs/>
              </w:rPr>
            </w:pPr>
            <w:r w:rsidRPr="00CE6B30">
              <w:rPr>
                <w:b/>
                <w:iCs/>
              </w:rPr>
              <w:t>406</w:t>
            </w:r>
          </w:p>
        </w:tc>
        <w:tc>
          <w:tcPr>
            <w:tcW w:w="2264" w:type="dxa"/>
            <w:tcBorders>
              <w:top w:val="single" w:sz="8" w:space="0" w:color="7F7F7F" w:themeColor="text1" w:themeTint="80"/>
              <w:bottom w:val="single" w:sz="8" w:space="0" w:color="7F7F7F" w:themeColor="text1" w:themeTint="80"/>
            </w:tcBorders>
            <w:shd w:val="clear" w:color="auto" w:fill="auto"/>
            <w:vAlign w:val="center"/>
          </w:tcPr>
          <w:p w:rsidR="00910074" w:rsidRPr="00CE6B30" w:rsidRDefault="00910074" w:rsidP="00910074">
            <w:pPr>
              <w:jc w:val="right"/>
              <w:rPr>
                <w:b/>
                <w:iCs/>
              </w:rPr>
            </w:pPr>
            <w:r w:rsidRPr="00CE6B30">
              <w:rPr>
                <w:b/>
                <w:iCs/>
              </w:rPr>
              <w:t>1 300</w:t>
            </w:r>
          </w:p>
        </w:tc>
        <w:tc>
          <w:tcPr>
            <w:tcW w:w="2258" w:type="dxa"/>
            <w:tcBorders>
              <w:top w:val="single" w:sz="8" w:space="0" w:color="7F7F7F" w:themeColor="text1" w:themeTint="80"/>
              <w:bottom w:val="single" w:sz="8" w:space="0" w:color="7F7F7F" w:themeColor="text1" w:themeTint="80"/>
            </w:tcBorders>
            <w:shd w:val="clear" w:color="auto" w:fill="auto"/>
            <w:vAlign w:val="center"/>
          </w:tcPr>
          <w:p w:rsidR="00910074" w:rsidRPr="00CE6B30" w:rsidRDefault="00910074" w:rsidP="00910074">
            <w:pPr>
              <w:jc w:val="right"/>
              <w:rPr>
                <w:b/>
                <w:iCs/>
              </w:rPr>
            </w:pPr>
            <w:r w:rsidRPr="00CE6B30">
              <w:rPr>
                <w:b/>
                <w:iCs/>
              </w:rPr>
              <w:t>1 300</w:t>
            </w:r>
          </w:p>
        </w:tc>
      </w:tr>
    </w:tbl>
    <w:p w:rsidR="00910074" w:rsidRPr="004E2BF8" w:rsidRDefault="00910074" w:rsidP="00910074">
      <w:pPr>
        <w:pStyle w:val="Styl1"/>
      </w:pPr>
      <w:r w:rsidRPr="00932580">
        <w:rPr>
          <w:rFonts w:eastAsiaTheme="minorHAnsi" w:cstheme="minorBidi"/>
          <w:b/>
          <w:iCs w:val="0"/>
          <w:szCs w:val="22"/>
          <w:lang w:eastAsia="en-US"/>
        </w:rPr>
        <w:t>Kapitálové výdaje</w:t>
      </w:r>
      <w:r w:rsidRPr="00932580">
        <w:rPr>
          <w:rFonts w:eastAsiaTheme="minorHAnsi" w:cstheme="minorBidi"/>
          <w:iCs w:val="0"/>
          <w:szCs w:val="22"/>
          <w:lang w:eastAsia="en-US"/>
        </w:rPr>
        <w:t xml:space="preserve"> zapracované v programu 127 03 ve výši </w:t>
      </w:r>
      <w:r w:rsidRPr="00932580">
        <w:rPr>
          <w:rFonts w:eastAsiaTheme="minorHAnsi" w:cstheme="minorBidi"/>
          <w:b/>
          <w:iCs w:val="0"/>
          <w:szCs w:val="22"/>
          <w:lang w:eastAsia="en-US"/>
        </w:rPr>
        <w:t>1 300</w:t>
      </w:r>
      <w:r w:rsidRPr="00932580">
        <w:rPr>
          <w:rFonts w:eastAsiaTheme="minorHAnsi" w:cstheme="minorBidi"/>
          <w:b/>
          <w:bCs/>
          <w:iCs w:val="0"/>
          <w:szCs w:val="22"/>
          <w:lang w:eastAsia="en-US"/>
        </w:rPr>
        <w:t xml:space="preserve"> tis. Kč</w:t>
      </w:r>
      <w:r w:rsidRPr="00932580">
        <w:rPr>
          <w:rFonts w:eastAsiaTheme="minorHAnsi" w:cstheme="minorBidi"/>
          <w:iCs w:val="0"/>
          <w:szCs w:val="22"/>
          <w:lang w:eastAsia="en-US"/>
        </w:rPr>
        <w:t xml:space="preserve"> jsou určeny </w:t>
      </w:r>
      <w:r w:rsidRPr="00932580">
        <w:rPr>
          <w:rFonts w:eastAsiaTheme="minorHAnsi" w:cstheme="minorBidi"/>
          <w:iCs w:val="0"/>
          <w:szCs w:val="22"/>
          <w:lang w:eastAsia="en-US"/>
        </w:rPr>
        <w:br/>
        <w:t xml:space="preserve">na obměnu terénního užitkového vozidla (1 235 tis. Kč), na pořízení systému elektronické evidence jízd vozidel organizace (65 tis. Kč). </w:t>
      </w:r>
      <w:r w:rsidRPr="004E2BF8">
        <w:t xml:space="preserve">                                                                                                                                     </w:t>
      </w:r>
    </w:p>
    <w:p w:rsidR="00BB459E" w:rsidRPr="00E24034" w:rsidRDefault="00BB459E" w:rsidP="00910074">
      <w:pPr>
        <w:pStyle w:val="Nadpis3"/>
      </w:pPr>
      <w:bookmarkStart w:id="98" w:name="_Toc53750581"/>
      <w:bookmarkEnd w:id="96"/>
      <w:bookmarkEnd w:id="97"/>
      <w:r w:rsidRPr="00E24034">
        <w:t>Příspěvkové organizace</w:t>
      </w:r>
      <w:bookmarkEnd w:id="94"/>
      <w:bookmarkEnd w:id="95"/>
      <w:bookmarkEnd w:id="98"/>
    </w:p>
    <w:p w:rsidR="00910074" w:rsidRPr="004E2BF8" w:rsidRDefault="00910074" w:rsidP="00910074">
      <w:pPr>
        <w:pStyle w:val="Styl1"/>
        <w:spacing w:before="240"/>
      </w:pPr>
      <w:bookmarkStart w:id="99" w:name="_Toc304375453"/>
      <w:bookmarkStart w:id="100" w:name="_Toc305406311"/>
      <w:bookmarkStart w:id="101" w:name="_Toc462314404"/>
      <w:bookmarkStart w:id="102" w:name="_Toc489274111"/>
      <w:r w:rsidRPr="004E2BF8">
        <w:t>Výdaje vedené v EDS/SMVS určené státním příspěvkovým organizacím jsou pro rozpočtový rok 202</w:t>
      </w:r>
      <w:r>
        <w:t>1</w:t>
      </w:r>
      <w:r w:rsidRPr="004E2BF8">
        <w:t xml:space="preserve"> navrženy ve výši </w:t>
      </w:r>
      <w:r>
        <w:t>8 673</w:t>
      </w:r>
      <w:r w:rsidRPr="004E2BF8">
        <w:t xml:space="preserve"> tis. Kč. Jedná se o prostředky státního rozpočtu. Druhové členění výdajů vykazuje následující tabulka.                        </w:t>
      </w:r>
      <w:r w:rsidRPr="004E2BF8">
        <w:rPr>
          <w:bCs/>
          <w:iCs w:val="0"/>
        </w:rPr>
        <w:t xml:space="preserve">                                                                                                                                </w:t>
      </w:r>
      <w:r w:rsidRPr="004E2BF8">
        <w:t xml:space="preserve">          </w:t>
      </w:r>
      <w:r w:rsidRPr="004E2BF8">
        <w:rPr>
          <w:bCs/>
          <w:iCs w:val="0"/>
        </w:rPr>
        <w:t xml:space="preserve">                                                                                                                                </w:t>
      </w:r>
    </w:p>
    <w:p w:rsidR="00910074" w:rsidRPr="004E2BF8" w:rsidRDefault="00910074" w:rsidP="00910074">
      <w:pPr>
        <w:keepNext/>
        <w:spacing w:after="120" w:line="240" w:lineRule="auto"/>
        <w:rPr>
          <w:rFonts w:eastAsia="Times New Roman" w:cs="Times New Roman"/>
          <w:b/>
          <w:bCs/>
          <w:sz w:val="20"/>
          <w:szCs w:val="20"/>
          <w:lang w:eastAsia="cs-CZ"/>
        </w:rPr>
      </w:pPr>
      <w:r w:rsidRPr="004E2BF8">
        <w:rPr>
          <w:rFonts w:eastAsia="Times New Roman" w:cs="Times New Roman"/>
          <w:b/>
          <w:bCs/>
          <w:sz w:val="20"/>
          <w:szCs w:val="20"/>
          <w:lang w:eastAsia="cs-CZ"/>
        </w:rPr>
        <w:t xml:space="preserve">Tabulka č. </w:t>
      </w:r>
      <w:r w:rsidRPr="004E2BF8">
        <w:rPr>
          <w:rFonts w:eastAsia="Times New Roman" w:cs="Times New Roman"/>
          <w:b/>
          <w:bCs/>
          <w:noProof/>
          <w:sz w:val="20"/>
          <w:szCs w:val="20"/>
          <w:lang w:eastAsia="cs-CZ"/>
        </w:rPr>
        <w:fldChar w:fldCharType="begin"/>
      </w:r>
      <w:r w:rsidRPr="004E2BF8">
        <w:rPr>
          <w:rFonts w:eastAsia="Times New Roman" w:cs="Times New Roman"/>
          <w:b/>
          <w:bCs/>
          <w:noProof/>
          <w:sz w:val="20"/>
          <w:szCs w:val="20"/>
          <w:lang w:eastAsia="cs-CZ"/>
        </w:rPr>
        <w:instrText xml:space="preserve"> SEQ Tabulka \* ARABIC </w:instrText>
      </w:r>
      <w:r w:rsidRPr="004E2BF8">
        <w:rPr>
          <w:rFonts w:eastAsia="Times New Roman" w:cs="Times New Roman"/>
          <w:b/>
          <w:bCs/>
          <w:noProof/>
          <w:sz w:val="20"/>
          <w:szCs w:val="20"/>
          <w:lang w:eastAsia="cs-CZ"/>
        </w:rPr>
        <w:fldChar w:fldCharType="separate"/>
      </w:r>
      <w:r w:rsidR="006076E7">
        <w:rPr>
          <w:rFonts w:eastAsia="Times New Roman" w:cs="Times New Roman"/>
          <w:b/>
          <w:bCs/>
          <w:noProof/>
          <w:sz w:val="20"/>
          <w:szCs w:val="20"/>
          <w:lang w:eastAsia="cs-CZ"/>
        </w:rPr>
        <w:t>36</w:t>
      </w:r>
      <w:r w:rsidRPr="004E2BF8">
        <w:rPr>
          <w:rFonts w:eastAsia="Times New Roman" w:cs="Times New Roman"/>
          <w:b/>
          <w:bCs/>
          <w:noProof/>
          <w:sz w:val="20"/>
          <w:szCs w:val="20"/>
          <w:lang w:eastAsia="cs-CZ"/>
        </w:rPr>
        <w:fldChar w:fldCharType="end"/>
      </w:r>
      <w:r w:rsidRPr="004E2BF8">
        <w:rPr>
          <w:rFonts w:eastAsia="Times New Roman" w:cs="Times New Roman"/>
          <w:b/>
          <w:bCs/>
          <w:noProof/>
          <w:sz w:val="20"/>
          <w:szCs w:val="20"/>
          <w:lang w:eastAsia="cs-CZ"/>
        </w:rPr>
        <w:t xml:space="preserve"> Výdaje příspěvkových organizací vedených v EDS/SMVS (v tis. Kč)</w:t>
      </w:r>
    </w:p>
    <w:tbl>
      <w:tblPr>
        <w:tblStyle w:val="Svtltabulkasmkou1zvraznn5"/>
        <w:tblW w:w="5024"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854"/>
        <w:gridCol w:w="1360"/>
        <w:gridCol w:w="1426"/>
        <w:gridCol w:w="1426"/>
        <w:gridCol w:w="1028"/>
      </w:tblGrid>
      <w:tr w:rsidR="00910074" w:rsidRPr="004E2BF8" w:rsidTr="00910074">
        <w:tc>
          <w:tcPr>
            <w:tcW w:w="21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4E2BF8" w:rsidRDefault="00910074" w:rsidP="00910074">
            <w:pPr>
              <w:jc w:val="center"/>
              <w:rPr>
                <w:rFonts w:eastAsia="Times New Roman" w:cs="Times New Roman"/>
                <w:b/>
                <w:lang w:eastAsia="cs-CZ"/>
              </w:rPr>
            </w:pPr>
            <w:r w:rsidRPr="004E2BF8">
              <w:rPr>
                <w:rFonts w:eastAsia="Times New Roman" w:cs="Times New Roman"/>
                <w:b/>
                <w:lang w:eastAsia="cs-CZ"/>
              </w:rPr>
              <w:t>Ukazatel</w:t>
            </w:r>
          </w:p>
        </w:tc>
        <w:tc>
          <w:tcPr>
            <w:tcW w:w="74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4E2BF8" w:rsidRDefault="00910074" w:rsidP="00910074">
            <w:pPr>
              <w:jc w:val="center"/>
              <w:rPr>
                <w:rFonts w:eastAsia="Times New Roman" w:cs="Times New Roman"/>
                <w:b/>
                <w:lang w:eastAsia="cs-CZ"/>
              </w:rPr>
            </w:pPr>
            <w:r w:rsidRPr="004E2BF8">
              <w:rPr>
                <w:rFonts w:eastAsia="Times New Roman" w:cs="Times New Roman"/>
                <w:b/>
                <w:lang w:eastAsia="cs-CZ"/>
              </w:rPr>
              <w:t>Skutečnost</w:t>
            </w:r>
          </w:p>
          <w:p w:rsidR="00910074" w:rsidRPr="004E2BF8" w:rsidRDefault="00910074" w:rsidP="00910074">
            <w:pPr>
              <w:jc w:val="center"/>
              <w:rPr>
                <w:rFonts w:eastAsia="Times New Roman" w:cs="Times New Roman"/>
                <w:b/>
                <w:lang w:eastAsia="cs-CZ"/>
              </w:rPr>
            </w:pPr>
            <w:r w:rsidRPr="004E2BF8">
              <w:rPr>
                <w:rFonts w:eastAsia="Times New Roman" w:cs="Times New Roman"/>
                <w:b/>
                <w:lang w:eastAsia="cs-CZ"/>
              </w:rPr>
              <w:t>201</w:t>
            </w:r>
            <w:r>
              <w:rPr>
                <w:rFonts w:eastAsia="Times New Roman" w:cs="Times New Roman"/>
                <w:b/>
                <w:lang w:eastAsia="cs-CZ"/>
              </w:rPr>
              <w:t>9</w:t>
            </w:r>
          </w:p>
        </w:tc>
        <w:tc>
          <w:tcPr>
            <w:tcW w:w="78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4E2BF8" w:rsidRDefault="00910074" w:rsidP="00910074">
            <w:pPr>
              <w:jc w:val="center"/>
              <w:rPr>
                <w:rFonts w:eastAsia="Times New Roman" w:cs="Times New Roman"/>
                <w:b/>
                <w:lang w:eastAsia="cs-CZ"/>
              </w:rPr>
            </w:pPr>
            <w:r w:rsidRPr="004E2BF8">
              <w:rPr>
                <w:rFonts w:eastAsia="Times New Roman" w:cs="Times New Roman"/>
                <w:b/>
                <w:lang w:eastAsia="cs-CZ"/>
              </w:rPr>
              <w:t>Schválený rozpočet</w:t>
            </w:r>
          </w:p>
          <w:p w:rsidR="00910074" w:rsidRPr="004E2BF8" w:rsidRDefault="00910074" w:rsidP="00910074">
            <w:pPr>
              <w:jc w:val="center"/>
              <w:rPr>
                <w:rFonts w:eastAsia="Times New Roman" w:cs="Times New Roman"/>
                <w:b/>
                <w:lang w:eastAsia="cs-CZ"/>
              </w:rPr>
            </w:pPr>
            <w:r w:rsidRPr="004E2BF8">
              <w:rPr>
                <w:rFonts w:eastAsia="Times New Roman" w:cs="Times New Roman"/>
                <w:b/>
                <w:lang w:eastAsia="cs-CZ"/>
              </w:rPr>
              <w:t>20</w:t>
            </w:r>
            <w:r>
              <w:rPr>
                <w:rFonts w:eastAsia="Times New Roman" w:cs="Times New Roman"/>
                <w:b/>
                <w:lang w:eastAsia="cs-CZ"/>
              </w:rPr>
              <w:t>20</w:t>
            </w:r>
          </w:p>
        </w:tc>
        <w:tc>
          <w:tcPr>
            <w:tcW w:w="78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4E2BF8" w:rsidRDefault="00910074" w:rsidP="00910074">
            <w:pPr>
              <w:jc w:val="center"/>
              <w:rPr>
                <w:rFonts w:eastAsia="Times New Roman" w:cs="Times New Roman"/>
                <w:b/>
                <w:lang w:eastAsia="cs-CZ"/>
              </w:rPr>
            </w:pPr>
            <w:r w:rsidRPr="004E2BF8">
              <w:rPr>
                <w:rFonts w:eastAsia="Times New Roman" w:cs="Times New Roman"/>
                <w:b/>
                <w:lang w:eastAsia="cs-CZ"/>
              </w:rPr>
              <w:t>Návrh</w:t>
            </w:r>
          </w:p>
          <w:p w:rsidR="00910074" w:rsidRPr="004E2BF8" w:rsidRDefault="00910074" w:rsidP="00910074">
            <w:pPr>
              <w:jc w:val="center"/>
              <w:rPr>
                <w:rFonts w:eastAsia="Times New Roman" w:cs="Times New Roman"/>
                <w:b/>
                <w:lang w:eastAsia="cs-CZ"/>
              </w:rPr>
            </w:pPr>
            <w:r w:rsidRPr="004E2BF8">
              <w:rPr>
                <w:rFonts w:eastAsia="Times New Roman" w:cs="Times New Roman"/>
                <w:b/>
                <w:lang w:eastAsia="cs-CZ"/>
              </w:rPr>
              <w:t>rozpočtu</w:t>
            </w:r>
          </w:p>
          <w:p w:rsidR="00910074" w:rsidRPr="004E2BF8" w:rsidRDefault="00910074" w:rsidP="00910074">
            <w:pPr>
              <w:jc w:val="center"/>
              <w:rPr>
                <w:rFonts w:eastAsia="Times New Roman" w:cs="Times New Roman"/>
                <w:b/>
                <w:lang w:eastAsia="cs-CZ"/>
              </w:rPr>
            </w:pPr>
            <w:r w:rsidRPr="004E2BF8">
              <w:rPr>
                <w:rFonts w:eastAsia="Times New Roman" w:cs="Times New Roman"/>
                <w:b/>
                <w:lang w:eastAsia="cs-CZ"/>
              </w:rPr>
              <w:t>202</w:t>
            </w:r>
            <w:r>
              <w:rPr>
                <w:rFonts w:eastAsia="Times New Roman" w:cs="Times New Roman"/>
                <w:b/>
                <w:lang w:eastAsia="cs-CZ"/>
              </w:rPr>
              <w:t>1</w:t>
            </w:r>
          </w:p>
        </w:tc>
        <w:tc>
          <w:tcPr>
            <w:tcW w:w="56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4E2BF8" w:rsidRDefault="00910074" w:rsidP="00910074">
            <w:pPr>
              <w:jc w:val="center"/>
              <w:rPr>
                <w:rFonts w:eastAsia="Times New Roman" w:cs="Times New Roman"/>
                <w:b/>
                <w:lang w:eastAsia="cs-CZ"/>
              </w:rPr>
            </w:pPr>
            <w:r w:rsidRPr="004E2BF8">
              <w:rPr>
                <w:rFonts w:eastAsia="Times New Roman" w:cs="Times New Roman"/>
                <w:b/>
                <w:lang w:eastAsia="cs-CZ"/>
              </w:rPr>
              <w:t>Index</w:t>
            </w:r>
          </w:p>
          <w:p w:rsidR="00910074" w:rsidRPr="004E2BF8" w:rsidRDefault="00910074" w:rsidP="00910074">
            <w:pPr>
              <w:jc w:val="center"/>
              <w:rPr>
                <w:rFonts w:eastAsia="Times New Roman" w:cs="Times New Roman"/>
                <w:b/>
                <w:lang w:eastAsia="cs-CZ"/>
              </w:rPr>
            </w:pPr>
            <w:r w:rsidRPr="004E2BF8">
              <w:rPr>
                <w:rFonts w:eastAsia="Times New Roman" w:cs="Times New Roman"/>
                <w:b/>
                <w:lang w:eastAsia="cs-CZ"/>
              </w:rPr>
              <w:t>202</w:t>
            </w:r>
            <w:r>
              <w:rPr>
                <w:rFonts w:eastAsia="Times New Roman" w:cs="Times New Roman"/>
                <w:b/>
                <w:lang w:eastAsia="cs-CZ"/>
              </w:rPr>
              <w:t>1</w:t>
            </w:r>
            <w:r w:rsidRPr="004E2BF8">
              <w:rPr>
                <w:rFonts w:eastAsia="Times New Roman" w:cs="Times New Roman"/>
                <w:b/>
                <w:lang w:eastAsia="cs-CZ"/>
              </w:rPr>
              <w:t>/</w:t>
            </w:r>
            <w:r w:rsidRPr="004E2BF8">
              <w:rPr>
                <w:rFonts w:eastAsia="Times New Roman" w:cs="Times New Roman"/>
                <w:b/>
                <w:lang w:eastAsia="cs-CZ"/>
              </w:rPr>
              <w:br/>
              <w:t>20</w:t>
            </w:r>
            <w:r>
              <w:rPr>
                <w:rFonts w:eastAsia="Times New Roman" w:cs="Times New Roman"/>
                <w:b/>
                <w:lang w:eastAsia="cs-CZ"/>
              </w:rPr>
              <w:t>20</w:t>
            </w:r>
          </w:p>
          <w:p w:rsidR="00910074" w:rsidRPr="004E2BF8" w:rsidRDefault="00910074" w:rsidP="00910074">
            <w:pPr>
              <w:jc w:val="center"/>
              <w:rPr>
                <w:rFonts w:eastAsia="Times New Roman" w:cs="Times New Roman"/>
                <w:b/>
                <w:lang w:eastAsia="cs-CZ"/>
              </w:rPr>
            </w:pPr>
            <w:r w:rsidRPr="004E2BF8">
              <w:rPr>
                <w:rFonts w:eastAsia="Times New Roman" w:cs="Times New Roman"/>
                <w:b/>
                <w:lang w:eastAsia="cs-CZ"/>
              </w:rPr>
              <w:t>(v %)</w:t>
            </w:r>
          </w:p>
        </w:tc>
      </w:tr>
      <w:tr w:rsidR="00910074" w:rsidRPr="004E2BF8" w:rsidTr="00910074">
        <w:tc>
          <w:tcPr>
            <w:tcW w:w="2119" w:type="pct"/>
            <w:tcBorders>
              <w:top w:val="single" w:sz="4" w:space="0" w:color="7F7F7F" w:themeColor="text1" w:themeTint="80"/>
              <w:bottom w:val="single" w:sz="8" w:space="0" w:color="7F7F7F" w:themeColor="text1" w:themeTint="80"/>
            </w:tcBorders>
            <w:shd w:val="clear" w:color="auto" w:fill="auto"/>
          </w:tcPr>
          <w:p w:rsidR="00910074" w:rsidRPr="004E2BF8" w:rsidRDefault="00910074" w:rsidP="00910074">
            <w:pPr>
              <w:jc w:val="center"/>
              <w:rPr>
                <w:rFonts w:eastAsia="Times New Roman" w:cs="Times New Roman"/>
                <w:lang w:eastAsia="cs-CZ"/>
              </w:rPr>
            </w:pPr>
            <w:r w:rsidRPr="004E2BF8">
              <w:rPr>
                <w:rFonts w:eastAsia="Times New Roman" w:cs="Times New Roman"/>
                <w:lang w:eastAsia="cs-CZ"/>
              </w:rPr>
              <w:t>a</w:t>
            </w:r>
          </w:p>
        </w:tc>
        <w:tc>
          <w:tcPr>
            <w:tcW w:w="748" w:type="pct"/>
            <w:tcBorders>
              <w:top w:val="single" w:sz="4" w:space="0" w:color="7F7F7F" w:themeColor="text1" w:themeTint="80"/>
              <w:bottom w:val="single" w:sz="8" w:space="0" w:color="7F7F7F" w:themeColor="text1" w:themeTint="80"/>
            </w:tcBorders>
            <w:shd w:val="clear" w:color="auto" w:fill="auto"/>
          </w:tcPr>
          <w:p w:rsidR="00910074" w:rsidRPr="004E2BF8" w:rsidRDefault="00910074" w:rsidP="00910074">
            <w:pPr>
              <w:jc w:val="center"/>
              <w:rPr>
                <w:rFonts w:eastAsia="Times New Roman" w:cs="Times New Roman"/>
                <w:lang w:eastAsia="cs-CZ"/>
              </w:rPr>
            </w:pPr>
            <w:r w:rsidRPr="004E2BF8">
              <w:rPr>
                <w:rFonts w:eastAsia="Times New Roman" w:cs="Times New Roman"/>
                <w:lang w:eastAsia="cs-CZ"/>
              </w:rPr>
              <w:t>1</w:t>
            </w:r>
          </w:p>
        </w:tc>
        <w:tc>
          <w:tcPr>
            <w:tcW w:w="784" w:type="pct"/>
            <w:tcBorders>
              <w:top w:val="single" w:sz="4" w:space="0" w:color="7F7F7F" w:themeColor="text1" w:themeTint="80"/>
              <w:bottom w:val="single" w:sz="8" w:space="0" w:color="7F7F7F" w:themeColor="text1" w:themeTint="80"/>
            </w:tcBorders>
            <w:shd w:val="clear" w:color="auto" w:fill="auto"/>
          </w:tcPr>
          <w:p w:rsidR="00910074" w:rsidRPr="004E2BF8" w:rsidRDefault="00910074" w:rsidP="00910074">
            <w:pPr>
              <w:jc w:val="center"/>
              <w:rPr>
                <w:rFonts w:eastAsia="Times New Roman" w:cs="Times New Roman"/>
                <w:lang w:eastAsia="cs-CZ"/>
              </w:rPr>
            </w:pPr>
            <w:r w:rsidRPr="004E2BF8">
              <w:rPr>
                <w:rFonts w:eastAsia="Times New Roman" w:cs="Times New Roman"/>
                <w:lang w:eastAsia="cs-CZ"/>
              </w:rPr>
              <w:t>2</w:t>
            </w:r>
          </w:p>
        </w:tc>
        <w:tc>
          <w:tcPr>
            <w:tcW w:w="784" w:type="pct"/>
            <w:tcBorders>
              <w:top w:val="single" w:sz="4" w:space="0" w:color="7F7F7F" w:themeColor="text1" w:themeTint="80"/>
              <w:bottom w:val="single" w:sz="8" w:space="0" w:color="7F7F7F" w:themeColor="text1" w:themeTint="80"/>
            </w:tcBorders>
            <w:shd w:val="clear" w:color="auto" w:fill="auto"/>
          </w:tcPr>
          <w:p w:rsidR="00910074" w:rsidRPr="004E2BF8" w:rsidRDefault="00910074" w:rsidP="00910074">
            <w:pPr>
              <w:jc w:val="center"/>
              <w:rPr>
                <w:rFonts w:eastAsia="Times New Roman" w:cs="Times New Roman"/>
                <w:lang w:eastAsia="cs-CZ"/>
              </w:rPr>
            </w:pPr>
            <w:r w:rsidRPr="004E2BF8">
              <w:rPr>
                <w:rFonts w:eastAsia="Times New Roman" w:cs="Times New Roman"/>
                <w:lang w:eastAsia="cs-CZ"/>
              </w:rPr>
              <w:t>3</w:t>
            </w:r>
          </w:p>
        </w:tc>
        <w:tc>
          <w:tcPr>
            <w:tcW w:w="565" w:type="pct"/>
            <w:tcBorders>
              <w:top w:val="single" w:sz="4" w:space="0" w:color="7F7F7F" w:themeColor="text1" w:themeTint="80"/>
              <w:bottom w:val="single" w:sz="8" w:space="0" w:color="7F7F7F" w:themeColor="text1" w:themeTint="80"/>
            </w:tcBorders>
            <w:shd w:val="clear" w:color="auto" w:fill="auto"/>
          </w:tcPr>
          <w:p w:rsidR="00910074" w:rsidRPr="004E2BF8" w:rsidRDefault="00910074" w:rsidP="00910074">
            <w:pPr>
              <w:jc w:val="center"/>
              <w:rPr>
                <w:rFonts w:eastAsia="Times New Roman" w:cs="Times New Roman"/>
                <w:lang w:eastAsia="cs-CZ"/>
              </w:rPr>
            </w:pPr>
            <w:r w:rsidRPr="004E2BF8">
              <w:rPr>
                <w:rFonts w:eastAsia="Times New Roman" w:cs="Times New Roman"/>
                <w:lang w:eastAsia="cs-CZ"/>
              </w:rPr>
              <w:t>4</w:t>
            </w:r>
          </w:p>
        </w:tc>
      </w:tr>
      <w:tr w:rsidR="00910074" w:rsidRPr="004E2BF8" w:rsidTr="00910074">
        <w:tc>
          <w:tcPr>
            <w:tcW w:w="2119" w:type="pct"/>
            <w:tcBorders>
              <w:top w:val="single" w:sz="8" w:space="0" w:color="7F7F7F" w:themeColor="text1" w:themeTint="80"/>
              <w:bottom w:val="single" w:sz="8" w:space="0" w:color="7F7F7F" w:themeColor="text1" w:themeTint="80"/>
            </w:tcBorders>
            <w:shd w:val="clear" w:color="auto" w:fill="auto"/>
          </w:tcPr>
          <w:p w:rsidR="00910074" w:rsidRPr="004E2BF8" w:rsidRDefault="00910074" w:rsidP="00910074">
            <w:pPr>
              <w:rPr>
                <w:rFonts w:eastAsia="Times New Roman" w:cs="Times New Roman"/>
                <w:b/>
                <w:lang w:eastAsia="cs-CZ"/>
              </w:rPr>
            </w:pPr>
            <w:r w:rsidRPr="004E2BF8">
              <w:rPr>
                <w:rFonts w:eastAsia="Times New Roman" w:cs="Times New Roman"/>
                <w:b/>
                <w:lang w:eastAsia="cs-CZ"/>
              </w:rPr>
              <w:t xml:space="preserve">Příspěvkové organizace </w:t>
            </w:r>
            <w:r w:rsidRPr="004E2BF8">
              <w:rPr>
                <w:rFonts w:eastAsia="Times New Roman" w:cs="Times New Roman"/>
                <w:lang w:eastAsia="cs-CZ"/>
              </w:rPr>
              <w:t>v tom:</w:t>
            </w:r>
          </w:p>
        </w:tc>
        <w:tc>
          <w:tcPr>
            <w:tcW w:w="748" w:type="pct"/>
            <w:tcBorders>
              <w:top w:val="single" w:sz="8" w:space="0" w:color="7F7F7F" w:themeColor="text1" w:themeTint="80"/>
              <w:bottom w:val="single" w:sz="8" w:space="0" w:color="7F7F7F" w:themeColor="text1" w:themeTint="80"/>
            </w:tcBorders>
            <w:shd w:val="clear" w:color="auto" w:fill="auto"/>
          </w:tcPr>
          <w:p w:rsidR="00910074" w:rsidRPr="004E2BF8" w:rsidRDefault="00910074" w:rsidP="00910074">
            <w:pPr>
              <w:jc w:val="right"/>
              <w:rPr>
                <w:rFonts w:eastAsia="Times New Roman" w:cs="Times New Roman"/>
                <w:b/>
                <w:lang w:eastAsia="cs-CZ"/>
              </w:rPr>
            </w:pPr>
            <w:r w:rsidRPr="004E2BF8">
              <w:rPr>
                <w:rFonts w:eastAsia="Times New Roman" w:cs="Times New Roman"/>
                <w:b/>
                <w:lang w:eastAsia="cs-CZ"/>
              </w:rPr>
              <w:t>0</w:t>
            </w:r>
          </w:p>
        </w:tc>
        <w:tc>
          <w:tcPr>
            <w:tcW w:w="784" w:type="pct"/>
            <w:tcBorders>
              <w:top w:val="single" w:sz="8" w:space="0" w:color="7F7F7F" w:themeColor="text1" w:themeTint="80"/>
              <w:bottom w:val="single" w:sz="8" w:space="0" w:color="7F7F7F" w:themeColor="text1" w:themeTint="80"/>
            </w:tcBorders>
            <w:shd w:val="clear" w:color="auto" w:fill="auto"/>
          </w:tcPr>
          <w:p w:rsidR="00910074" w:rsidRPr="004E2BF8" w:rsidRDefault="00910074" w:rsidP="00910074">
            <w:pPr>
              <w:jc w:val="right"/>
              <w:rPr>
                <w:rFonts w:eastAsia="Times New Roman" w:cs="Times New Roman"/>
                <w:b/>
                <w:lang w:eastAsia="cs-CZ"/>
              </w:rPr>
            </w:pPr>
            <w:r w:rsidRPr="004E2BF8">
              <w:rPr>
                <w:rFonts w:eastAsia="Times New Roman" w:cs="Times New Roman"/>
                <w:b/>
                <w:lang w:eastAsia="cs-CZ"/>
              </w:rPr>
              <w:t>5 000</w:t>
            </w:r>
          </w:p>
        </w:tc>
        <w:tc>
          <w:tcPr>
            <w:tcW w:w="784" w:type="pct"/>
            <w:tcBorders>
              <w:top w:val="single" w:sz="8" w:space="0" w:color="7F7F7F" w:themeColor="text1" w:themeTint="80"/>
              <w:bottom w:val="single" w:sz="8" w:space="0" w:color="7F7F7F" w:themeColor="text1" w:themeTint="80"/>
            </w:tcBorders>
            <w:shd w:val="clear" w:color="auto" w:fill="auto"/>
          </w:tcPr>
          <w:p w:rsidR="00910074" w:rsidRPr="00A124F0" w:rsidRDefault="00910074" w:rsidP="00910074">
            <w:pPr>
              <w:jc w:val="right"/>
              <w:rPr>
                <w:rFonts w:eastAsia="Times New Roman" w:cs="Times New Roman"/>
                <w:b/>
                <w:color w:val="000000" w:themeColor="text1"/>
                <w:lang w:eastAsia="cs-CZ"/>
              </w:rPr>
            </w:pPr>
            <w:r>
              <w:rPr>
                <w:rFonts w:eastAsia="Times New Roman" w:cs="Times New Roman"/>
                <w:b/>
                <w:color w:val="000000" w:themeColor="text1"/>
                <w:lang w:eastAsia="cs-CZ"/>
              </w:rPr>
              <w:t>8 673</w:t>
            </w:r>
          </w:p>
        </w:tc>
        <w:tc>
          <w:tcPr>
            <w:tcW w:w="565" w:type="pct"/>
            <w:tcBorders>
              <w:top w:val="single" w:sz="8" w:space="0" w:color="7F7F7F" w:themeColor="text1" w:themeTint="80"/>
              <w:bottom w:val="single" w:sz="8" w:space="0" w:color="7F7F7F" w:themeColor="text1" w:themeTint="80"/>
            </w:tcBorders>
            <w:shd w:val="clear" w:color="auto" w:fill="auto"/>
          </w:tcPr>
          <w:p w:rsidR="00910074" w:rsidRPr="00A124F0" w:rsidRDefault="00910074" w:rsidP="00910074">
            <w:pPr>
              <w:jc w:val="right"/>
              <w:rPr>
                <w:rFonts w:eastAsia="Times New Roman" w:cs="Times New Roman"/>
                <w:b/>
                <w:color w:val="000000" w:themeColor="text1"/>
                <w:lang w:eastAsia="cs-CZ"/>
              </w:rPr>
            </w:pPr>
            <w:r>
              <w:rPr>
                <w:rFonts w:eastAsia="Times New Roman" w:cs="Times New Roman"/>
                <w:b/>
                <w:color w:val="000000" w:themeColor="text1"/>
                <w:lang w:eastAsia="cs-CZ"/>
              </w:rPr>
              <w:t>173,46</w:t>
            </w:r>
          </w:p>
        </w:tc>
      </w:tr>
      <w:tr w:rsidR="00910074" w:rsidRPr="004E2BF8" w:rsidTr="00910074">
        <w:tc>
          <w:tcPr>
            <w:tcW w:w="2119" w:type="pct"/>
            <w:tcBorders>
              <w:top w:val="single" w:sz="8" w:space="0" w:color="7F7F7F" w:themeColor="text1" w:themeTint="80"/>
              <w:bottom w:val="nil"/>
            </w:tcBorders>
            <w:shd w:val="clear" w:color="auto" w:fill="auto"/>
          </w:tcPr>
          <w:p w:rsidR="00910074" w:rsidRPr="004E2BF8" w:rsidRDefault="00910074" w:rsidP="00910074">
            <w:pPr>
              <w:rPr>
                <w:rFonts w:eastAsia="Times New Roman" w:cs="Times New Roman"/>
                <w:lang w:eastAsia="cs-CZ"/>
              </w:rPr>
            </w:pPr>
            <w:r w:rsidRPr="004E2BF8">
              <w:rPr>
                <w:rFonts w:eastAsia="Times New Roman" w:cs="Times New Roman"/>
                <w:lang w:eastAsia="cs-CZ"/>
              </w:rPr>
              <w:t>běžné výdaje v tom:</w:t>
            </w:r>
          </w:p>
        </w:tc>
        <w:tc>
          <w:tcPr>
            <w:tcW w:w="748" w:type="pct"/>
            <w:tcBorders>
              <w:top w:val="single" w:sz="8" w:space="0" w:color="7F7F7F" w:themeColor="text1" w:themeTint="80"/>
              <w:bottom w:val="nil"/>
            </w:tcBorders>
            <w:shd w:val="clear" w:color="auto" w:fill="auto"/>
          </w:tcPr>
          <w:p w:rsidR="00910074" w:rsidRPr="004E2BF8" w:rsidRDefault="00910074" w:rsidP="00910074">
            <w:pPr>
              <w:jc w:val="right"/>
              <w:rPr>
                <w:rFonts w:eastAsia="Times New Roman" w:cs="Times New Roman"/>
                <w:lang w:eastAsia="cs-CZ"/>
              </w:rPr>
            </w:pPr>
            <w:r w:rsidRPr="004E2BF8">
              <w:rPr>
                <w:rFonts w:eastAsia="Times New Roman" w:cs="Times New Roman"/>
                <w:lang w:eastAsia="cs-CZ"/>
              </w:rPr>
              <w:t>0</w:t>
            </w:r>
          </w:p>
        </w:tc>
        <w:tc>
          <w:tcPr>
            <w:tcW w:w="784" w:type="pct"/>
            <w:tcBorders>
              <w:top w:val="single" w:sz="8" w:space="0" w:color="7F7F7F" w:themeColor="text1" w:themeTint="80"/>
              <w:bottom w:val="nil"/>
            </w:tcBorders>
            <w:shd w:val="clear" w:color="auto" w:fill="auto"/>
          </w:tcPr>
          <w:p w:rsidR="00910074" w:rsidRPr="004E2BF8" w:rsidRDefault="00910074" w:rsidP="00910074">
            <w:pPr>
              <w:jc w:val="right"/>
              <w:rPr>
                <w:rFonts w:eastAsia="Times New Roman" w:cs="Times New Roman"/>
                <w:lang w:eastAsia="cs-CZ"/>
              </w:rPr>
            </w:pPr>
            <w:r w:rsidRPr="004E2BF8">
              <w:rPr>
                <w:rFonts w:eastAsia="Times New Roman" w:cs="Times New Roman"/>
                <w:lang w:eastAsia="cs-CZ"/>
              </w:rPr>
              <w:t>4 000</w:t>
            </w:r>
          </w:p>
        </w:tc>
        <w:tc>
          <w:tcPr>
            <w:tcW w:w="784" w:type="pct"/>
            <w:tcBorders>
              <w:top w:val="single" w:sz="8" w:space="0" w:color="7F7F7F" w:themeColor="text1" w:themeTint="80"/>
              <w:bottom w:val="nil"/>
            </w:tcBorders>
            <w:shd w:val="clear" w:color="auto" w:fill="auto"/>
          </w:tcPr>
          <w:p w:rsidR="00910074" w:rsidRPr="00A124F0" w:rsidRDefault="00910074" w:rsidP="00910074">
            <w:pPr>
              <w:jc w:val="right"/>
              <w:rPr>
                <w:rFonts w:eastAsia="Times New Roman" w:cs="Times New Roman"/>
                <w:color w:val="000000" w:themeColor="text1"/>
                <w:lang w:eastAsia="cs-CZ"/>
              </w:rPr>
            </w:pPr>
            <w:r>
              <w:rPr>
                <w:rFonts w:eastAsia="Times New Roman" w:cs="Times New Roman"/>
                <w:color w:val="000000" w:themeColor="text1"/>
                <w:lang w:eastAsia="cs-CZ"/>
              </w:rPr>
              <w:t>0</w:t>
            </w:r>
          </w:p>
        </w:tc>
        <w:tc>
          <w:tcPr>
            <w:tcW w:w="565" w:type="pct"/>
            <w:tcBorders>
              <w:top w:val="single" w:sz="8" w:space="0" w:color="7F7F7F" w:themeColor="text1" w:themeTint="80"/>
              <w:bottom w:val="nil"/>
            </w:tcBorders>
            <w:shd w:val="clear" w:color="auto" w:fill="auto"/>
          </w:tcPr>
          <w:p w:rsidR="00910074" w:rsidRPr="00A124F0" w:rsidRDefault="00910074" w:rsidP="00910074">
            <w:pPr>
              <w:jc w:val="right"/>
              <w:rPr>
                <w:rFonts w:eastAsia="Times New Roman" w:cs="Times New Roman"/>
                <w:color w:val="000000" w:themeColor="text1"/>
                <w:lang w:eastAsia="cs-CZ"/>
              </w:rPr>
            </w:pPr>
            <w:r>
              <w:rPr>
                <w:rFonts w:eastAsia="Times New Roman" w:cs="Times New Roman"/>
                <w:color w:val="000000" w:themeColor="text1"/>
                <w:lang w:eastAsia="cs-CZ"/>
              </w:rPr>
              <w:t>0,00</w:t>
            </w:r>
          </w:p>
        </w:tc>
      </w:tr>
      <w:tr w:rsidR="00910074" w:rsidRPr="004E2BF8" w:rsidTr="00910074">
        <w:tc>
          <w:tcPr>
            <w:tcW w:w="2119" w:type="pct"/>
            <w:tcBorders>
              <w:top w:val="nil"/>
              <w:bottom w:val="nil"/>
            </w:tcBorders>
            <w:shd w:val="clear" w:color="auto" w:fill="auto"/>
          </w:tcPr>
          <w:p w:rsidR="00910074" w:rsidRPr="004E2BF8" w:rsidRDefault="00910074" w:rsidP="00910074">
            <w:pPr>
              <w:rPr>
                <w:rFonts w:eastAsia="Times New Roman" w:cs="Times New Roman"/>
                <w:i/>
                <w:lang w:eastAsia="cs-CZ"/>
              </w:rPr>
            </w:pPr>
            <w:r w:rsidRPr="004E2BF8">
              <w:rPr>
                <w:rFonts w:eastAsia="Times New Roman" w:cs="Times New Roman"/>
                <w:i/>
                <w:lang w:eastAsia="cs-CZ"/>
              </w:rPr>
              <w:t xml:space="preserve">       prostředky SR </w:t>
            </w:r>
          </w:p>
        </w:tc>
        <w:tc>
          <w:tcPr>
            <w:tcW w:w="748" w:type="pct"/>
            <w:tcBorders>
              <w:top w:val="nil"/>
              <w:bottom w:val="nil"/>
            </w:tcBorders>
            <w:shd w:val="clear" w:color="auto" w:fill="auto"/>
          </w:tcPr>
          <w:p w:rsidR="00910074" w:rsidRPr="004E2BF8" w:rsidRDefault="00910074" w:rsidP="00910074">
            <w:pPr>
              <w:jc w:val="right"/>
              <w:rPr>
                <w:rFonts w:eastAsia="Times New Roman" w:cs="Times New Roman"/>
                <w:i/>
                <w:lang w:eastAsia="cs-CZ"/>
              </w:rPr>
            </w:pPr>
            <w:r w:rsidRPr="004E2BF8">
              <w:rPr>
                <w:rFonts w:eastAsia="Times New Roman" w:cs="Times New Roman"/>
                <w:i/>
                <w:lang w:eastAsia="cs-CZ"/>
              </w:rPr>
              <w:t>0</w:t>
            </w:r>
          </w:p>
        </w:tc>
        <w:tc>
          <w:tcPr>
            <w:tcW w:w="784" w:type="pct"/>
            <w:tcBorders>
              <w:top w:val="nil"/>
              <w:bottom w:val="nil"/>
            </w:tcBorders>
            <w:shd w:val="clear" w:color="auto" w:fill="auto"/>
          </w:tcPr>
          <w:p w:rsidR="00910074" w:rsidRPr="004E2BF8" w:rsidRDefault="00910074" w:rsidP="00910074">
            <w:pPr>
              <w:jc w:val="right"/>
              <w:rPr>
                <w:rFonts w:eastAsia="Times New Roman" w:cs="Times New Roman"/>
                <w:i/>
                <w:lang w:eastAsia="cs-CZ"/>
              </w:rPr>
            </w:pPr>
            <w:r w:rsidRPr="004E2BF8">
              <w:rPr>
                <w:rFonts w:eastAsia="Times New Roman" w:cs="Times New Roman"/>
                <w:i/>
                <w:lang w:eastAsia="cs-CZ"/>
              </w:rPr>
              <w:t>4 000</w:t>
            </w:r>
          </w:p>
        </w:tc>
        <w:tc>
          <w:tcPr>
            <w:tcW w:w="784" w:type="pct"/>
            <w:tcBorders>
              <w:top w:val="nil"/>
              <w:bottom w:val="nil"/>
            </w:tcBorders>
            <w:shd w:val="clear" w:color="auto" w:fill="auto"/>
          </w:tcPr>
          <w:p w:rsidR="00910074" w:rsidRPr="00A124F0" w:rsidRDefault="00910074" w:rsidP="00910074">
            <w:pPr>
              <w:jc w:val="right"/>
              <w:rPr>
                <w:rFonts w:eastAsia="Times New Roman" w:cs="Times New Roman"/>
                <w:i/>
                <w:color w:val="000000" w:themeColor="text1"/>
                <w:lang w:eastAsia="cs-CZ"/>
              </w:rPr>
            </w:pPr>
            <w:r>
              <w:rPr>
                <w:rFonts w:eastAsia="Times New Roman" w:cs="Times New Roman"/>
                <w:i/>
                <w:color w:val="000000" w:themeColor="text1"/>
                <w:lang w:eastAsia="cs-CZ"/>
              </w:rPr>
              <w:t>0</w:t>
            </w:r>
          </w:p>
        </w:tc>
        <w:tc>
          <w:tcPr>
            <w:tcW w:w="565" w:type="pct"/>
            <w:tcBorders>
              <w:top w:val="nil"/>
              <w:bottom w:val="nil"/>
            </w:tcBorders>
            <w:shd w:val="clear" w:color="auto" w:fill="auto"/>
          </w:tcPr>
          <w:p w:rsidR="00910074" w:rsidRPr="00A124F0" w:rsidRDefault="00910074" w:rsidP="00910074">
            <w:pPr>
              <w:jc w:val="right"/>
              <w:rPr>
                <w:rFonts w:eastAsia="Times New Roman" w:cs="Times New Roman"/>
                <w:i/>
                <w:color w:val="000000" w:themeColor="text1"/>
                <w:lang w:eastAsia="cs-CZ"/>
              </w:rPr>
            </w:pPr>
            <w:r>
              <w:rPr>
                <w:rFonts w:eastAsia="Times New Roman" w:cs="Times New Roman"/>
                <w:i/>
                <w:color w:val="000000" w:themeColor="text1"/>
                <w:lang w:eastAsia="cs-CZ"/>
              </w:rPr>
              <w:t>0,00</w:t>
            </w:r>
          </w:p>
        </w:tc>
      </w:tr>
      <w:tr w:rsidR="00910074" w:rsidRPr="004E2BF8" w:rsidTr="00910074">
        <w:tc>
          <w:tcPr>
            <w:tcW w:w="2119" w:type="pct"/>
            <w:tcBorders>
              <w:top w:val="nil"/>
              <w:bottom w:val="single" w:sz="4" w:space="0" w:color="7F7F7F" w:themeColor="text1" w:themeTint="80"/>
            </w:tcBorders>
            <w:shd w:val="clear" w:color="auto" w:fill="auto"/>
          </w:tcPr>
          <w:p w:rsidR="00910074" w:rsidRPr="004E2BF8" w:rsidRDefault="00910074" w:rsidP="00910074">
            <w:pPr>
              <w:rPr>
                <w:rFonts w:eastAsia="Times New Roman" w:cs="Times New Roman"/>
                <w:i/>
                <w:lang w:eastAsia="cs-CZ"/>
              </w:rPr>
            </w:pPr>
            <w:r w:rsidRPr="004E2BF8">
              <w:rPr>
                <w:rFonts w:eastAsia="Times New Roman" w:cs="Times New Roman"/>
                <w:i/>
                <w:lang w:eastAsia="cs-CZ"/>
              </w:rPr>
              <w:t xml:space="preserve">       prostředky z fondů EU</w:t>
            </w:r>
          </w:p>
        </w:tc>
        <w:tc>
          <w:tcPr>
            <w:tcW w:w="748" w:type="pct"/>
            <w:tcBorders>
              <w:top w:val="nil"/>
              <w:bottom w:val="single" w:sz="2" w:space="0" w:color="7F7F7F" w:themeColor="text1" w:themeTint="80"/>
            </w:tcBorders>
            <w:shd w:val="clear" w:color="auto" w:fill="auto"/>
          </w:tcPr>
          <w:p w:rsidR="00910074" w:rsidRPr="004E2BF8" w:rsidRDefault="00910074" w:rsidP="00910074">
            <w:pPr>
              <w:jc w:val="right"/>
              <w:rPr>
                <w:rFonts w:eastAsia="Times New Roman" w:cs="Times New Roman"/>
                <w:i/>
                <w:lang w:eastAsia="cs-CZ"/>
              </w:rPr>
            </w:pPr>
            <w:r w:rsidRPr="004E2BF8">
              <w:rPr>
                <w:rFonts w:eastAsia="Times New Roman" w:cs="Times New Roman"/>
                <w:i/>
                <w:lang w:eastAsia="cs-CZ"/>
              </w:rPr>
              <w:t>0</w:t>
            </w:r>
          </w:p>
        </w:tc>
        <w:tc>
          <w:tcPr>
            <w:tcW w:w="784" w:type="pct"/>
            <w:tcBorders>
              <w:top w:val="nil"/>
              <w:bottom w:val="single" w:sz="2" w:space="0" w:color="7F7F7F" w:themeColor="text1" w:themeTint="80"/>
            </w:tcBorders>
            <w:shd w:val="clear" w:color="auto" w:fill="auto"/>
          </w:tcPr>
          <w:p w:rsidR="00910074" w:rsidRPr="004E2BF8" w:rsidRDefault="00910074" w:rsidP="00910074">
            <w:pPr>
              <w:jc w:val="right"/>
              <w:rPr>
                <w:rFonts w:eastAsia="Times New Roman" w:cs="Times New Roman"/>
                <w:i/>
                <w:lang w:eastAsia="cs-CZ"/>
              </w:rPr>
            </w:pPr>
            <w:r w:rsidRPr="004E2BF8">
              <w:rPr>
                <w:rFonts w:eastAsia="Times New Roman" w:cs="Times New Roman"/>
                <w:i/>
                <w:lang w:eastAsia="cs-CZ"/>
              </w:rPr>
              <w:t>0</w:t>
            </w:r>
          </w:p>
        </w:tc>
        <w:tc>
          <w:tcPr>
            <w:tcW w:w="784" w:type="pct"/>
            <w:tcBorders>
              <w:top w:val="nil"/>
              <w:bottom w:val="single" w:sz="2" w:space="0" w:color="7F7F7F" w:themeColor="text1" w:themeTint="80"/>
            </w:tcBorders>
            <w:shd w:val="clear" w:color="auto" w:fill="auto"/>
          </w:tcPr>
          <w:p w:rsidR="00910074" w:rsidRPr="00A124F0" w:rsidRDefault="00910074" w:rsidP="00910074">
            <w:pPr>
              <w:jc w:val="right"/>
              <w:rPr>
                <w:rFonts w:eastAsia="Times New Roman" w:cs="Times New Roman"/>
                <w:i/>
                <w:color w:val="000000" w:themeColor="text1"/>
                <w:lang w:eastAsia="cs-CZ"/>
              </w:rPr>
            </w:pPr>
            <w:r w:rsidRPr="00A124F0">
              <w:rPr>
                <w:rFonts w:eastAsia="Times New Roman" w:cs="Times New Roman"/>
                <w:i/>
                <w:color w:val="000000" w:themeColor="text1"/>
                <w:lang w:eastAsia="cs-CZ"/>
              </w:rPr>
              <w:t>0</w:t>
            </w:r>
          </w:p>
        </w:tc>
        <w:tc>
          <w:tcPr>
            <w:tcW w:w="565" w:type="pct"/>
            <w:tcBorders>
              <w:top w:val="nil"/>
              <w:bottom w:val="single" w:sz="2" w:space="0" w:color="7F7F7F" w:themeColor="text1" w:themeTint="80"/>
            </w:tcBorders>
            <w:shd w:val="clear" w:color="auto" w:fill="auto"/>
          </w:tcPr>
          <w:p w:rsidR="00910074" w:rsidRPr="00A124F0" w:rsidRDefault="00910074" w:rsidP="00910074">
            <w:pPr>
              <w:jc w:val="right"/>
              <w:rPr>
                <w:rFonts w:eastAsia="Times New Roman" w:cs="Times New Roman"/>
                <w:i/>
                <w:color w:val="000000" w:themeColor="text1"/>
                <w:lang w:eastAsia="cs-CZ"/>
              </w:rPr>
            </w:pPr>
            <w:r>
              <w:rPr>
                <w:rFonts w:eastAsia="Times New Roman" w:cs="Times New Roman"/>
                <w:i/>
                <w:color w:val="000000" w:themeColor="text1"/>
                <w:lang w:eastAsia="cs-CZ"/>
              </w:rPr>
              <w:t>x</w:t>
            </w:r>
          </w:p>
        </w:tc>
      </w:tr>
      <w:tr w:rsidR="00910074" w:rsidRPr="004E2BF8" w:rsidTr="00910074">
        <w:tc>
          <w:tcPr>
            <w:tcW w:w="2119" w:type="pct"/>
            <w:tcBorders>
              <w:top w:val="single" w:sz="4" w:space="0" w:color="7F7F7F" w:themeColor="text1" w:themeTint="80"/>
              <w:bottom w:val="nil"/>
            </w:tcBorders>
            <w:shd w:val="clear" w:color="auto" w:fill="auto"/>
          </w:tcPr>
          <w:p w:rsidR="00910074" w:rsidRPr="004E2BF8" w:rsidRDefault="00910074" w:rsidP="00910074">
            <w:pPr>
              <w:spacing w:before="40"/>
              <w:rPr>
                <w:rFonts w:eastAsia="Times New Roman" w:cs="Times New Roman"/>
                <w:lang w:eastAsia="cs-CZ"/>
              </w:rPr>
            </w:pPr>
            <w:r w:rsidRPr="004E2BF8">
              <w:rPr>
                <w:rFonts w:eastAsia="Times New Roman" w:cs="Times New Roman"/>
                <w:lang w:eastAsia="cs-CZ"/>
              </w:rPr>
              <w:t>kapitálové výdaje v tom:</w:t>
            </w:r>
          </w:p>
        </w:tc>
        <w:tc>
          <w:tcPr>
            <w:tcW w:w="748" w:type="pct"/>
            <w:tcBorders>
              <w:top w:val="single" w:sz="2" w:space="0" w:color="7F7F7F" w:themeColor="text1" w:themeTint="80"/>
              <w:bottom w:val="nil"/>
            </w:tcBorders>
            <w:shd w:val="clear" w:color="auto" w:fill="auto"/>
          </w:tcPr>
          <w:p w:rsidR="00910074" w:rsidRPr="004E2BF8" w:rsidRDefault="00910074" w:rsidP="00910074">
            <w:pPr>
              <w:jc w:val="right"/>
              <w:rPr>
                <w:rFonts w:eastAsia="Times New Roman" w:cs="Times New Roman"/>
                <w:lang w:eastAsia="cs-CZ"/>
              </w:rPr>
            </w:pPr>
            <w:r w:rsidRPr="004E2BF8">
              <w:rPr>
                <w:rFonts w:eastAsia="Times New Roman" w:cs="Times New Roman"/>
                <w:lang w:eastAsia="cs-CZ"/>
              </w:rPr>
              <w:t>0</w:t>
            </w:r>
          </w:p>
        </w:tc>
        <w:tc>
          <w:tcPr>
            <w:tcW w:w="784" w:type="pct"/>
            <w:tcBorders>
              <w:top w:val="single" w:sz="2" w:space="0" w:color="7F7F7F" w:themeColor="text1" w:themeTint="80"/>
              <w:bottom w:val="nil"/>
            </w:tcBorders>
            <w:shd w:val="clear" w:color="auto" w:fill="auto"/>
          </w:tcPr>
          <w:p w:rsidR="00910074" w:rsidRPr="004E2BF8" w:rsidRDefault="00910074" w:rsidP="00910074">
            <w:pPr>
              <w:jc w:val="right"/>
              <w:rPr>
                <w:rFonts w:eastAsia="Times New Roman" w:cs="Times New Roman"/>
                <w:lang w:eastAsia="cs-CZ"/>
              </w:rPr>
            </w:pPr>
            <w:r w:rsidRPr="004E2BF8">
              <w:rPr>
                <w:rFonts w:eastAsia="Times New Roman" w:cs="Times New Roman"/>
                <w:lang w:eastAsia="cs-CZ"/>
              </w:rPr>
              <w:t>1 000</w:t>
            </w:r>
          </w:p>
        </w:tc>
        <w:tc>
          <w:tcPr>
            <w:tcW w:w="784" w:type="pct"/>
            <w:tcBorders>
              <w:top w:val="single" w:sz="2" w:space="0" w:color="7F7F7F" w:themeColor="text1" w:themeTint="80"/>
              <w:bottom w:val="nil"/>
            </w:tcBorders>
            <w:shd w:val="clear" w:color="auto" w:fill="auto"/>
          </w:tcPr>
          <w:p w:rsidR="00910074" w:rsidRPr="00A124F0" w:rsidRDefault="00910074" w:rsidP="00910074">
            <w:pPr>
              <w:jc w:val="right"/>
              <w:rPr>
                <w:rFonts w:eastAsia="Times New Roman" w:cs="Times New Roman"/>
                <w:color w:val="000000" w:themeColor="text1"/>
                <w:lang w:eastAsia="cs-CZ"/>
              </w:rPr>
            </w:pPr>
            <w:r>
              <w:rPr>
                <w:rFonts w:eastAsia="Times New Roman" w:cs="Times New Roman"/>
                <w:color w:val="000000" w:themeColor="text1"/>
                <w:lang w:eastAsia="cs-CZ"/>
              </w:rPr>
              <w:t>8 673</w:t>
            </w:r>
          </w:p>
        </w:tc>
        <w:tc>
          <w:tcPr>
            <w:tcW w:w="565" w:type="pct"/>
            <w:tcBorders>
              <w:top w:val="single" w:sz="2" w:space="0" w:color="7F7F7F" w:themeColor="text1" w:themeTint="80"/>
              <w:bottom w:val="nil"/>
            </w:tcBorders>
            <w:shd w:val="clear" w:color="auto" w:fill="auto"/>
          </w:tcPr>
          <w:p w:rsidR="00910074" w:rsidRPr="00A124F0" w:rsidRDefault="00910074" w:rsidP="00910074">
            <w:pPr>
              <w:jc w:val="right"/>
              <w:rPr>
                <w:rFonts w:eastAsia="Times New Roman" w:cs="Times New Roman"/>
                <w:color w:val="000000" w:themeColor="text1"/>
                <w:lang w:eastAsia="cs-CZ"/>
              </w:rPr>
            </w:pPr>
            <w:r>
              <w:rPr>
                <w:rFonts w:eastAsia="Times New Roman" w:cs="Times New Roman"/>
                <w:color w:val="000000" w:themeColor="text1"/>
                <w:lang w:eastAsia="cs-CZ"/>
              </w:rPr>
              <w:t>867,30</w:t>
            </w:r>
          </w:p>
        </w:tc>
      </w:tr>
      <w:tr w:rsidR="00910074" w:rsidRPr="004E2BF8" w:rsidTr="00910074">
        <w:tc>
          <w:tcPr>
            <w:tcW w:w="2119" w:type="pct"/>
            <w:tcBorders>
              <w:top w:val="nil"/>
              <w:bottom w:val="nil"/>
            </w:tcBorders>
            <w:shd w:val="clear" w:color="auto" w:fill="auto"/>
          </w:tcPr>
          <w:p w:rsidR="00910074" w:rsidRPr="004E2BF8" w:rsidRDefault="00910074" w:rsidP="00910074">
            <w:pPr>
              <w:rPr>
                <w:rFonts w:eastAsia="Times New Roman" w:cs="Times New Roman"/>
                <w:i/>
                <w:lang w:eastAsia="cs-CZ"/>
              </w:rPr>
            </w:pPr>
            <w:r w:rsidRPr="004E2BF8">
              <w:rPr>
                <w:rFonts w:eastAsia="Times New Roman" w:cs="Times New Roman"/>
                <w:i/>
                <w:lang w:eastAsia="cs-CZ"/>
              </w:rPr>
              <w:t xml:space="preserve">      prostředky SR</w:t>
            </w:r>
          </w:p>
        </w:tc>
        <w:tc>
          <w:tcPr>
            <w:tcW w:w="748" w:type="pct"/>
            <w:tcBorders>
              <w:top w:val="nil"/>
              <w:bottom w:val="nil"/>
            </w:tcBorders>
            <w:shd w:val="clear" w:color="auto" w:fill="auto"/>
          </w:tcPr>
          <w:p w:rsidR="00910074" w:rsidRPr="004E2BF8" w:rsidRDefault="00910074" w:rsidP="00910074">
            <w:pPr>
              <w:jc w:val="right"/>
              <w:rPr>
                <w:rFonts w:eastAsia="Times New Roman" w:cs="Times New Roman"/>
                <w:i/>
                <w:lang w:eastAsia="cs-CZ"/>
              </w:rPr>
            </w:pPr>
            <w:r w:rsidRPr="004E2BF8">
              <w:rPr>
                <w:rFonts w:eastAsia="Times New Roman" w:cs="Times New Roman"/>
                <w:i/>
                <w:lang w:eastAsia="cs-CZ"/>
              </w:rPr>
              <w:t>0</w:t>
            </w:r>
          </w:p>
        </w:tc>
        <w:tc>
          <w:tcPr>
            <w:tcW w:w="784" w:type="pct"/>
            <w:tcBorders>
              <w:top w:val="nil"/>
              <w:bottom w:val="nil"/>
            </w:tcBorders>
            <w:shd w:val="clear" w:color="auto" w:fill="auto"/>
          </w:tcPr>
          <w:p w:rsidR="00910074" w:rsidRPr="004E2BF8" w:rsidRDefault="00910074" w:rsidP="00910074">
            <w:pPr>
              <w:jc w:val="right"/>
              <w:rPr>
                <w:rFonts w:eastAsia="Times New Roman" w:cs="Times New Roman"/>
                <w:i/>
                <w:lang w:eastAsia="cs-CZ"/>
              </w:rPr>
            </w:pPr>
            <w:r w:rsidRPr="004E2BF8">
              <w:rPr>
                <w:rFonts w:eastAsia="Times New Roman" w:cs="Times New Roman"/>
                <w:i/>
                <w:lang w:eastAsia="cs-CZ"/>
              </w:rPr>
              <w:t>1 000</w:t>
            </w:r>
          </w:p>
        </w:tc>
        <w:tc>
          <w:tcPr>
            <w:tcW w:w="784" w:type="pct"/>
            <w:tcBorders>
              <w:top w:val="nil"/>
              <w:bottom w:val="nil"/>
            </w:tcBorders>
            <w:shd w:val="clear" w:color="auto" w:fill="auto"/>
          </w:tcPr>
          <w:p w:rsidR="00910074" w:rsidRPr="00A124F0" w:rsidRDefault="00910074" w:rsidP="00910074">
            <w:pPr>
              <w:jc w:val="right"/>
              <w:rPr>
                <w:rFonts w:eastAsia="Times New Roman" w:cs="Times New Roman"/>
                <w:i/>
                <w:color w:val="000000" w:themeColor="text1"/>
                <w:lang w:eastAsia="cs-CZ"/>
              </w:rPr>
            </w:pPr>
            <w:r>
              <w:rPr>
                <w:rFonts w:eastAsia="Times New Roman" w:cs="Times New Roman"/>
                <w:i/>
                <w:color w:val="000000" w:themeColor="text1"/>
                <w:lang w:eastAsia="cs-CZ"/>
              </w:rPr>
              <w:t>8 673</w:t>
            </w:r>
          </w:p>
        </w:tc>
        <w:tc>
          <w:tcPr>
            <w:tcW w:w="565" w:type="pct"/>
            <w:tcBorders>
              <w:top w:val="nil"/>
              <w:bottom w:val="nil"/>
            </w:tcBorders>
            <w:shd w:val="clear" w:color="auto" w:fill="auto"/>
          </w:tcPr>
          <w:p w:rsidR="00910074" w:rsidRPr="00A124F0" w:rsidRDefault="00910074" w:rsidP="00910074">
            <w:pPr>
              <w:jc w:val="right"/>
              <w:rPr>
                <w:rFonts w:eastAsia="Times New Roman" w:cs="Times New Roman"/>
                <w:i/>
                <w:color w:val="000000" w:themeColor="text1"/>
                <w:lang w:eastAsia="cs-CZ"/>
              </w:rPr>
            </w:pPr>
            <w:r>
              <w:rPr>
                <w:rFonts w:eastAsia="Times New Roman" w:cs="Times New Roman"/>
                <w:i/>
                <w:color w:val="000000" w:themeColor="text1"/>
                <w:lang w:eastAsia="cs-CZ"/>
              </w:rPr>
              <w:t>867,30</w:t>
            </w:r>
          </w:p>
        </w:tc>
      </w:tr>
      <w:tr w:rsidR="00910074" w:rsidRPr="004E2BF8" w:rsidTr="00910074">
        <w:tc>
          <w:tcPr>
            <w:tcW w:w="2119" w:type="pct"/>
            <w:tcBorders>
              <w:top w:val="nil"/>
              <w:bottom w:val="single" w:sz="8" w:space="0" w:color="7F7F7F" w:themeColor="text1" w:themeTint="80"/>
            </w:tcBorders>
            <w:shd w:val="clear" w:color="auto" w:fill="auto"/>
          </w:tcPr>
          <w:p w:rsidR="00910074" w:rsidRPr="004E2BF8" w:rsidRDefault="00910074" w:rsidP="00910074">
            <w:pPr>
              <w:rPr>
                <w:rFonts w:eastAsia="Times New Roman" w:cs="Times New Roman"/>
                <w:i/>
                <w:lang w:eastAsia="cs-CZ"/>
              </w:rPr>
            </w:pPr>
            <w:r w:rsidRPr="004E2BF8">
              <w:rPr>
                <w:rFonts w:eastAsia="Times New Roman" w:cs="Times New Roman"/>
                <w:i/>
                <w:lang w:eastAsia="cs-CZ"/>
              </w:rPr>
              <w:t xml:space="preserve">      prostředky z fondů EU</w:t>
            </w:r>
          </w:p>
        </w:tc>
        <w:tc>
          <w:tcPr>
            <w:tcW w:w="748" w:type="pct"/>
            <w:tcBorders>
              <w:top w:val="nil"/>
              <w:bottom w:val="single" w:sz="8" w:space="0" w:color="7F7F7F" w:themeColor="text1" w:themeTint="80"/>
            </w:tcBorders>
            <w:shd w:val="clear" w:color="auto" w:fill="auto"/>
          </w:tcPr>
          <w:p w:rsidR="00910074" w:rsidRPr="004E2BF8" w:rsidRDefault="00910074" w:rsidP="00910074">
            <w:pPr>
              <w:jc w:val="right"/>
              <w:rPr>
                <w:rFonts w:eastAsia="Times New Roman" w:cs="Times New Roman"/>
                <w:i/>
                <w:lang w:eastAsia="cs-CZ"/>
              </w:rPr>
            </w:pPr>
            <w:r w:rsidRPr="004E2BF8">
              <w:rPr>
                <w:rFonts w:eastAsia="Times New Roman" w:cs="Times New Roman"/>
                <w:i/>
                <w:lang w:eastAsia="cs-CZ"/>
              </w:rPr>
              <w:t>0</w:t>
            </w:r>
          </w:p>
        </w:tc>
        <w:tc>
          <w:tcPr>
            <w:tcW w:w="784" w:type="pct"/>
            <w:tcBorders>
              <w:top w:val="nil"/>
              <w:bottom w:val="single" w:sz="8" w:space="0" w:color="7F7F7F" w:themeColor="text1" w:themeTint="80"/>
            </w:tcBorders>
            <w:shd w:val="clear" w:color="auto" w:fill="auto"/>
          </w:tcPr>
          <w:p w:rsidR="00910074" w:rsidRPr="004E2BF8" w:rsidRDefault="00910074" w:rsidP="00910074">
            <w:pPr>
              <w:jc w:val="right"/>
              <w:rPr>
                <w:rFonts w:eastAsia="Times New Roman" w:cs="Times New Roman"/>
                <w:i/>
                <w:lang w:eastAsia="cs-CZ"/>
              </w:rPr>
            </w:pPr>
            <w:r w:rsidRPr="004E2BF8">
              <w:rPr>
                <w:rFonts w:eastAsia="Times New Roman" w:cs="Times New Roman"/>
                <w:i/>
                <w:lang w:eastAsia="cs-CZ"/>
              </w:rPr>
              <w:t>0</w:t>
            </w:r>
          </w:p>
        </w:tc>
        <w:tc>
          <w:tcPr>
            <w:tcW w:w="784" w:type="pct"/>
            <w:tcBorders>
              <w:top w:val="nil"/>
              <w:bottom w:val="single" w:sz="8" w:space="0" w:color="7F7F7F" w:themeColor="text1" w:themeTint="80"/>
            </w:tcBorders>
            <w:shd w:val="clear" w:color="auto" w:fill="auto"/>
          </w:tcPr>
          <w:p w:rsidR="00910074" w:rsidRPr="00A124F0" w:rsidRDefault="00910074" w:rsidP="00910074">
            <w:pPr>
              <w:jc w:val="right"/>
              <w:rPr>
                <w:rFonts w:eastAsia="Times New Roman" w:cs="Times New Roman"/>
                <w:i/>
                <w:color w:val="000000" w:themeColor="text1"/>
                <w:lang w:eastAsia="cs-CZ"/>
              </w:rPr>
            </w:pPr>
            <w:r w:rsidRPr="00A124F0">
              <w:rPr>
                <w:rFonts w:eastAsia="Times New Roman" w:cs="Times New Roman"/>
                <w:i/>
                <w:color w:val="000000" w:themeColor="text1"/>
                <w:lang w:eastAsia="cs-CZ"/>
              </w:rPr>
              <w:t>0</w:t>
            </w:r>
          </w:p>
        </w:tc>
        <w:tc>
          <w:tcPr>
            <w:tcW w:w="565" w:type="pct"/>
            <w:tcBorders>
              <w:top w:val="nil"/>
              <w:bottom w:val="single" w:sz="8" w:space="0" w:color="7F7F7F" w:themeColor="text1" w:themeTint="80"/>
            </w:tcBorders>
            <w:shd w:val="clear" w:color="auto" w:fill="auto"/>
          </w:tcPr>
          <w:p w:rsidR="00910074" w:rsidRPr="00A124F0" w:rsidRDefault="00910074" w:rsidP="00910074">
            <w:pPr>
              <w:jc w:val="right"/>
              <w:rPr>
                <w:rFonts w:eastAsia="Times New Roman" w:cs="Times New Roman"/>
                <w:i/>
                <w:color w:val="000000" w:themeColor="text1"/>
                <w:lang w:eastAsia="cs-CZ"/>
              </w:rPr>
            </w:pPr>
            <w:r w:rsidRPr="00A124F0">
              <w:rPr>
                <w:rFonts w:eastAsia="Times New Roman" w:cs="Times New Roman"/>
                <w:i/>
                <w:color w:val="000000" w:themeColor="text1"/>
                <w:lang w:eastAsia="cs-CZ"/>
              </w:rPr>
              <w:t>x</w:t>
            </w:r>
          </w:p>
        </w:tc>
      </w:tr>
    </w:tbl>
    <w:p w:rsidR="00910074" w:rsidRPr="00F117FC" w:rsidRDefault="00910074" w:rsidP="00910074">
      <w:pPr>
        <w:pStyle w:val="Styl1"/>
      </w:pPr>
      <w:r w:rsidRPr="00F117FC">
        <w:t xml:space="preserve">Státní příspěvkové organizace v působnosti Ministerstva dopravy jsou Ředitelství silnic </w:t>
      </w:r>
      <w:r w:rsidRPr="00F117FC">
        <w:br/>
        <w:t xml:space="preserve">a dálnic ČR a Centrum služeb pro silniční dopravu. </w:t>
      </w:r>
    </w:p>
    <w:p w:rsidR="00910074" w:rsidRPr="00F117FC" w:rsidRDefault="00910074" w:rsidP="00910074">
      <w:pPr>
        <w:pStyle w:val="Styl1"/>
      </w:pPr>
      <w:r w:rsidRPr="00F117FC">
        <w:t xml:space="preserve">V dalším textu je uváděn návrh rozpočtu výdajů vedených v EDS/SMVS v členění </w:t>
      </w:r>
      <w:r w:rsidRPr="00F117FC">
        <w:br/>
        <w:t xml:space="preserve">na jednotlivé programy a v členění dle konečných příjemců. </w:t>
      </w:r>
    </w:p>
    <w:p w:rsidR="00910074" w:rsidRPr="00F117FC" w:rsidRDefault="00910074" w:rsidP="00910074">
      <w:pPr>
        <w:spacing w:before="200" w:line="240" w:lineRule="auto"/>
        <w:rPr>
          <w:rFonts w:eastAsia="Times New Roman" w:cs="Times New Roman"/>
          <w:b/>
          <w:bCs/>
          <w:szCs w:val="24"/>
          <w:u w:val="single"/>
          <w:lang w:eastAsia="cs-CZ"/>
        </w:rPr>
      </w:pPr>
      <w:r w:rsidRPr="00F117FC">
        <w:rPr>
          <w:rFonts w:eastAsia="Times New Roman" w:cs="Times New Roman"/>
          <w:b/>
          <w:bCs/>
          <w:szCs w:val="24"/>
          <w:u w:val="single"/>
          <w:lang w:eastAsia="cs-CZ"/>
        </w:rPr>
        <w:t>Ředitelství silnic a dálnic ČR</w:t>
      </w:r>
    </w:p>
    <w:p w:rsidR="00910074" w:rsidRPr="00F117FC" w:rsidRDefault="00910074" w:rsidP="00910074">
      <w:pPr>
        <w:keepNext/>
        <w:spacing w:before="120" w:after="120" w:line="240" w:lineRule="auto"/>
        <w:rPr>
          <w:rFonts w:eastAsia="Times New Roman" w:cs="Times New Roman"/>
          <w:b/>
          <w:bCs/>
          <w:noProof/>
          <w:sz w:val="20"/>
          <w:szCs w:val="20"/>
          <w:lang w:eastAsia="cs-CZ"/>
        </w:rPr>
      </w:pPr>
      <w:r w:rsidRPr="00F117FC">
        <w:rPr>
          <w:rFonts w:eastAsia="Times New Roman" w:cs="Times New Roman"/>
          <w:b/>
          <w:bCs/>
          <w:sz w:val="20"/>
          <w:szCs w:val="20"/>
          <w:lang w:eastAsia="cs-CZ"/>
        </w:rPr>
        <w:t xml:space="preserve">Tabulka č. </w:t>
      </w:r>
      <w:r w:rsidRPr="00F117FC">
        <w:rPr>
          <w:rFonts w:eastAsia="Times New Roman" w:cs="Times New Roman"/>
          <w:b/>
          <w:bCs/>
          <w:noProof/>
          <w:sz w:val="20"/>
          <w:szCs w:val="20"/>
          <w:lang w:eastAsia="cs-CZ"/>
        </w:rPr>
        <w:fldChar w:fldCharType="begin"/>
      </w:r>
      <w:r w:rsidRPr="00F117FC">
        <w:rPr>
          <w:rFonts w:eastAsia="Times New Roman" w:cs="Times New Roman"/>
          <w:b/>
          <w:bCs/>
          <w:noProof/>
          <w:sz w:val="20"/>
          <w:szCs w:val="20"/>
          <w:lang w:eastAsia="cs-CZ"/>
        </w:rPr>
        <w:instrText xml:space="preserve"> SEQ Tabulka \* ARABIC </w:instrText>
      </w:r>
      <w:r w:rsidRPr="00F117FC">
        <w:rPr>
          <w:rFonts w:eastAsia="Times New Roman" w:cs="Times New Roman"/>
          <w:b/>
          <w:bCs/>
          <w:noProof/>
          <w:sz w:val="20"/>
          <w:szCs w:val="20"/>
          <w:lang w:eastAsia="cs-CZ"/>
        </w:rPr>
        <w:fldChar w:fldCharType="separate"/>
      </w:r>
      <w:r w:rsidR="006076E7">
        <w:rPr>
          <w:rFonts w:eastAsia="Times New Roman" w:cs="Times New Roman"/>
          <w:b/>
          <w:bCs/>
          <w:noProof/>
          <w:sz w:val="20"/>
          <w:szCs w:val="20"/>
          <w:lang w:eastAsia="cs-CZ"/>
        </w:rPr>
        <w:t>37</w:t>
      </w:r>
      <w:r w:rsidRPr="00F117FC">
        <w:rPr>
          <w:rFonts w:eastAsia="Times New Roman" w:cs="Times New Roman"/>
          <w:b/>
          <w:bCs/>
          <w:noProof/>
          <w:sz w:val="20"/>
          <w:szCs w:val="20"/>
          <w:lang w:eastAsia="cs-CZ"/>
        </w:rPr>
        <w:fldChar w:fldCharType="end"/>
      </w:r>
      <w:r w:rsidRPr="00F117FC">
        <w:rPr>
          <w:rFonts w:eastAsia="Times New Roman" w:cs="Times New Roman"/>
          <w:b/>
          <w:bCs/>
          <w:noProof/>
          <w:sz w:val="20"/>
          <w:szCs w:val="20"/>
          <w:lang w:eastAsia="cs-CZ"/>
        </w:rPr>
        <w:t xml:space="preserve"> Výdaje Ředitelství silnic a dálnic ČR vedené v EDS/SMVS (v tis. Kč)</w:t>
      </w:r>
    </w:p>
    <w:tbl>
      <w:tblPr>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2266"/>
        <w:gridCol w:w="1131"/>
        <w:gridCol w:w="1131"/>
        <w:gridCol w:w="1131"/>
        <w:gridCol w:w="1133"/>
        <w:gridCol w:w="1131"/>
        <w:gridCol w:w="1128"/>
      </w:tblGrid>
      <w:tr w:rsidR="00910074" w:rsidRPr="00F117FC" w:rsidTr="00910074">
        <w:tc>
          <w:tcPr>
            <w:tcW w:w="1251"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F117FC" w:rsidRDefault="00910074" w:rsidP="00910074">
            <w:pPr>
              <w:spacing w:line="240" w:lineRule="auto"/>
              <w:jc w:val="center"/>
              <w:rPr>
                <w:rFonts w:eastAsia="Times New Roman" w:cs="Times New Roman"/>
                <w:b/>
                <w:bCs/>
                <w:lang w:eastAsia="cs-CZ"/>
              </w:rPr>
            </w:pPr>
            <w:r w:rsidRPr="00F117FC">
              <w:rPr>
                <w:rFonts w:eastAsia="Times New Roman" w:cs="Times New Roman"/>
                <w:b/>
                <w:bCs/>
                <w:lang w:eastAsia="cs-CZ"/>
              </w:rPr>
              <w:t xml:space="preserve">Číslo programu </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jc w:val="center"/>
              <w:rPr>
                <w:rFonts w:eastAsia="Times New Roman" w:cs="Times New Roman"/>
                <w:b/>
                <w:bCs/>
                <w:lang w:eastAsia="cs-CZ"/>
              </w:rPr>
            </w:pPr>
            <w:r w:rsidRPr="00F117FC">
              <w:rPr>
                <w:rFonts w:eastAsia="Times New Roman" w:cs="Times New Roman"/>
                <w:b/>
                <w:bCs/>
                <w:lang w:eastAsia="cs-CZ"/>
              </w:rPr>
              <w:t xml:space="preserve">Skutečnost </w:t>
            </w:r>
            <w:r w:rsidRPr="00F117FC">
              <w:rPr>
                <w:rFonts w:eastAsia="Times New Roman" w:cs="Times New Roman"/>
                <w:b/>
                <w:bCs/>
                <w:lang w:eastAsia="cs-CZ"/>
              </w:rPr>
              <w:br/>
              <w:t>2019</w:t>
            </w:r>
          </w:p>
        </w:tc>
        <w:tc>
          <w:tcPr>
            <w:tcW w:w="125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jc w:val="center"/>
              <w:rPr>
                <w:rFonts w:eastAsia="Times New Roman" w:cs="Times New Roman"/>
                <w:b/>
                <w:bCs/>
                <w:lang w:eastAsia="cs-CZ"/>
              </w:rPr>
            </w:pPr>
            <w:r w:rsidRPr="00F117FC">
              <w:rPr>
                <w:rFonts w:eastAsia="Times New Roman" w:cs="Times New Roman"/>
                <w:b/>
                <w:bCs/>
                <w:lang w:eastAsia="cs-CZ"/>
              </w:rPr>
              <w:t>Schválený rozpočet 2020</w:t>
            </w:r>
          </w:p>
        </w:tc>
        <w:tc>
          <w:tcPr>
            <w:tcW w:w="1248"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jc w:val="center"/>
              <w:rPr>
                <w:rFonts w:eastAsia="Times New Roman" w:cs="Times New Roman"/>
                <w:b/>
                <w:bCs/>
                <w:lang w:eastAsia="cs-CZ"/>
              </w:rPr>
            </w:pPr>
            <w:r w:rsidRPr="00F117FC">
              <w:rPr>
                <w:rFonts w:eastAsia="Times New Roman" w:cs="Times New Roman"/>
                <w:b/>
                <w:bCs/>
                <w:lang w:eastAsia="cs-CZ"/>
              </w:rPr>
              <w:t xml:space="preserve">Návrh rozpočtu </w:t>
            </w:r>
            <w:r w:rsidRPr="00F117FC">
              <w:rPr>
                <w:rFonts w:eastAsia="Times New Roman" w:cs="Times New Roman"/>
                <w:b/>
                <w:bCs/>
                <w:lang w:eastAsia="cs-CZ"/>
              </w:rPr>
              <w:br/>
              <w:t>2021</w:t>
            </w:r>
          </w:p>
        </w:tc>
      </w:tr>
      <w:tr w:rsidR="00910074" w:rsidRPr="00F117FC" w:rsidTr="00910074">
        <w:tc>
          <w:tcPr>
            <w:tcW w:w="1251"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spacing w:line="240" w:lineRule="auto"/>
              <w:rPr>
                <w:rFonts w:eastAsia="Times New Roman" w:cs="Times New Roman"/>
                <w:lang w:eastAsia="cs-CZ"/>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jc w:val="center"/>
              <w:rPr>
                <w:rFonts w:eastAsia="Times New Roman" w:cs="Times New Roman"/>
                <w:b/>
                <w:lang w:eastAsia="cs-CZ"/>
              </w:rPr>
            </w:pPr>
            <w:r w:rsidRPr="00F117FC">
              <w:rPr>
                <w:rFonts w:eastAsia="Times New Roman" w:cs="Times New Roman"/>
                <w:b/>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jc w:val="center"/>
              <w:rPr>
                <w:rFonts w:eastAsia="Times New Roman" w:cs="Times New Roman"/>
                <w:b/>
                <w:lang w:eastAsia="cs-CZ"/>
              </w:rPr>
            </w:pPr>
            <w:r w:rsidRPr="00F117FC">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jc w:val="center"/>
              <w:rPr>
                <w:rFonts w:eastAsia="Times New Roman" w:cs="Times New Roman"/>
                <w:b/>
                <w:lang w:eastAsia="cs-CZ"/>
              </w:rPr>
            </w:pPr>
            <w:r w:rsidRPr="00F117FC">
              <w:rPr>
                <w:rFonts w:eastAsia="Times New Roman" w:cs="Times New Roman"/>
                <w:b/>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jc w:val="center"/>
              <w:rPr>
                <w:rFonts w:eastAsia="Times New Roman" w:cs="Times New Roman"/>
                <w:b/>
                <w:lang w:eastAsia="cs-CZ"/>
              </w:rPr>
            </w:pPr>
            <w:r w:rsidRPr="00F117FC">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jc w:val="center"/>
              <w:rPr>
                <w:rFonts w:eastAsia="Times New Roman" w:cs="Times New Roman"/>
                <w:b/>
                <w:lang w:eastAsia="cs-CZ"/>
              </w:rPr>
            </w:pPr>
            <w:r w:rsidRPr="00F117FC">
              <w:rPr>
                <w:rFonts w:eastAsia="Times New Roman" w:cs="Times New Roman"/>
                <w:b/>
                <w:lang w:eastAsia="cs-CZ"/>
              </w:rPr>
              <w:t>SR</w:t>
            </w:r>
          </w:p>
        </w:tc>
        <w:tc>
          <w:tcPr>
            <w:tcW w:w="62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jc w:val="center"/>
              <w:rPr>
                <w:rFonts w:eastAsia="Times New Roman" w:cs="Times New Roman"/>
                <w:b/>
                <w:lang w:eastAsia="cs-CZ"/>
              </w:rPr>
            </w:pPr>
            <w:r w:rsidRPr="00F117FC">
              <w:rPr>
                <w:rFonts w:eastAsia="Times New Roman" w:cs="Times New Roman"/>
                <w:b/>
                <w:lang w:eastAsia="cs-CZ"/>
              </w:rPr>
              <w:t>EU</w:t>
            </w:r>
          </w:p>
        </w:tc>
      </w:tr>
      <w:tr w:rsidR="00910074" w:rsidRPr="00F117FC" w:rsidTr="00910074">
        <w:tc>
          <w:tcPr>
            <w:tcW w:w="1251" w:type="pct"/>
            <w:tcBorders>
              <w:bottom w:val="single" w:sz="8" w:space="0" w:color="7F7F7F" w:themeColor="text1" w:themeTint="80"/>
            </w:tcBorders>
            <w:shd w:val="clear" w:color="auto" w:fill="auto"/>
          </w:tcPr>
          <w:p w:rsidR="00910074" w:rsidRPr="00F117FC" w:rsidRDefault="00910074" w:rsidP="00910074">
            <w:pPr>
              <w:jc w:val="center"/>
              <w:rPr>
                <w:rFonts w:eastAsia="Times New Roman" w:cs="Times New Roman"/>
                <w:bCs/>
                <w:lang w:eastAsia="cs-CZ"/>
              </w:rPr>
            </w:pPr>
            <w:r w:rsidRPr="00F117FC">
              <w:rPr>
                <w:rFonts w:eastAsia="Times New Roman" w:cs="Times New Roman"/>
                <w:bCs/>
                <w:lang w:eastAsia="cs-CZ"/>
              </w:rPr>
              <w:t>127 06</w:t>
            </w:r>
          </w:p>
        </w:tc>
        <w:tc>
          <w:tcPr>
            <w:tcW w:w="625" w:type="pct"/>
            <w:tcBorders>
              <w:bottom w:val="single" w:sz="8" w:space="0" w:color="7F7F7F" w:themeColor="text1" w:themeTint="80"/>
            </w:tcBorders>
            <w:shd w:val="clear" w:color="auto" w:fill="auto"/>
          </w:tcPr>
          <w:p w:rsidR="00910074" w:rsidRPr="00F117FC" w:rsidRDefault="00910074" w:rsidP="00910074">
            <w:pPr>
              <w:jc w:val="right"/>
              <w:rPr>
                <w:rFonts w:eastAsia="Times New Roman" w:cs="Times New Roman"/>
                <w:bCs/>
                <w:lang w:eastAsia="cs-CZ"/>
              </w:rPr>
            </w:pPr>
            <w:r w:rsidRPr="00F117FC">
              <w:rPr>
                <w:rFonts w:eastAsia="Times New Roman" w:cs="Times New Roman"/>
                <w:bCs/>
                <w:lang w:eastAsia="cs-CZ"/>
              </w:rPr>
              <w:t>0</w:t>
            </w:r>
          </w:p>
        </w:tc>
        <w:tc>
          <w:tcPr>
            <w:tcW w:w="625" w:type="pct"/>
            <w:tcBorders>
              <w:bottom w:val="single" w:sz="8" w:space="0" w:color="7F7F7F" w:themeColor="text1" w:themeTint="80"/>
            </w:tcBorders>
            <w:shd w:val="clear" w:color="auto" w:fill="auto"/>
          </w:tcPr>
          <w:p w:rsidR="00910074" w:rsidRPr="00F117FC" w:rsidRDefault="00910074" w:rsidP="00910074">
            <w:pPr>
              <w:jc w:val="right"/>
              <w:rPr>
                <w:rFonts w:eastAsia="Times New Roman" w:cs="Times New Roman"/>
                <w:bCs/>
                <w:lang w:eastAsia="cs-CZ"/>
              </w:rPr>
            </w:pPr>
            <w:r w:rsidRPr="00F117FC">
              <w:rPr>
                <w:rFonts w:eastAsia="Times New Roman" w:cs="Times New Roman"/>
                <w:bCs/>
                <w:lang w:eastAsia="cs-CZ"/>
              </w:rPr>
              <w:t>0</w:t>
            </w:r>
          </w:p>
        </w:tc>
        <w:tc>
          <w:tcPr>
            <w:tcW w:w="625" w:type="pct"/>
            <w:tcBorders>
              <w:bottom w:val="single" w:sz="8" w:space="0" w:color="7F7F7F" w:themeColor="text1" w:themeTint="80"/>
            </w:tcBorders>
            <w:shd w:val="clear" w:color="auto" w:fill="auto"/>
          </w:tcPr>
          <w:p w:rsidR="00910074" w:rsidRPr="00F117FC" w:rsidRDefault="00910074" w:rsidP="00910074">
            <w:pPr>
              <w:jc w:val="right"/>
              <w:rPr>
                <w:rFonts w:eastAsia="Times New Roman" w:cs="Times New Roman"/>
                <w:bCs/>
                <w:lang w:eastAsia="cs-CZ"/>
              </w:rPr>
            </w:pPr>
            <w:r w:rsidRPr="00F117FC">
              <w:rPr>
                <w:rFonts w:eastAsia="Times New Roman" w:cs="Times New Roman"/>
                <w:bCs/>
                <w:lang w:eastAsia="cs-CZ"/>
              </w:rPr>
              <w:t>0</w:t>
            </w:r>
          </w:p>
        </w:tc>
        <w:tc>
          <w:tcPr>
            <w:tcW w:w="626" w:type="pct"/>
            <w:tcBorders>
              <w:bottom w:val="single" w:sz="8" w:space="0" w:color="7F7F7F" w:themeColor="text1" w:themeTint="80"/>
            </w:tcBorders>
            <w:shd w:val="clear" w:color="auto" w:fill="auto"/>
          </w:tcPr>
          <w:p w:rsidR="00910074" w:rsidRPr="00F117FC" w:rsidRDefault="00910074" w:rsidP="00910074">
            <w:pPr>
              <w:jc w:val="right"/>
              <w:rPr>
                <w:rFonts w:eastAsia="Times New Roman" w:cs="Times New Roman"/>
                <w:bCs/>
                <w:lang w:eastAsia="cs-CZ"/>
              </w:rPr>
            </w:pPr>
            <w:r w:rsidRPr="00F117FC">
              <w:rPr>
                <w:rFonts w:eastAsia="Times New Roman" w:cs="Times New Roman"/>
                <w:bCs/>
                <w:lang w:eastAsia="cs-CZ"/>
              </w:rPr>
              <w:t>0</w:t>
            </w:r>
          </w:p>
        </w:tc>
        <w:tc>
          <w:tcPr>
            <w:tcW w:w="625" w:type="pct"/>
            <w:tcBorders>
              <w:bottom w:val="single" w:sz="8" w:space="0" w:color="7F7F7F" w:themeColor="text1" w:themeTint="80"/>
            </w:tcBorders>
            <w:shd w:val="clear" w:color="auto" w:fill="auto"/>
          </w:tcPr>
          <w:p w:rsidR="00910074" w:rsidRPr="00F117FC" w:rsidRDefault="00910074" w:rsidP="00910074">
            <w:pPr>
              <w:jc w:val="right"/>
              <w:rPr>
                <w:rFonts w:eastAsia="Times New Roman" w:cs="Times New Roman"/>
                <w:bCs/>
                <w:lang w:eastAsia="cs-CZ"/>
              </w:rPr>
            </w:pPr>
            <w:r w:rsidRPr="00F117FC">
              <w:rPr>
                <w:rFonts w:eastAsia="Times New Roman" w:cs="Times New Roman"/>
                <w:bCs/>
                <w:lang w:eastAsia="cs-CZ"/>
              </w:rPr>
              <w:t>0</w:t>
            </w:r>
          </w:p>
        </w:tc>
        <w:tc>
          <w:tcPr>
            <w:tcW w:w="623" w:type="pct"/>
            <w:tcBorders>
              <w:bottom w:val="single" w:sz="8" w:space="0" w:color="7F7F7F" w:themeColor="text1" w:themeTint="80"/>
            </w:tcBorders>
            <w:shd w:val="clear" w:color="auto" w:fill="auto"/>
          </w:tcPr>
          <w:p w:rsidR="00910074" w:rsidRPr="00F117FC" w:rsidRDefault="00910074" w:rsidP="00910074">
            <w:pPr>
              <w:jc w:val="right"/>
              <w:rPr>
                <w:rFonts w:eastAsia="Times New Roman" w:cs="Times New Roman"/>
                <w:bCs/>
                <w:lang w:eastAsia="cs-CZ"/>
              </w:rPr>
            </w:pPr>
            <w:r w:rsidRPr="00F117FC">
              <w:rPr>
                <w:rFonts w:eastAsia="Times New Roman" w:cs="Times New Roman"/>
                <w:bCs/>
                <w:lang w:eastAsia="cs-CZ"/>
              </w:rPr>
              <w:t>0</w:t>
            </w:r>
          </w:p>
        </w:tc>
      </w:tr>
      <w:tr w:rsidR="00910074" w:rsidRPr="00F117FC" w:rsidTr="00910074">
        <w:trPr>
          <w:trHeight w:val="138"/>
        </w:trPr>
        <w:tc>
          <w:tcPr>
            <w:tcW w:w="1251" w:type="pct"/>
            <w:tcBorders>
              <w:top w:val="single" w:sz="8" w:space="0" w:color="7F7F7F" w:themeColor="text1" w:themeTint="80"/>
              <w:bottom w:val="single" w:sz="8" w:space="0" w:color="7F7F7F" w:themeColor="text1" w:themeTint="80"/>
            </w:tcBorders>
            <w:shd w:val="clear" w:color="auto" w:fill="auto"/>
          </w:tcPr>
          <w:p w:rsidR="00910074" w:rsidRPr="00F117FC" w:rsidRDefault="00910074" w:rsidP="00910074">
            <w:pPr>
              <w:spacing w:line="240" w:lineRule="auto"/>
              <w:jc w:val="center"/>
              <w:rPr>
                <w:rFonts w:eastAsia="Times New Roman" w:cs="Times New Roman"/>
                <w:b/>
                <w:bCs/>
                <w:lang w:eastAsia="cs-CZ"/>
              </w:rPr>
            </w:pPr>
            <w:r w:rsidRPr="00F117FC">
              <w:rPr>
                <w:rFonts w:eastAsia="Times New Roman" w:cs="Times New Roman"/>
                <w:b/>
                <w:bCs/>
                <w:lang w:eastAsia="cs-CZ"/>
              </w:rPr>
              <w:t>CELKEM</w:t>
            </w:r>
          </w:p>
        </w:tc>
        <w:tc>
          <w:tcPr>
            <w:tcW w:w="625" w:type="pct"/>
            <w:tcBorders>
              <w:top w:val="single" w:sz="8" w:space="0" w:color="7F7F7F" w:themeColor="text1" w:themeTint="80"/>
              <w:bottom w:val="single" w:sz="8" w:space="0" w:color="7F7F7F" w:themeColor="text1" w:themeTint="80"/>
            </w:tcBorders>
            <w:shd w:val="clear" w:color="auto" w:fill="auto"/>
          </w:tcPr>
          <w:p w:rsidR="00910074" w:rsidRPr="00F117FC" w:rsidRDefault="00910074" w:rsidP="00910074">
            <w:pPr>
              <w:jc w:val="right"/>
              <w:rPr>
                <w:rFonts w:eastAsia="Times New Roman" w:cs="Times New Roman"/>
                <w:b/>
                <w:bCs/>
                <w:lang w:eastAsia="cs-CZ"/>
              </w:rPr>
            </w:pPr>
            <w:r w:rsidRPr="00F117FC">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910074" w:rsidRPr="00F117FC" w:rsidRDefault="00910074" w:rsidP="00910074">
            <w:pPr>
              <w:spacing w:line="240" w:lineRule="auto"/>
              <w:jc w:val="right"/>
              <w:rPr>
                <w:rFonts w:eastAsia="Times New Roman" w:cs="Times New Roman"/>
                <w:b/>
                <w:bCs/>
                <w:lang w:eastAsia="cs-CZ"/>
              </w:rPr>
            </w:pPr>
            <w:r w:rsidRPr="00F117FC">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910074" w:rsidRPr="00F117FC" w:rsidRDefault="00910074" w:rsidP="00910074">
            <w:pPr>
              <w:spacing w:line="240" w:lineRule="auto"/>
              <w:jc w:val="right"/>
              <w:rPr>
                <w:rFonts w:eastAsia="Times New Roman" w:cs="Times New Roman"/>
                <w:b/>
                <w:bCs/>
                <w:lang w:eastAsia="cs-CZ"/>
              </w:rPr>
            </w:pPr>
            <w:r w:rsidRPr="00F117FC">
              <w:rPr>
                <w:rFonts w:eastAsia="Times New Roman" w:cs="Times New Roman"/>
                <w:b/>
                <w:bCs/>
                <w:lang w:eastAsia="cs-CZ"/>
              </w:rPr>
              <w:t>0</w:t>
            </w:r>
          </w:p>
        </w:tc>
        <w:tc>
          <w:tcPr>
            <w:tcW w:w="626" w:type="pct"/>
            <w:tcBorders>
              <w:top w:val="single" w:sz="8" w:space="0" w:color="7F7F7F" w:themeColor="text1" w:themeTint="80"/>
              <w:bottom w:val="single" w:sz="8" w:space="0" w:color="7F7F7F" w:themeColor="text1" w:themeTint="80"/>
            </w:tcBorders>
            <w:shd w:val="clear" w:color="auto" w:fill="auto"/>
          </w:tcPr>
          <w:p w:rsidR="00910074" w:rsidRPr="00F117FC" w:rsidRDefault="00910074" w:rsidP="00910074">
            <w:pPr>
              <w:spacing w:line="240" w:lineRule="auto"/>
              <w:jc w:val="right"/>
              <w:rPr>
                <w:rFonts w:eastAsia="Times New Roman" w:cs="Times New Roman"/>
                <w:b/>
                <w:bCs/>
                <w:lang w:eastAsia="cs-CZ"/>
              </w:rPr>
            </w:pPr>
            <w:r w:rsidRPr="00F117FC">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910074" w:rsidRPr="00F117FC" w:rsidRDefault="00910074" w:rsidP="00910074">
            <w:pPr>
              <w:spacing w:line="240" w:lineRule="auto"/>
              <w:jc w:val="right"/>
              <w:rPr>
                <w:rFonts w:eastAsia="Times New Roman" w:cs="Times New Roman"/>
                <w:b/>
                <w:bCs/>
                <w:lang w:eastAsia="cs-CZ"/>
              </w:rPr>
            </w:pPr>
            <w:r w:rsidRPr="00F117FC">
              <w:rPr>
                <w:rFonts w:eastAsia="Times New Roman" w:cs="Times New Roman"/>
                <w:b/>
                <w:bCs/>
                <w:lang w:eastAsia="cs-CZ"/>
              </w:rPr>
              <w:t>0</w:t>
            </w:r>
          </w:p>
        </w:tc>
        <w:tc>
          <w:tcPr>
            <w:tcW w:w="623" w:type="pct"/>
            <w:tcBorders>
              <w:top w:val="single" w:sz="8" w:space="0" w:color="7F7F7F" w:themeColor="text1" w:themeTint="80"/>
              <w:bottom w:val="single" w:sz="8" w:space="0" w:color="7F7F7F" w:themeColor="text1" w:themeTint="80"/>
            </w:tcBorders>
            <w:shd w:val="clear" w:color="auto" w:fill="auto"/>
          </w:tcPr>
          <w:p w:rsidR="00910074" w:rsidRPr="00F117FC" w:rsidRDefault="00910074" w:rsidP="00910074">
            <w:pPr>
              <w:spacing w:line="240" w:lineRule="auto"/>
              <w:jc w:val="right"/>
              <w:rPr>
                <w:rFonts w:eastAsia="Times New Roman" w:cs="Times New Roman"/>
                <w:b/>
                <w:bCs/>
                <w:lang w:eastAsia="cs-CZ"/>
              </w:rPr>
            </w:pPr>
            <w:r w:rsidRPr="00F117FC">
              <w:rPr>
                <w:rFonts w:eastAsia="Times New Roman" w:cs="Times New Roman"/>
                <w:b/>
                <w:bCs/>
                <w:lang w:eastAsia="cs-CZ"/>
              </w:rPr>
              <w:t>0</w:t>
            </w:r>
          </w:p>
        </w:tc>
      </w:tr>
    </w:tbl>
    <w:p w:rsidR="00910074" w:rsidRPr="00F117FC" w:rsidRDefault="00910074" w:rsidP="00910074">
      <w:pPr>
        <w:pStyle w:val="Styl1"/>
      </w:pPr>
      <w:r w:rsidRPr="00F117FC">
        <w:lastRenderedPageBreak/>
        <w:t>Prostředky na rok 2020 nejsou rozpočtovány.</w:t>
      </w:r>
    </w:p>
    <w:p w:rsidR="00910074" w:rsidRPr="00F117FC" w:rsidRDefault="00910074" w:rsidP="00E447C1">
      <w:pPr>
        <w:pStyle w:val="Nadpis9"/>
        <w:rPr>
          <w:lang w:eastAsia="cs-CZ"/>
        </w:rPr>
      </w:pPr>
      <w:r w:rsidRPr="00F117FC">
        <w:rPr>
          <w:lang w:eastAsia="cs-CZ"/>
        </w:rPr>
        <w:t>Centrum služeb pro silniční dopravu</w:t>
      </w:r>
    </w:p>
    <w:p w:rsidR="00910074" w:rsidRPr="00F117FC" w:rsidRDefault="00910074" w:rsidP="00910074">
      <w:pPr>
        <w:pStyle w:val="Titulek"/>
        <w:keepNext/>
      </w:pPr>
      <w:r w:rsidRPr="00F117FC">
        <w:t xml:space="preserve">Tabulka č. </w:t>
      </w:r>
      <w:r w:rsidRPr="00F117FC">
        <w:rPr>
          <w:bCs w:val="0"/>
          <w:noProof/>
        </w:rPr>
        <w:fldChar w:fldCharType="begin"/>
      </w:r>
      <w:r w:rsidRPr="00F117FC">
        <w:rPr>
          <w:bCs w:val="0"/>
          <w:noProof/>
        </w:rPr>
        <w:instrText xml:space="preserve"> SEQ Tabulka \* ARABIC </w:instrText>
      </w:r>
      <w:r w:rsidRPr="00F117FC">
        <w:rPr>
          <w:bCs w:val="0"/>
          <w:noProof/>
        </w:rPr>
        <w:fldChar w:fldCharType="separate"/>
      </w:r>
      <w:r w:rsidR="006076E7">
        <w:rPr>
          <w:bCs w:val="0"/>
          <w:noProof/>
        </w:rPr>
        <w:t>38</w:t>
      </w:r>
      <w:r w:rsidRPr="00F117FC">
        <w:rPr>
          <w:bCs w:val="0"/>
          <w:noProof/>
        </w:rPr>
        <w:fldChar w:fldCharType="end"/>
      </w:r>
      <w:r w:rsidRPr="00F117FC">
        <w:rPr>
          <w:bCs w:val="0"/>
          <w:noProof/>
        </w:rPr>
        <w:t xml:space="preserve"> </w:t>
      </w:r>
      <w:r w:rsidRPr="00F117FC">
        <w:rPr>
          <w:noProof/>
        </w:rPr>
        <w:t>Výdaje Centra služeb pro silniční dopravu vedené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6"/>
        <w:gridCol w:w="1131"/>
        <w:gridCol w:w="1131"/>
        <w:gridCol w:w="1131"/>
        <w:gridCol w:w="1133"/>
        <w:gridCol w:w="1131"/>
        <w:gridCol w:w="1128"/>
      </w:tblGrid>
      <w:tr w:rsidR="00910074" w:rsidRPr="00F117FC" w:rsidTr="00910074">
        <w:tc>
          <w:tcPr>
            <w:tcW w:w="1251"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spacing w:before="240"/>
              <w:jc w:val="center"/>
              <w:rPr>
                <w:rFonts w:eastAsia="Times New Roman" w:cs="Times New Roman"/>
                <w:b/>
                <w:bCs/>
                <w:lang w:eastAsia="cs-CZ"/>
              </w:rPr>
            </w:pPr>
            <w:r w:rsidRPr="00F117FC">
              <w:rPr>
                <w:rFonts w:eastAsia="Times New Roman" w:cs="Times New Roman"/>
                <w:b/>
                <w:bCs/>
                <w:lang w:eastAsia="cs-CZ"/>
              </w:rPr>
              <w:t xml:space="preserve">Číslo programu </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jc w:val="center"/>
              <w:rPr>
                <w:rFonts w:eastAsia="Times New Roman" w:cs="Times New Roman"/>
                <w:b/>
                <w:bCs/>
                <w:lang w:eastAsia="cs-CZ"/>
              </w:rPr>
            </w:pPr>
            <w:r w:rsidRPr="00F117FC">
              <w:rPr>
                <w:rFonts w:eastAsia="Times New Roman" w:cs="Times New Roman"/>
                <w:b/>
                <w:bCs/>
                <w:lang w:eastAsia="cs-CZ"/>
              </w:rPr>
              <w:t xml:space="preserve">Skutečnost </w:t>
            </w:r>
            <w:r w:rsidRPr="00F117FC">
              <w:rPr>
                <w:rFonts w:eastAsia="Times New Roman" w:cs="Times New Roman"/>
                <w:b/>
                <w:bCs/>
                <w:lang w:eastAsia="cs-CZ"/>
              </w:rPr>
              <w:br/>
              <w:t>2019</w:t>
            </w:r>
          </w:p>
        </w:tc>
        <w:tc>
          <w:tcPr>
            <w:tcW w:w="125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jc w:val="center"/>
              <w:rPr>
                <w:rFonts w:eastAsia="Times New Roman" w:cs="Times New Roman"/>
                <w:b/>
                <w:bCs/>
                <w:lang w:eastAsia="cs-CZ"/>
              </w:rPr>
            </w:pPr>
            <w:r w:rsidRPr="00F117FC">
              <w:rPr>
                <w:rFonts w:eastAsia="Times New Roman" w:cs="Times New Roman"/>
                <w:b/>
                <w:bCs/>
                <w:lang w:eastAsia="cs-CZ"/>
              </w:rPr>
              <w:t>Schválený rozpočet 2020</w:t>
            </w:r>
          </w:p>
        </w:tc>
        <w:tc>
          <w:tcPr>
            <w:tcW w:w="1248"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jc w:val="center"/>
              <w:rPr>
                <w:rFonts w:eastAsia="Times New Roman" w:cs="Times New Roman"/>
                <w:b/>
                <w:bCs/>
                <w:lang w:eastAsia="cs-CZ"/>
              </w:rPr>
            </w:pPr>
            <w:r w:rsidRPr="00F117FC">
              <w:rPr>
                <w:rFonts w:eastAsia="Times New Roman" w:cs="Times New Roman"/>
                <w:b/>
                <w:bCs/>
                <w:lang w:eastAsia="cs-CZ"/>
              </w:rPr>
              <w:t xml:space="preserve">Návrh rozpočtu </w:t>
            </w:r>
            <w:r w:rsidRPr="00F117FC">
              <w:rPr>
                <w:rFonts w:eastAsia="Times New Roman" w:cs="Times New Roman"/>
                <w:b/>
                <w:bCs/>
                <w:lang w:eastAsia="cs-CZ"/>
              </w:rPr>
              <w:br/>
              <w:t>2021</w:t>
            </w:r>
          </w:p>
        </w:tc>
      </w:tr>
      <w:tr w:rsidR="00910074" w:rsidRPr="00F117FC" w:rsidTr="00910074">
        <w:tc>
          <w:tcPr>
            <w:tcW w:w="1251"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rPr>
                <w:rFonts w:eastAsia="Times New Roman" w:cs="Times New Roman"/>
                <w:lang w:eastAsia="cs-CZ"/>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jc w:val="center"/>
              <w:rPr>
                <w:rFonts w:eastAsia="Times New Roman" w:cs="Times New Roman"/>
                <w:b/>
                <w:lang w:eastAsia="cs-CZ"/>
              </w:rPr>
            </w:pPr>
            <w:r w:rsidRPr="00F117FC">
              <w:rPr>
                <w:rFonts w:eastAsia="Times New Roman" w:cs="Times New Roman"/>
                <w:b/>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jc w:val="center"/>
              <w:rPr>
                <w:rFonts w:eastAsia="Times New Roman" w:cs="Times New Roman"/>
                <w:b/>
                <w:lang w:eastAsia="cs-CZ"/>
              </w:rPr>
            </w:pPr>
            <w:r w:rsidRPr="00F117FC">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jc w:val="center"/>
              <w:rPr>
                <w:rFonts w:eastAsia="Times New Roman" w:cs="Times New Roman"/>
                <w:b/>
                <w:lang w:eastAsia="cs-CZ"/>
              </w:rPr>
            </w:pPr>
            <w:r w:rsidRPr="00F117FC">
              <w:rPr>
                <w:rFonts w:eastAsia="Times New Roman" w:cs="Times New Roman"/>
                <w:b/>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jc w:val="center"/>
              <w:rPr>
                <w:rFonts w:eastAsia="Times New Roman" w:cs="Times New Roman"/>
                <w:b/>
                <w:lang w:eastAsia="cs-CZ"/>
              </w:rPr>
            </w:pPr>
            <w:r w:rsidRPr="00F117FC">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jc w:val="center"/>
              <w:rPr>
                <w:rFonts w:eastAsia="Times New Roman" w:cs="Times New Roman"/>
                <w:b/>
                <w:lang w:eastAsia="cs-CZ"/>
              </w:rPr>
            </w:pPr>
            <w:r w:rsidRPr="00F117FC">
              <w:rPr>
                <w:rFonts w:eastAsia="Times New Roman" w:cs="Times New Roman"/>
                <w:b/>
                <w:lang w:eastAsia="cs-CZ"/>
              </w:rPr>
              <w:t>SR</w:t>
            </w:r>
          </w:p>
        </w:tc>
        <w:tc>
          <w:tcPr>
            <w:tcW w:w="62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F117FC" w:rsidRDefault="00910074" w:rsidP="00910074">
            <w:pPr>
              <w:jc w:val="center"/>
              <w:rPr>
                <w:rFonts w:eastAsia="Times New Roman" w:cs="Times New Roman"/>
                <w:b/>
                <w:lang w:eastAsia="cs-CZ"/>
              </w:rPr>
            </w:pPr>
            <w:r w:rsidRPr="00F117FC">
              <w:rPr>
                <w:rFonts w:eastAsia="Times New Roman" w:cs="Times New Roman"/>
                <w:b/>
                <w:lang w:eastAsia="cs-CZ"/>
              </w:rPr>
              <w:t>EU</w:t>
            </w:r>
          </w:p>
        </w:tc>
      </w:tr>
      <w:tr w:rsidR="00910074" w:rsidRPr="00F117FC" w:rsidTr="00910074">
        <w:tc>
          <w:tcPr>
            <w:tcW w:w="1251" w:type="pct"/>
            <w:tcBorders>
              <w:top w:val="single" w:sz="4" w:space="0" w:color="7F7F7F" w:themeColor="text1" w:themeTint="80"/>
              <w:bottom w:val="single" w:sz="8" w:space="0" w:color="7F7F7F" w:themeColor="text1" w:themeTint="80"/>
            </w:tcBorders>
            <w:shd w:val="clear" w:color="auto" w:fill="auto"/>
          </w:tcPr>
          <w:p w:rsidR="00910074" w:rsidRPr="00F117FC" w:rsidRDefault="00910074" w:rsidP="00910074">
            <w:pPr>
              <w:jc w:val="center"/>
              <w:rPr>
                <w:rFonts w:eastAsia="Times New Roman" w:cs="Times New Roman"/>
                <w:lang w:eastAsia="cs-CZ"/>
              </w:rPr>
            </w:pPr>
            <w:r w:rsidRPr="00F117FC">
              <w:rPr>
                <w:rFonts w:eastAsia="Times New Roman" w:cs="Times New Roman"/>
                <w:lang w:eastAsia="cs-CZ"/>
              </w:rPr>
              <w:t>127 06</w:t>
            </w:r>
          </w:p>
        </w:tc>
        <w:tc>
          <w:tcPr>
            <w:tcW w:w="625" w:type="pct"/>
            <w:tcBorders>
              <w:top w:val="single" w:sz="4" w:space="0" w:color="7F7F7F" w:themeColor="text1" w:themeTint="80"/>
              <w:bottom w:val="single" w:sz="8" w:space="0" w:color="7F7F7F" w:themeColor="text1" w:themeTint="80"/>
            </w:tcBorders>
            <w:shd w:val="clear" w:color="auto" w:fill="auto"/>
          </w:tcPr>
          <w:p w:rsidR="00910074" w:rsidRPr="00F117FC" w:rsidRDefault="00910074" w:rsidP="00910074">
            <w:pPr>
              <w:jc w:val="right"/>
              <w:rPr>
                <w:rFonts w:eastAsia="Times New Roman" w:cs="Times New Roman"/>
                <w:lang w:eastAsia="cs-CZ"/>
              </w:rPr>
            </w:pPr>
            <w:r w:rsidRPr="00F117FC">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910074" w:rsidRPr="00F117FC" w:rsidRDefault="00910074" w:rsidP="00910074">
            <w:pPr>
              <w:jc w:val="right"/>
              <w:rPr>
                <w:rFonts w:eastAsia="Times New Roman" w:cs="Times New Roman"/>
                <w:lang w:eastAsia="cs-CZ"/>
              </w:rPr>
            </w:pPr>
            <w:r w:rsidRPr="00F117FC">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910074" w:rsidRPr="00F117FC" w:rsidRDefault="00910074" w:rsidP="00910074">
            <w:pPr>
              <w:jc w:val="right"/>
              <w:rPr>
                <w:rFonts w:eastAsia="Times New Roman" w:cs="Times New Roman"/>
                <w:lang w:eastAsia="cs-CZ"/>
              </w:rPr>
            </w:pPr>
            <w:r w:rsidRPr="00F117FC">
              <w:rPr>
                <w:rFonts w:eastAsia="Times New Roman" w:cs="Times New Roman"/>
                <w:lang w:eastAsia="cs-CZ"/>
              </w:rPr>
              <w:t>5 000</w:t>
            </w:r>
          </w:p>
        </w:tc>
        <w:tc>
          <w:tcPr>
            <w:tcW w:w="626" w:type="pct"/>
            <w:tcBorders>
              <w:top w:val="single" w:sz="4" w:space="0" w:color="7F7F7F" w:themeColor="text1" w:themeTint="80"/>
              <w:bottom w:val="single" w:sz="8" w:space="0" w:color="7F7F7F" w:themeColor="text1" w:themeTint="80"/>
            </w:tcBorders>
            <w:shd w:val="clear" w:color="auto" w:fill="auto"/>
          </w:tcPr>
          <w:p w:rsidR="00910074" w:rsidRPr="00F117FC" w:rsidRDefault="00910074" w:rsidP="00910074">
            <w:pPr>
              <w:jc w:val="right"/>
              <w:rPr>
                <w:rFonts w:eastAsia="Times New Roman" w:cs="Times New Roman"/>
                <w:lang w:eastAsia="cs-CZ"/>
              </w:rPr>
            </w:pPr>
            <w:r w:rsidRPr="00F117FC">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910074" w:rsidRPr="00F117FC" w:rsidRDefault="00910074" w:rsidP="00910074">
            <w:pPr>
              <w:jc w:val="right"/>
              <w:rPr>
                <w:rFonts w:eastAsia="Times New Roman" w:cs="Times New Roman"/>
                <w:lang w:eastAsia="cs-CZ"/>
              </w:rPr>
            </w:pPr>
            <w:r w:rsidRPr="00F117FC">
              <w:rPr>
                <w:rFonts w:eastAsia="Times New Roman" w:cs="Times New Roman"/>
                <w:lang w:eastAsia="cs-CZ"/>
              </w:rPr>
              <w:t>8 673</w:t>
            </w:r>
          </w:p>
        </w:tc>
        <w:tc>
          <w:tcPr>
            <w:tcW w:w="623" w:type="pct"/>
            <w:tcBorders>
              <w:top w:val="single" w:sz="4" w:space="0" w:color="7F7F7F" w:themeColor="text1" w:themeTint="80"/>
              <w:bottom w:val="single" w:sz="8" w:space="0" w:color="7F7F7F" w:themeColor="text1" w:themeTint="80"/>
            </w:tcBorders>
            <w:shd w:val="clear" w:color="auto" w:fill="auto"/>
          </w:tcPr>
          <w:p w:rsidR="00910074" w:rsidRPr="00F117FC" w:rsidRDefault="00910074" w:rsidP="00910074">
            <w:pPr>
              <w:jc w:val="right"/>
              <w:rPr>
                <w:rFonts w:eastAsia="Times New Roman" w:cs="Times New Roman"/>
                <w:lang w:eastAsia="cs-CZ"/>
              </w:rPr>
            </w:pPr>
            <w:r w:rsidRPr="00F117FC">
              <w:rPr>
                <w:rFonts w:eastAsia="Times New Roman" w:cs="Times New Roman"/>
                <w:lang w:eastAsia="cs-CZ"/>
              </w:rPr>
              <w:t>0</w:t>
            </w:r>
          </w:p>
        </w:tc>
      </w:tr>
      <w:tr w:rsidR="00910074" w:rsidRPr="00F117FC" w:rsidTr="00910074">
        <w:tc>
          <w:tcPr>
            <w:tcW w:w="1251" w:type="pct"/>
            <w:tcBorders>
              <w:top w:val="single" w:sz="8" w:space="0" w:color="7F7F7F" w:themeColor="text1" w:themeTint="80"/>
              <w:bottom w:val="single" w:sz="8" w:space="0" w:color="7F7F7F" w:themeColor="text1" w:themeTint="80"/>
            </w:tcBorders>
            <w:shd w:val="clear" w:color="auto" w:fill="auto"/>
          </w:tcPr>
          <w:p w:rsidR="00910074" w:rsidRPr="00F117FC" w:rsidRDefault="00910074" w:rsidP="00910074">
            <w:pPr>
              <w:jc w:val="center"/>
              <w:rPr>
                <w:rFonts w:eastAsia="Times New Roman" w:cs="Times New Roman"/>
                <w:b/>
                <w:bCs/>
                <w:lang w:eastAsia="cs-CZ"/>
              </w:rPr>
            </w:pPr>
            <w:r w:rsidRPr="00F117FC">
              <w:rPr>
                <w:rFonts w:eastAsia="Times New Roman" w:cs="Times New Roman"/>
                <w:b/>
                <w:bCs/>
                <w:lang w:eastAsia="cs-CZ"/>
              </w:rPr>
              <w:t>CELKEM</w:t>
            </w:r>
          </w:p>
        </w:tc>
        <w:tc>
          <w:tcPr>
            <w:tcW w:w="625" w:type="pct"/>
            <w:tcBorders>
              <w:top w:val="single" w:sz="8" w:space="0" w:color="7F7F7F" w:themeColor="text1" w:themeTint="80"/>
              <w:bottom w:val="single" w:sz="8" w:space="0" w:color="7F7F7F" w:themeColor="text1" w:themeTint="80"/>
            </w:tcBorders>
            <w:shd w:val="clear" w:color="auto" w:fill="auto"/>
          </w:tcPr>
          <w:p w:rsidR="00910074" w:rsidRPr="00F117FC" w:rsidRDefault="00910074" w:rsidP="00910074">
            <w:pPr>
              <w:jc w:val="right"/>
              <w:rPr>
                <w:rFonts w:eastAsia="Times New Roman" w:cs="Times New Roman"/>
                <w:b/>
                <w:bCs/>
                <w:lang w:eastAsia="cs-CZ"/>
              </w:rPr>
            </w:pPr>
            <w:r w:rsidRPr="00F117FC">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910074" w:rsidRPr="00F117FC" w:rsidRDefault="00910074" w:rsidP="00910074">
            <w:pPr>
              <w:jc w:val="right"/>
              <w:rPr>
                <w:rFonts w:eastAsia="Times New Roman" w:cs="Times New Roman"/>
                <w:b/>
                <w:bCs/>
                <w:lang w:eastAsia="cs-CZ"/>
              </w:rPr>
            </w:pPr>
            <w:r w:rsidRPr="00F117FC">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910074" w:rsidRPr="00F117FC" w:rsidRDefault="00910074" w:rsidP="00910074">
            <w:pPr>
              <w:jc w:val="right"/>
              <w:rPr>
                <w:rFonts w:eastAsia="Times New Roman" w:cs="Times New Roman"/>
                <w:b/>
                <w:bCs/>
                <w:lang w:eastAsia="cs-CZ"/>
              </w:rPr>
            </w:pPr>
            <w:r w:rsidRPr="00F117FC">
              <w:rPr>
                <w:rFonts w:eastAsia="Times New Roman" w:cs="Times New Roman"/>
                <w:b/>
                <w:bCs/>
                <w:lang w:eastAsia="cs-CZ"/>
              </w:rPr>
              <w:t>5 000</w:t>
            </w:r>
          </w:p>
        </w:tc>
        <w:tc>
          <w:tcPr>
            <w:tcW w:w="626" w:type="pct"/>
            <w:tcBorders>
              <w:top w:val="single" w:sz="8" w:space="0" w:color="7F7F7F" w:themeColor="text1" w:themeTint="80"/>
              <w:bottom w:val="single" w:sz="8" w:space="0" w:color="7F7F7F" w:themeColor="text1" w:themeTint="80"/>
            </w:tcBorders>
            <w:shd w:val="clear" w:color="auto" w:fill="auto"/>
          </w:tcPr>
          <w:p w:rsidR="00910074" w:rsidRPr="00F117FC" w:rsidRDefault="00910074" w:rsidP="00910074">
            <w:pPr>
              <w:jc w:val="right"/>
              <w:rPr>
                <w:rFonts w:eastAsia="Times New Roman" w:cs="Times New Roman"/>
                <w:b/>
                <w:bCs/>
                <w:lang w:eastAsia="cs-CZ"/>
              </w:rPr>
            </w:pPr>
            <w:r w:rsidRPr="00F117FC">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910074" w:rsidRPr="00F117FC" w:rsidRDefault="00910074" w:rsidP="00910074">
            <w:pPr>
              <w:jc w:val="right"/>
              <w:rPr>
                <w:rFonts w:eastAsia="Times New Roman" w:cs="Times New Roman"/>
                <w:b/>
                <w:bCs/>
                <w:lang w:eastAsia="cs-CZ"/>
              </w:rPr>
            </w:pPr>
            <w:r w:rsidRPr="00F117FC">
              <w:rPr>
                <w:rFonts w:eastAsia="Times New Roman" w:cs="Times New Roman"/>
                <w:b/>
                <w:bCs/>
                <w:lang w:eastAsia="cs-CZ"/>
              </w:rPr>
              <w:t>8 673</w:t>
            </w:r>
          </w:p>
        </w:tc>
        <w:tc>
          <w:tcPr>
            <w:tcW w:w="623" w:type="pct"/>
            <w:tcBorders>
              <w:top w:val="single" w:sz="8" w:space="0" w:color="7F7F7F" w:themeColor="text1" w:themeTint="80"/>
              <w:bottom w:val="single" w:sz="8" w:space="0" w:color="7F7F7F" w:themeColor="text1" w:themeTint="80"/>
            </w:tcBorders>
            <w:shd w:val="clear" w:color="auto" w:fill="auto"/>
          </w:tcPr>
          <w:p w:rsidR="00910074" w:rsidRPr="00F117FC" w:rsidRDefault="00910074" w:rsidP="00910074">
            <w:pPr>
              <w:jc w:val="right"/>
              <w:rPr>
                <w:rFonts w:eastAsia="Times New Roman" w:cs="Times New Roman"/>
                <w:b/>
                <w:bCs/>
                <w:lang w:eastAsia="cs-CZ"/>
              </w:rPr>
            </w:pPr>
            <w:r w:rsidRPr="00F117FC">
              <w:rPr>
                <w:rFonts w:eastAsia="Times New Roman" w:cs="Times New Roman"/>
                <w:b/>
                <w:bCs/>
                <w:lang w:eastAsia="cs-CZ"/>
              </w:rPr>
              <w:t>0</w:t>
            </w:r>
          </w:p>
        </w:tc>
      </w:tr>
    </w:tbl>
    <w:p w:rsidR="00910074" w:rsidRPr="00F117FC" w:rsidRDefault="00910074" w:rsidP="00E447C1">
      <w:pPr>
        <w:pStyle w:val="Nadpis8"/>
      </w:pPr>
      <w:r w:rsidRPr="00F117FC">
        <w:t>Číslo a název programu:</w:t>
      </w:r>
    </w:p>
    <w:p w:rsidR="00910074" w:rsidRPr="00F117FC" w:rsidRDefault="00910074" w:rsidP="00910074">
      <w:pPr>
        <w:pStyle w:val="Odstavecseseznamem"/>
        <w:numPr>
          <w:ilvl w:val="0"/>
          <w:numId w:val="12"/>
        </w:numPr>
        <w:tabs>
          <w:tab w:val="num" w:pos="567"/>
        </w:tabs>
        <w:spacing w:before="40"/>
        <w:ind w:left="567" w:hanging="283"/>
      </w:pPr>
      <w:r w:rsidRPr="00F117FC">
        <w:t xml:space="preserve">127 06 „Rozvoj a obnova materiálně-technické základny systému řízení MD - PO, SFDI“ </w:t>
      </w:r>
    </w:p>
    <w:p w:rsidR="00910074" w:rsidRPr="00F117FC" w:rsidRDefault="00910074" w:rsidP="00910074">
      <w:pPr>
        <w:pStyle w:val="Styl1"/>
      </w:pPr>
      <w:r w:rsidRPr="00F117FC">
        <w:rPr>
          <w:b/>
        </w:rPr>
        <w:t>Kapitálové výdaje ve výši 8 673 tis. Kč</w:t>
      </w:r>
      <w:r w:rsidRPr="00F117FC">
        <w:t xml:space="preserve"> určené pro Centrum služeb pro silniční dopravu budou použity v roce 2021 na dovybavení mobilních expertních jednotek mobilními váhami </w:t>
      </w:r>
      <w:r>
        <w:t xml:space="preserve">                                 </w:t>
      </w:r>
      <w:r w:rsidRPr="00F117FC">
        <w:t>(4 680 tis.</w:t>
      </w:r>
      <w:r w:rsidR="00DC69FE">
        <w:t xml:space="preserve"> Kč) a na nákup jízdní soupravy</w:t>
      </w:r>
      <w:r w:rsidRPr="00F117FC">
        <w:t xml:space="preserve"> pro výcvik zkušebních komisařů skupiny C+E</w:t>
      </w:r>
      <w:r>
        <w:t xml:space="preserve">       (3 993 tis. Kč)</w:t>
      </w:r>
      <w:r w:rsidRPr="00F117FC">
        <w:t xml:space="preserve">. </w:t>
      </w:r>
    </w:p>
    <w:p w:rsidR="00BB459E" w:rsidRPr="00E24034" w:rsidRDefault="00BB459E" w:rsidP="00910074">
      <w:pPr>
        <w:pStyle w:val="Nadpis3"/>
      </w:pPr>
      <w:bookmarkStart w:id="103" w:name="_Toc53750582"/>
      <w:r w:rsidRPr="00E24034">
        <w:t>Podnikatelské subjekty</w:t>
      </w:r>
      <w:bookmarkEnd w:id="99"/>
      <w:bookmarkEnd w:id="100"/>
      <w:bookmarkEnd w:id="101"/>
      <w:bookmarkEnd w:id="102"/>
      <w:bookmarkEnd w:id="103"/>
    </w:p>
    <w:p w:rsidR="00910074" w:rsidRPr="00E24034" w:rsidRDefault="00910074" w:rsidP="00910074">
      <w:pPr>
        <w:pStyle w:val="Styl1"/>
        <w:spacing w:before="240"/>
        <w:rPr>
          <w:color w:val="FF0000"/>
        </w:rPr>
      </w:pPr>
      <w:r w:rsidRPr="000E33BA">
        <w:t>Výdaje vedené v EDS/SMVS určené pro podnikatelské subjekty jsou pro rozpočtový rok 2021 navrženy v celkové výši 2 631 621 tis. Kč, v tom prostředky státního rozpočtu 5 000 tis. Kč, prostředky EU 2 626 621 tis. Kč. Druhové členění vykazuje následující tabulka</w:t>
      </w:r>
      <w:r w:rsidRPr="00E24034">
        <w:rPr>
          <w:color w:val="FF0000"/>
        </w:rPr>
        <w:t xml:space="preserve">.                                                                                                                                          </w:t>
      </w:r>
    </w:p>
    <w:p w:rsidR="00910074" w:rsidRPr="000E33BA" w:rsidRDefault="00910074" w:rsidP="00910074">
      <w:pPr>
        <w:pStyle w:val="Titulek"/>
        <w:keepNext/>
      </w:pPr>
      <w:r w:rsidRPr="000E33BA">
        <w:t xml:space="preserve">Tabulka č. </w:t>
      </w:r>
      <w:r w:rsidRPr="000E33BA">
        <w:rPr>
          <w:noProof/>
        </w:rPr>
        <w:fldChar w:fldCharType="begin"/>
      </w:r>
      <w:r w:rsidRPr="000E33BA">
        <w:rPr>
          <w:noProof/>
        </w:rPr>
        <w:instrText xml:space="preserve"> SEQ Tabulka \* ARABIC </w:instrText>
      </w:r>
      <w:r w:rsidRPr="000E33BA">
        <w:rPr>
          <w:noProof/>
        </w:rPr>
        <w:fldChar w:fldCharType="separate"/>
      </w:r>
      <w:r w:rsidR="006076E7">
        <w:rPr>
          <w:noProof/>
        </w:rPr>
        <w:t>39</w:t>
      </w:r>
      <w:r w:rsidRPr="000E33BA">
        <w:rPr>
          <w:noProof/>
        </w:rPr>
        <w:fldChar w:fldCharType="end"/>
      </w:r>
      <w:r w:rsidRPr="000E33BA">
        <w:rPr>
          <w:noProof/>
        </w:rPr>
        <w:t xml:space="preserve"> Výdaje podnikatelských subjektů vedených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834"/>
        <w:gridCol w:w="1367"/>
        <w:gridCol w:w="1367"/>
        <w:gridCol w:w="1428"/>
        <w:gridCol w:w="1055"/>
      </w:tblGrid>
      <w:tr w:rsidR="00910074" w:rsidRPr="000E33BA" w:rsidTr="00910074">
        <w:tc>
          <w:tcPr>
            <w:tcW w:w="211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0E33BA" w:rsidRDefault="00910074" w:rsidP="00910074">
            <w:pPr>
              <w:jc w:val="center"/>
              <w:rPr>
                <w:rFonts w:eastAsia="Times New Roman" w:cs="Times New Roman"/>
                <w:b/>
                <w:lang w:eastAsia="cs-CZ"/>
              </w:rPr>
            </w:pPr>
            <w:r w:rsidRPr="000E33BA">
              <w:rPr>
                <w:rFonts w:eastAsia="Times New Roman" w:cs="Times New Roman"/>
                <w:b/>
                <w:lang w:eastAsia="cs-CZ"/>
              </w:rPr>
              <w:t>Ukazatel</w:t>
            </w:r>
          </w:p>
        </w:tc>
        <w:tc>
          <w:tcPr>
            <w:tcW w:w="75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0E33BA" w:rsidRDefault="00910074" w:rsidP="00910074">
            <w:pPr>
              <w:jc w:val="center"/>
              <w:rPr>
                <w:rFonts w:eastAsia="Times New Roman" w:cs="Times New Roman"/>
                <w:b/>
                <w:lang w:eastAsia="cs-CZ"/>
              </w:rPr>
            </w:pPr>
            <w:r w:rsidRPr="000E33BA">
              <w:rPr>
                <w:rFonts w:eastAsia="Times New Roman" w:cs="Times New Roman"/>
                <w:b/>
                <w:lang w:eastAsia="cs-CZ"/>
              </w:rPr>
              <w:t>Skutečnost</w:t>
            </w:r>
          </w:p>
          <w:p w:rsidR="00910074" w:rsidRPr="000E33BA" w:rsidRDefault="00910074" w:rsidP="00910074">
            <w:pPr>
              <w:jc w:val="center"/>
              <w:rPr>
                <w:rFonts w:eastAsia="Times New Roman" w:cs="Times New Roman"/>
                <w:b/>
                <w:lang w:eastAsia="cs-CZ"/>
              </w:rPr>
            </w:pPr>
            <w:r w:rsidRPr="000E33BA">
              <w:rPr>
                <w:rFonts w:eastAsia="Times New Roman" w:cs="Times New Roman"/>
                <w:b/>
                <w:lang w:eastAsia="cs-CZ"/>
              </w:rPr>
              <w:t>2019</w:t>
            </w:r>
          </w:p>
        </w:tc>
        <w:tc>
          <w:tcPr>
            <w:tcW w:w="75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0E33BA" w:rsidRDefault="00910074" w:rsidP="00910074">
            <w:pPr>
              <w:jc w:val="center"/>
              <w:rPr>
                <w:rFonts w:eastAsia="Times New Roman" w:cs="Times New Roman"/>
                <w:b/>
                <w:lang w:eastAsia="cs-CZ"/>
              </w:rPr>
            </w:pPr>
            <w:r w:rsidRPr="000E33BA">
              <w:rPr>
                <w:rFonts w:eastAsia="Times New Roman" w:cs="Times New Roman"/>
                <w:b/>
                <w:lang w:eastAsia="cs-CZ"/>
              </w:rPr>
              <w:t>Schválený rozpočet</w:t>
            </w:r>
          </w:p>
          <w:p w:rsidR="00910074" w:rsidRPr="000E33BA" w:rsidRDefault="00910074" w:rsidP="00910074">
            <w:pPr>
              <w:jc w:val="center"/>
              <w:rPr>
                <w:rFonts w:eastAsia="Times New Roman" w:cs="Times New Roman"/>
                <w:b/>
                <w:lang w:eastAsia="cs-CZ"/>
              </w:rPr>
            </w:pPr>
            <w:r w:rsidRPr="000E33BA">
              <w:rPr>
                <w:rFonts w:eastAsia="Times New Roman" w:cs="Times New Roman"/>
                <w:b/>
                <w:lang w:eastAsia="cs-CZ"/>
              </w:rPr>
              <w:t>2020</w:t>
            </w:r>
          </w:p>
        </w:tc>
        <w:tc>
          <w:tcPr>
            <w:tcW w:w="78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0E33BA" w:rsidRDefault="00910074" w:rsidP="00910074">
            <w:pPr>
              <w:jc w:val="center"/>
              <w:rPr>
                <w:rFonts w:eastAsia="Times New Roman" w:cs="Times New Roman"/>
                <w:b/>
                <w:lang w:eastAsia="cs-CZ"/>
              </w:rPr>
            </w:pPr>
            <w:r w:rsidRPr="000E33BA">
              <w:rPr>
                <w:rFonts w:eastAsia="Times New Roman" w:cs="Times New Roman"/>
                <w:b/>
                <w:lang w:eastAsia="cs-CZ"/>
              </w:rPr>
              <w:t>Návrh</w:t>
            </w:r>
          </w:p>
          <w:p w:rsidR="00910074" w:rsidRPr="000E33BA" w:rsidRDefault="00910074" w:rsidP="00910074">
            <w:pPr>
              <w:jc w:val="center"/>
              <w:rPr>
                <w:rFonts w:eastAsia="Times New Roman" w:cs="Times New Roman"/>
                <w:b/>
                <w:lang w:eastAsia="cs-CZ"/>
              </w:rPr>
            </w:pPr>
            <w:r w:rsidRPr="000E33BA">
              <w:rPr>
                <w:rFonts w:eastAsia="Times New Roman" w:cs="Times New Roman"/>
                <w:b/>
                <w:lang w:eastAsia="cs-CZ"/>
              </w:rPr>
              <w:t>rozpočtu</w:t>
            </w:r>
          </w:p>
          <w:p w:rsidR="00910074" w:rsidRPr="000E33BA" w:rsidRDefault="00910074" w:rsidP="00910074">
            <w:pPr>
              <w:jc w:val="center"/>
              <w:rPr>
                <w:rFonts w:eastAsia="Times New Roman" w:cs="Times New Roman"/>
                <w:b/>
                <w:lang w:eastAsia="cs-CZ"/>
              </w:rPr>
            </w:pPr>
            <w:r w:rsidRPr="000E33BA">
              <w:rPr>
                <w:rFonts w:eastAsia="Times New Roman" w:cs="Times New Roman"/>
                <w:b/>
                <w:lang w:eastAsia="cs-CZ"/>
              </w:rPr>
              <w:t>2021</w:t>
            </w:r>
          </w:p>
        </w:tc>
        <w:tc>
          <w:tcPr>
            <w:tcW w:w="58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0E33BA" w:rsidRDefault="00910074" w:rsidP="00910074">
            <w:pPr>
              <w:jc w:val="center"/>
              <w:rPr>
                <w:rFonts w:eastAsia="Times New Roman" w:cs="Times New Roman"/>
                <w:b/>
                <w:lang w:eastAsia="cs-CZ"/>
              </w:rPr>
            </w:pPr>
            <w:r w:rsidRPr="000E33BA">
              <w:rPr>
                <w:rFonts w:eastAsia="Times New Roman" w:cs="Times New Roman"/>
                <w:b/>
                <w:lang w:eastAsia="cs-CZ"/>
              </w:rPr>
              <w:t>Index</w:t>
            </w:r>
          </w:p>
          <w:p w:rsidR="00910074" w:rsidRPr="000E33BA" w:rsidRDefault="00910074" w:rsidP="00910074">
            <w:pPr>
              <w:jc w:val="center"/>
              <w:rPr>
                <w:rFonts w:eastAsia="Times New Roman" w:cs="Times New Roman"/>
                <w:b/>
                <w:lang w:eastAsia="cs-CZ"/>
              </w:rPr>
            </w:pPr>
            <w:r w:rsidRPr="000E33BA">
              <w:rPr>
                <w:rFonts w:eastAsia="Times New Roman" w:cs="Times New Roman"/>
                <w:b/>
                <w:lang w:eastAsia="cs-CZ"/>
              </w:rPr>
              <w:t>2021/</w:t>
            </w:r>
            <w:r w:rsidRPr="000E33BA">
              <w:rPr>
                <w:rFonts w:eastAsia="Times New Roman" w:cs="Times New Roman"/>
                <w:b/>
                <w:lang w:eastAsia="cs-CZ"/>
              </w:rPr>
              <w:br/>
              <w:t>2020</w:t>
            </w:r>
          </w:p>
          <w:p w:rsidR="00910074" w:rsidRPr="000E33BA" w:rsidRDefault="00910074" w:rsidP="00910074">
            <w:pPr>
              <w:jc w:val="center"/>
              <w:rPr>
                <w:rFonts w:eastAsia="Times New Roman" w:cs="Times New Roman"/>
                <w:b/>
                <w:lang w:eastAsia="cs-CZ"/>
              </w:rPr>
            </w:pPr>
            <w:r w:rsidRPr="000E33BA">
              <w:rPr>
                <w:rFonts w:eastAsia="Times New Roman" w:cs="Times New Roman"/>
                <w:b/>
                <w:lang w:eastAsia="cs-CZ"/>
              </w:rPr>
              <w:t>(v %)</w:t>
            </w:r>
          </w:p>
        </w:tc>
      </w:tr>
      <w:tr w:rsidR="00910074" w:rsidRPr="000E33BA" w:rsidTr="00910074">
        <w:tc>
          <w:tcPr>
            <w:tcW w:w="2118" w:type="pct"/>
            <w:tcBorders>
              <w:top w:val="single" w:sz="4" w:space="0" w:color="7F7F7F" w:themeColor="text1" w:themeTint="80"/>
              <w:bottom w:val="single" w:sz="8" w:space="0" w:color="7F7F7F" w:themeColor="text1" w:themeTint="80"/>
            </w:tcBorders>
            <w:shd w:val="clear" w:color="auto" w:fill="auto"/>
          </w:tcPr>
          <w:p w:rsidR="00910074" w:rsidRPr="000E33BA" w:rsidRDefault="00910074" w:rsidP="00910074">
            <w:pPr>
              <w:jc w:val="center"/>
              <w:rPr>
                <w:rFonts w:eastAsia="Times New Roman" w:cs="Times New Roman"/>
                <w:lang w:eastAsia="cs-CZ"/>
              </w:rPr>
            </w:pPr>
            <w:r w:rsidRPr="000E33BA">
              <w:rPr>
                <w:rFonts w:eastAsia="Times New Roman" w:cs="Times New Roman"/>
                <w:lang w:eastAsia="cs-CZ"/>
              </w:rPr>
              <w:t>a</w:t>
            </w:r>
          </w:p>
        </w:tc>
        <w:tc>
          <w:tcPr>
            <w:tcW w:w="755" w:type="pct"/>
            <w:tcBorders>
              <w:top w:val="single" w:sz="4" w:space="0" w:color="7F7F7F" w:themeColor="text1" w:themeTint="80"/>
              <w:bottom w:val="single" w:sz="8" w:space="0" w:color="7F7F7F" w:themeColor="text1" w:themeTint="80"/>
            </w:tcBorders>
            <w:shd w:val="clear" w:color="auto" w:fill="auto"/>
          </w:tcPr>
          <w:p w:rsidR="00910074" w:rsidRPr="000E33BA" w:rsidRDefault="00910074" w:rsidP="00910074">
            <w:pPr>
              <w:jc w:val="center"/>
              <w:rPr>
                <w:rFonts w:eastAsia="Times New Roman" w:cs="Times New Roman"/>
                <w:lang w:eastAsia="cs-CZ"/>
              </w:rPr>
            </w:pPr>
            <w:r w:rsidRPr="000E33BA">
              <w:rPr>
                <w:rFonts w:eastAsia="Times New Roman" w:cs="Times New Roman"/>
                <w:lang w:eastAsia="cs-CZ"/>
              </w:rPr>
              <w:t>1</w:t>
            </w:r>
          </w:p>
        </w:tc>
        <w:tc>
          <w:tcPr>
            <w:tcW w:w="755" w:type="pct"/>
            <w:tcBorders>
              <w:top w:val="single" w:sz="4" w:space="0" w:color="7F7F7F" w:themeColor="text1" w:themeTint="80"/>
              <w:bottom w:val="single" w:sz="8" w:space="0" w:color="7F7F7F" w:themeColor="text1" w:themeTint="80"/>
            </w:tcBorders>
            <w:shd w:val="clear" w:color="auto" w:fill="auto"/>
          </w:tcPr>
          <w:p w:rsidR="00910074" w:rsidRPr="000E33BA" w:rsidRDefault="00910074" w:rsidP="00910074">
            <w:pPr>
              <w:jc w:val="center"/>
              <w:rPr>
                <w:rFonts w:eastAsia="Times New Roman" w:cs="Times New Roman"/>
                <w:lang w:eastAsia="cs-CZ"/>
              </w:rPr>
            </w:pPr>
            <w:r w:rsidRPr="000E33BA">
              <w:rPr>
                <w:rFonts w:eastAsia="Times New Roman" w:cs="Times New Roman"/>
                <w:lang w:eastAsia="cs-CZ"/>
              </w:rPr>
              <w:t>2</w:t>
            </w:r>
          </w:p>
        </w:tc>
        <w:tc>
          <w:tcPr>
            <w:tcW w:w="789" w:type="pct"/>
            <w:tcBorders>
              <w:top w:val="single" w:sz="4" w:space="0" w:color="7F7F7F" w:themeColor="text1" w:themeTint="80"/>
              <w:bottom w:val="single" w:sz="8" w:space="0" w:color="7F7F7F" w:themeColor="text1" w:themeTint="80"/>
            </w:tcBorders>
            <w:shd w:val="clear" w:color="auto" w:fill="auto"/>
          </w:tcPr>
          <w:p w:rsidR="00910074" w:rsidRPr="000E33BA" w:rsidRDefault="00910074" w:rsidP="00910074">
            <w:pPr>
              <w:jc w:val="center"/>
              <w:rPr>
                <w:rFonts w:eastAsia="Times New Roman" w:cs="Times New Roman"/>
                <w:lang w:eastAsia="cs-CZ"/>
              </w:rPr>
            </w:pPr>
            <w:r w:rsidRPr="000E33BA">
              <w:rPr>
                <w:rFonts w:eastAsia="Times New Roman" w:cs="Times New Roman"/>
                <w:lang w:eastAsia="cs-CZ"/>
              </w:rPr>
              <w:t>3</w:t>
            </w:r>
          </w:p>
        </w:tc>
        <w:tc>
          <w:tcPr>
            <w:tcW w:w="583" w:type="pct"/>
            <w:tcBorders>
              <w:top w:val="single" w:sz="4" w:space="0" w:color="7F7F7F" w:themeColor="text1" w:themeTint="80"/>
              <w:bottom w:val="single" w:sz="8" w:space="0" w:color="7F7F7F" w:themeColor="text1" w:themeTint="80"/>
            </w:tcBorders>
            <w:shd w:val="clear" w:color="auto" w:fill="auto"/>
          </w:tcPr>
          <w:p w:rsidR="00910074" w:rsidRPr="000E33BA" w:rsidRDefault="00910074" w:rsidP="00910074">
            <w:pPr>
              <w:jc w:val="center"/>
              <w:rPr>
                <w:rFonts w:eastAsia="Times New Roman" w:cs="Times New Roman"/>
                <w:lang w:eastAsia="cs-CZ"/>
              </w:rPr>
            </w:pPr>
            <w:r w:rsidRPr="000E33BA">
              <w:rPr>
                <w:rFonts w:eastAsia="Times New Roman" w:cs="Times New Roman"/>
                <w:lang w:eastAsia="cs-CZ"/>
              </w:rPr>
              <w:t>4</w:t>
            </w:r>
          </w:p>
        </w:tc>
      </w:tr>
      <w:tr w:rsidR="00910074" w:rsidRPr="000E33BA" w:rsidTr="00910074">
        <w:tc>
          <w:tcPr>
            <w:tcW w:w="2118" w:type="pct"/>
            <w:tcBorders>
              <w:top w:val="single" w:sz="8" w:space="0" w:color="7F7F7F" w:themeColor="text1" w:themeTint="80"/>
              <w:bottom w:val="single" w:sz="8" w:space="0" w:color="7F7F7F" w:themeColor="text1" w:themeTint="80"/>
            </w:tcBorders>
            <w:shd w:val="clear" w:color="auto" w:fill="auto"/>
          </w:tcPr>
          <w:p w:rsidR="00910074" w:rsidRPr="000E33BA" w:rsidRDefault="00910074" w:rsidP="00910074">
            <w:pPr>
              <w:rPr>
                <w:rFonts w:eastAsia="Times New Roman" w:cs="Times New Roman"/>
                <w:lang w:eastAsia="cs-CZ"/>
              </w:rPr>
            </w:pPr>
            <w:r w:rsidRPr="000E33BA">
              <w:rPr>
                <w:rFonts w:eastAsia="Times New Roman" w:cs="Times New Roman"/>
                <w:b/>
                <w:lang w:eastAsia="cs-CZ"/>
              </w:rPr>
              <w:t>Podnikatelská sféra</w:t>
            </w:r>
            <w:r w:rsidRPr="000E33BA">
              <w:rPr>
                <w:rFonts w:eastAsia="Times New Roman" w:cs="Times New Roman"/>
                <w:b/>
                <w:vertAlign w:val="superscript"/>
                <w:lang w:eastAsia="cs-CZ"/>
              </w:rPr>
              <w:t xml:space="preserve"> </w:t>
            </w:r>
            <w:r w:rsidRPr="000E33BA">
              <w:rPr>
                <w:rFonts w:eastAsia="Times New Roman" w:cs="Times New Roman"/>
                <w:lang w:eastAsia="cs-CZ"/>
              </w:rPr>
              <w:t>v tom:</w:t>
            </w:r>
          </w:p>
        </w:tc>
        <w:tc>
          <w:tcPr>
            <w:tcW w:w="755" w:type="pct"/>
            <w:tcBorders>
              <w:top w:val="single" w:sz="8" w:space="0" w:color="7F7F7F" w:themeColor="text1" w:themeTint="80"/>
              <w:bottom w:val="single" w:sz="4" w:space="0" w:color="auto"/>
            </w:tcBorders>
            <w:shd w:val="clear" w:color="auto" w:fill="auto"/>
            <w:vAlign w:val="center"/>
          </w:tcPr>
          <w:p w:rsidR="00910074" w:rsidRPr="000E33BA" w:rsidRDefault="00910074" w:rsidP="00910074">
            <w:pPr>
              <w:jc w:val="right"/>
              <w:rPr>
                <w:rFonts w:eastAsia="Times New Roman" w:cs="Times New Roman"/>
                <w:b/>
                <w:lang w:eastAsia="cs-CZ"/>
              </w:rPr>
            </w:pPr>
            <w:r w:rsidRPr="000E33BA">
              <w:rPr>
                <w:rFonts w:eastAsia="Times New Roman" w:cs="Times New Roman"/>
                <w:b/>
                <w:lang w:eastAsia="cs-CZ"/>
              </w:rPr>
              <w:t>2 791</w:t>
            </w:r>
          </w:p>
        </w:tc>
        <w:tc>
          <w:tcPr>
            <w:tcW w:w="755" w:type="pct"/>
            <w:tcBorders>
              <w:top w:val="single" w:sz="8" w:space="0" w:color="7F7F7F" w:themeColor="text1" w:themeTint="80"/>
              <w:bottom w:val="single" w:sz="4" w:space="0" w:color="auto"/>
            </w:tcBorders>
            <w:shd w:val="clear" w:color="auto" w:fill="auto"/>
            <w:vAlign w:val="center"/>
          </w:tcPr>
          <w:p w:rsidR="00910074" w:rsidRPr="000E33BA" w:rsidRDefault="00910074" w:rsidP="00910074">
            <w:pPr>
              <w:jc w:val="right"/>
              <w:rPr>
                <w:rFonts w:eastAsia="Times New Roman" w:cs="Times New Roman"/>
                <w:b/>
                <w:lang w:eastAsia="cs-CZ"/>
              </w:rPr>
            </w:pPr>
            <w:r w:rsidRPr="000E33BA">
              <w:rPr>
                <w:rFonts w:eastAsia="Times New Roman" w:cs="Times New Roman"/>
                <w:b/>
                <w:lang w:eastAsia="cs-CZ"/>
              </w:rPr>
              <w:t>  404 000</w:t>
            </w:r>
          </w:p>
        </w:tc>
        <w:tc>
          <w:tcPr>
            <w:tcW w:w="789" w:type="pct"/>
            <w:tcBorders>
              <w:top w:val="single" w:sz="8" w:space="0" w:color="7F7F7F" w:themeColor="text1" w:themeTint="80"/>
              <w:bottom w:val="single" w:sz="4" w:space="0" w:color="auto"/>
            </w:tcBorders>
            <w:shd w:val="clear" w:color="auto" w:fill="auto"/>
            <w:vAlign w:val="center"/>
          </w:tcPr>
          <w:p w:rsidR="00910074" w:rsidRPr="000E33BA" w:rsidRDefault="00910074" w:rsidP="00910074">
            <w:pPr>
              <w:jc w:val="right"/>
              <w:rPr>
                <w:rFonts w:eastAsia="Times New Roman" w:cs="Times New Roman"/>
                <w:b/>
                <w:lang w:eastAsia="cs-CZ"/>
              </w:rPr>
            </w:pPr>
            <w:r w:rsidRPr="000E33BA">
              <w:rPr>
                <w:rFonts w:eastAsia="Times New Roman" w:cs="Times New Roman"/>
                <w:b/>
                <w:lang w:eastAsia="cs-CZ"/>
              </w:rPr>
              <w:t>2 631 621</w:t>
            </w:r>
          </w:p>
        </w:tc>
        <w:tc>
          <w:tcPr>
            <w:tcW w:w="583" w:type="pct"/>
            <w:tcBorders>
              <w:top w:val="single" w:sz="8" w:space="0" w:color="7F7F7F" w:themeColor="text1" w:themeTint="80"/>
              <w:bottom w:val="single" w:sz="4" w:space="0" w:color="auto"/>
            </w:tcBorders>
            <w:shd w:val="clear" w:color="auto" w:fill="auto"/>
            <w:vAlign w:val="center"/>
          </w:tcPr>
          <w:p w:rsidR="00910074" w:rsidRPr="000E33BA" w:rsidRDefault="00910074" w:rsidP="00910074">
            <w:pPr>
              <w:jc w:val="right"/>
              <w:rPr>
                <w:rFonts w:eastAsia="Times New Roman" w:cs="Times New Roman"/>
                <w:b/>
                <w:lang w:eastAsia="cs-CZ"/>
              </w:rPr>
            </w:pPr>
            <w:r w:rsidRPr="000E33BA">
              <w:rPr>
                <w:rFonts w:eastAsia="Times New Roman" w:cs="Times New Roman"/>
                <w:b/>
                <w:lang w:eastAsia="cs-CZ"/>
              </w:rPr>
              <w:t xml:space="preserve"> 651,39</w:t>
            </w:r>
          </w:p>
        </w:tc>
      </w:tr>
      <w:tr w:rsidR="00910074" w:rsidRPr="000E33BA" w:rsidTr="00910074">
        <w:tc>
          <w:tcPr>
            <w:tcW w:w="2118" w:type="pct"/>
            <w:tcBorders>
              <w:top w:val="single" w:sz="8" w:space="0" w:color="7F7F7F" w:themeColor="text1" w:themeTint="80"/>
              <w:bottom w:val="nil"/>
            </w:tcBorders>
            <w:shd w:val="clear" w:color="auto" w:fill="auto"/>
          </w:tcPr>
          <w:p w:rsidR="00910074" w:rsidRPr="000E33BA" w:rsidRDefault="00910074" w:rsidP="00910074">
            <w:pPr>
              <w:rPr>
                <w:rFonts w:eastAsia="Times New Roman" w:cs="Times New Roman"/>
                <w:lang w:eastAsia="cs-CZ"/>
              </w:rPr>
            </w:pPr>
            <w:r w:rsidRPr="000E33BA">
              <w:rPr>
                <w:rFonts w:eastAsia="Times New Roman" w:cs="Times New Roman"/>
                <w:lang w:eastAsia="cs-CZ"/>
              </w:rPr>
              <w:t>běžné výdaje v tom:</w:t>
            </w:r>
          </w:p>
        </w:tc>
        <w:tc>
          <w:tcPr>
            <w:tcW w:w="755" w:type="pct"/>
            <w:tcBorders>
              <w:top w:val="single" w:sz="4" w:space="0" w:color="auto"/>
              <w:bottom w:val="nil"/>
            </w:tcBorders>
            <w:shd w:val="clear" w:color="auto" w:fill="auto"/>
            <w:vAlign w:val="center"/>
          </w:tcPr>
          <w:p w:rsidR="00910074" w:rsidRPr="000E33BA" w:rsidRDefault="00910074" w:rsidP="00910074">
            <w:pPr>
              <w:jc w:val="right"/>
              <w:rPr>
                <w:rFonts w:eastAsia="Times New Roman" w:cs="Times New Roman"/>
                <w:vertAlign w:val="superscript"/>
                <w:lang w:eastAsia="cs-CZ"/>
              </w:rPr>
            </w:pPr>
            <w:r w:rsidRPr="000E33BA">
              <w:rPr>
                <w:rFonts w:eastAsia="Times New Roman" w:cs="Times New Roman"/>
                <w:lang w:eastAsia="cs-CZ"/>
              </w:rPr>
              <w:t>1 646</w:t>
            </w:r>
          </w:p>
        </w:tc>
        <w:tc>
          <w:tcPr>
            <w:tcW w:w="755" w:type="pct"/>
            <w:tcBorders>
              <w:top w:val="single" w:sz="4" w:space="0" w:color="auto"/>
              <w:bottom w:val="nil"/>
            </w:tcBorders>
            <w:shd w:val="clear" w:color="auto" w:fill="auto"/>
            <w:vAlign w:val="center"/>
          </w:tcPr>
          <w:p w:rsidR="00910074" w:rsidRPr="000E33BA" w:rsidRDefault="00910074" w:rsidP="00910074">
            <w:pPr>
              <w:jc w:val="right"/>
              <w:rPr>
                <w:rFonts w:eastAsia="Times New Roman" w:cs="Times New Roman"/>
                <w:lang w:eastAsia="cs-CZ"/>
              </w:rPr>
            </w:pPr>
            <w:r w:rsidRPr="000E33BA">
              <w:rPr>
                <w:rFonts w:eastAsia="Times New Roman" w:cs="Times New Roman"/>
                <w:lang w:eastAsia="cs-CZ"/>
              </w:rPr>
              <w:t xml:space="preserve">4 000 </w:t>
            </w:r>
          </w:p>
        </w:tc>
        <w:tc>
          <w:tcPr>
            <w:tcW w:w="789" w:type="pct"/>
            <w:tcBorders>
              <w:top w:val="single" w:sz="4" w:space="0" w:color="auto"/>
              <w:bottom w:val="nil"/>
            </w:tcBorders>
            <w:shd w:val="clear" w:color="auto" w:fill="auto"/>
            <w:vAlign w:val="center"/>
          </w:tcPr>
          <w:p w:rsidR="00910074" w:rsidRPr="000E33BA" w:rsidRDefault="00910074" w:rsidP="00910074">
            <w:pPr>
              <w:jc w:val="right"/>
              <w:rPr>
                <w:rFonts w:eastAsia="Times New Roman" w:cs="Times New Roman"/>
                <w:lang w:eastAsia="cs-CZ"/>
              </w:rPr>
            </w:pPr>
            <w:r w:rsidRPr="000E33BA">
              <w:rPr>
                <w:rFonts w:eastAsia="Times New Roman" w:cs="Times New Roman"/>
                <w:lang w:eastAsia="cs-CZ"/>
              </w:rPr>
              <w:t xml:space="preserve">5 000 </w:t>
            </w:r>
          </w:p>
        </w:tc>
        <w:tc>
          <w:tcPr>
            <w:tcW w:w="583" w:type="pct"/>
            <w:tcBorders>
              <w:top w:val="single" w:sz="4" w:space="0" w:color="auto"/>
              <w:bottom w:val="nil"/>
            </w:tcBorders>
            <w:shd w:val="clear" w:color="auto" w:fill="auto"/>
            <w:vAlign w:val="center"/>
          </w:tcPr>
          <w:p w:rsidR="00910074" w:rsidRPr="000E33BA" w:rsidRDefault="00910074" w:rsidP="00910074">
            <w:pPr>
              <w:jc w:val="right"/>
              <w:rPr>
                <w:rFonts w:eastAsia="Times New Roman" w:cs="Times New Roman"/>
                <w:lang w:eastAsia="cs-CZ"/>
              </w:rPr>
            </w:pPr>
            <w:r w:rsidRPr="000E33BA">
              <w:rPr>
                <w:rFonts w:eastAsia="Times New Roman" w:cs="Times New Roman"/>
                <w:lang w:eastAsia="cs-CZ"/>
              </w:rPr>
              <w:t>125,00</w:t>
            </w:r>
          </w:p>
        </w:tc>
      </w:tr>
      <w:tr w:rsidR="00910074" w:rsidRPr="000E33BA" w:rsidTr="00910074">
        <w:tc>
          <w:tcPr>
            <w:tcW w:w="2118" w:type="pct"/>
            <w:tcBorders>
              <w:top w:val="nil"/>
              <w:bottom w:val="nil"/>
              <w:right w:val="single" w:sz="4" w:space="0" w:color="7F7F7F" w:themeColor="text1" w:themeTint="80"/>
            </w:tcBorders>
            <w:shd w:val="clear" w:color="auto" w:fill="auto"/>
          </w:tcPr>
          <w:p w:rsidR="00910074" w:rsidRPr="000E33BA" w:rsidRDefault="00910074" w:rsidP="00910074">
            <w:pPr>
              <w:rPr>
                <w:rFonts w:eastAsia="Times New Roman" w:cs="Times New Roman"/>
                <w:i/>
                <w:lang w:eastAsia="cs-CZ"/>
              </w:rPr>
            </w:pPr>
            <w:r w:rsidRPr="000E33BA">
              <w:rPr>
                <w:rFonts w:eastAsia="Times New Roman" w:cs="Times New Roman"/>
                <w:i/>
                <w:lang w:eastAsia="cs-CZ"/>
              </w:rPr>
              <w:t xml:space="preserve">      prostředky SR</w:t>
            </w:r>
          </w:p>
        </w:tc>
        <w:tc>
          <w:tcPr>
            <w:tcW w:w="755" w:type="pct"/>
            <w:tcBorders>
              <w:top w:val="nil"/>
              <w:left w:val="single" w:sz="4" w:space="0" w:color="7F7F7F" w:themeColor="text1" w:themeTint="80"/>
              <w:bottom w:val="nil"/>
              <w:right w:val="single" w:sz="4" w:space="0" w:color="7F7F7F" w:themeColor="text1" w:themeTint="80"/>
            </w:tcBorders>
            <w:shd w:val="clear" w:color="auto" w:fill="auto"/>
            <w:vAlign w:val="center"/>
          </w:tcPr>
          <w:p w:rsidR="00910074" w:rsidRPr="000E33BA" w:rsidRDefault="00910074" w:rsidP="00910074">
            <w:pPr>
              <w:jc w:val="right"/>
              <w:rPr>
                <w:rFonts w:eastAsia="Times New Roman" w:cs="Times New Roman"/>
                <w:i/>
                <w:lang w:eastAsia="cs-CZ"/>
              </w:rPr>
            </w:pPr>
            <w:r w:rsidRPr="000E33BA">
              <w:rPr>
                <w:rFonts w:eastAsia="Times New Roman" w:cs="Times New Roman"/>
                <w:i/>
                <w:lang w:eastAsia="cs-CZ"/>
              </w:rPr>
              <w:t>1 646</w:t>
            </w:r>
          </w:p>
        </w:tc>
        <w:tc>
          <w:tcPr>
            <w:tcW w:w="755" w:type="pct"/>
            <w:tcBorders>
              <w:top w:val="nil"/>
              <w:left w:val="single" w:sz="4" w:space="0" w:color="7F7F7F" w:themeColor="text1" w:themeTint="80"/>
              <w:bottom w:val="nil"/>
              <w:right w:val="single" w:sz="4" w:space="0" w:color="7F7F7F" w:themeColor="text1" w:themeTint="80"/>
            </w:tcBorders>
            <w:shd w:val="clear" w:color="auto" w:fill="auto"/>
            <w:vAlign w:val="center"/>
          </w:tcPr>
          <w:p w:rsidR="00910074" w:rsidRPr="000E33BA" w:rsidRDefault="00910074" w:rsidP="00910074">
            <w:pPr>
              <w:jc w:val="right"/>
              <w:rPr>
                <w:rFonts w:eastAsia="Times New Roman" w:cs="Times New Roman"/>
                <w:i/>
                <w:lang w:eastAsia="cs-CZ"/>
              </w:rPr>
            </w:pPr>
            <w:r w:rsidRPr="000E33BA">
              <w:rPr>
                <w:rFonts w:eastAsia="Times New Roman" w:cs="Times New Roman"/>
                <w:i/>
                <w:lang w:eastAsia="cs-CZ"/>
              </w:rPr>
              <w:t xml:space="preserve">4 000 </w:t>
            </w:r>
          </w:p>
        </w:tc>
        <w:tc>
          <w:tcPr>
            <w:tcW w:w="789" w:type="pct"/>
            <w:tcBorders>
              <w:top w:val="nil"/>
              <w:left w:val="single" w:sz="4" w:space="0" w:color="7F7F7F" w:themeColor="text1" w:themeTint="80"/>
              <w:bottom w:val="nil"/>
              <w:right w:val="single" w:sz="4" w:space="0" w:color="7F7F7F" w:themeColor="text1" w:themeTint="80"/>
            </w:tcBorders>
            <w:shd w:val="clear" w:color="auto" w:fill="auto"/>
            <w:vAlign w:val="center"/>
          </w:tcPr>
          <w:p w:rsidR="00910074" w:rsidRPr="000E33BA" w:rsidRDefault="00910074" w:rsidP="00910074">
            <w:pPr>
              <w:jc w:val="right"/>
              <w:rPr>
                <w:rFonts w:eastAsia="Times New Roman" w:cs="Times New Roman"/>
                <w:i/>
                <w:lang w:eastAsia="cs-CZ"/>
              </w:rPr>
            </w:pPr>
            <w:r w:rsidRPr="000E33BA">
              <w:rPr>
                <w:rFonts w:eastAsia="Times New Roman" w:cs="Times New Roman"/>
                <w:i/>
                <w:lang w:eastAsia="cs-CZ"/>
              </w:rPr>
              <w:t xml:space="preserve">5 000 </w:t>
            </w:r>
          </w:p>
        </w:tc>
        <w:tc>
          <w:tcPr>
            <w:tcW w:w="583" w:type="pct"/>
            <w:tcBorders>
              <w:top w:val="nil"/>
              <w:left w:val="single" w:sz="2" w:space="0" w:color="7F7F7F" w:themeColor="text1" w:themeTint="80"/>
              <w:bottom w:val="nil"/>
            </w:tcBorders>
            <w:shd w:val="clear" w:color="auto" w:fill="auto"/>
            <w:vAlign w:val="center"/>
          </w:tcPr>
          <w:p w:rsidR="00910074" w:rsidRPr="000E33BA" w:rsidRDefault="00910074" w:rsidP="00910074">
            <w:pPr>
              <w:jc w:val="right"/>
              <w:rPr>
                <w:rFonts w:eastAsia="Times New Roman" w:cs="Times New Roman"/>
                <w:i/>
                <w:lang w:eastAsia="cs-CZ"/>
              </w:rPr>
            </w:pPr>
            <w:r w:rsidRPr="000E33BA">
              <w:rPr>
                <w:rFonts w:eastAsia="Times New Roman" w:cs="Times New Roman"/>
                <w:i/>
                <w:lang w:eastAsia="cs-CZ"/>
              </w:rPr>
              <w:t>125,00</w:t>
            </w:r>
          </w:p>
        </w:tc>
      </w:tr>
      <w:tr w:rsidR="00910074" w:rsidRPr="000E33BA" w:rsidTr="00910074">
        <w:tc>
          <w:tcPr>
            <w:tcW w:w="2118" w:type="pct"/>
            <w:tcBorders>
              <w:top w:val="nil"/>
              <w:bottom w:val="single" w:sz="4" w:space="0" w:color="7F7F7F" w:themeColor="text1" w:themeTint="80"/>
              <w:right w:val="single" w:sz="4" w:space="0" w:color="7F7F7F" w:themeColor="text1" w:themeTint="80"/>
            </w:tcBorders>
            <w:shd w:val="clear" w:color="auto" w:fill="auto"/>
          </w:tcPr>
          <w:p w:rsidR="00910074" w:rsidRPr="000E33BA" w:rsidRDefault="00910074" w:rsidP="00910074">
            <w:pPr>
              <w:rPr>
                <w:rFonts w:eastAsia="Times New Roman" w:cs="Times New Roman"/>
                <w:i/>
                <w:lang w:eastAsia="cs-CZ"/>
              </w:rPr>
            </w:pPr>
            <w:r w:rsidRPr="000E33BA">
              <w:rPr>
                <w:rFonts w:eastAsia="Times New Roman" w:cs="Times New Roman"/>
                <w:i/>
                <w:lang w:eastAsia="cs-CZ"/>
              </w:rPr>
              <w:t xml:space="preserve">      prostředky z fondů EU</w:t>
            </w:r>
          </w:p>
        </w:tc>
        <w:tc>
          <w:tcPr>
            <w:tcW w:w="755" w:type="pct"/>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910074" w:rsidRPr="000E33BA" w:rsidRDefault="00910074" w:rsidP="00910074">
            <w:pPr>
              <w:jc w:val="right"/>
              <w:rPr>
                <w:rFonts w:eastAsia="Times New Roman" w:cs="Times New Roman"/>
                <w:i/>
                <w:lang w:eastAsia="cs-CZ"/>
              </w:rPr>
            </w:pPr>
            <w:r w:rsidRPr="000E33BA">
              <w:rPr>
                <w:rFonts w:eastAsia="Times New Roman" w:cs="Times New Roman"/>
                <w:i/>
                <w:lang w:eastAsia="cs-CZ"/>
              </w:rPr>
              <w:t>0</w:t>
            </w:r>
          </w:p>
        </w:tc>
        <w:tc>
          <w:tcPr>
            <w:tcW w:w="755" w:type="pct"/>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910074" w:rsidRPr="000E33BA" w:rsidRDefault="00910074" w:rsidP="00910074">
            <w:pPr>
              <w:jc w:val="right"/>
              <w:rPr>
                <w:rFonts w:eastAsia="Times New Roman" w:cs="Times New Roman"/>
                <w:i/>
                <w:lang w:eastAsia="cs-CZ"/>
              </w:rPr>
            </w:pPr>
            <w:r w:rsidRPr="000E33BA">
              <w:rPr>
                <w:rFonts w:eastAsia="Times New Roman" w:cs="Times New Roman"/>
                <w:i/>
                <w:lang w:eastAsia="cs-CZ"/>
              </w:rPr>
              <w:t>0</w:t>
            </w:r>
          </w:p>
        </w:tc>
        <w:tc>
          <w:tcPr>
            <w:tcW w:w="789" w:type="pct"/>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910074" w:rsidRPr="000E33BA" w:rsidRDefault="00910074" w:rsidP="00910074">
            <w:pPr>
              <w:jc w:val="right"/>
              <w:rPr>
                <w:rFonts w:eastAsia="Times New Roman" w:cs="Times New Roman"/>
                <w:i/>
                <w:lang w:eastAsia="cs-CZ"/>
              </w:rPr>
            </w:pPr>
            <w:r w:rsidRPr="000E33BA">
              <w:rPr>
                <w:rFonts w:eastAsia="Times New Roman" w:cs="Times New Roman"/>
                <w:i/>
                <w:lang w:eastAsia="cs-CZ"/>
              </w:rPr>
              <w:t>0</w:t>
            </w:r>
          </w:p>
        </w:tc>
        <w:tc>
          <w:tcPr>
            <w:tcW w:w="583" w:type="pct"/>
            <w:tcBorders>
              <w:top w:val="nil"/>
              <w:left w:val="single" w:sz="2" w:space="0" w:color="7F7F7F" w:themeColor="text1" w:themeTint="80"/>
              <w:bottom w:val="single" w:sz="2" w:space="0" w:color="7F7F7F" w:themeColor="text1" w:themeTint="80"/>
            </w:tcBorders>
            <w:shd w:val="clear" w:color="auto" w:fill="auto"/>
            <w:vAlign w:val="center"/>
          </w:tcPr>
          <w:p w:rsidR="00910074" w:rsidRPr="000E33BA" w:rsidRDefault="00910074" w:rsidP="00910074">
            <w:pPr>
              <w:jc w:val="right"/>
              <w:rPr>
                <w:rFonts w:eastAsia="Times New Roman" w:cs="Times New Roman"/>
                <w:i/>
                <w:lang w:eastAsia="cs-CZ"/>
              </w:rPr>
            </w:pPr>
            <w:r w:rsidRPr="000E33BA">
              <w:rPr>
                <w:rFonts w:eastAsia="Times New Roman" w:cs="Times New Roman"/>
                <w:i/>
                <w:lang w:eastAsia="cs-CZ"/>
              </w:rPr>
              <w:t>x</w:t>
            </w:r>
          </w:p>
        </w:tc>
      </w:tr>
      <w:tr w:rsidR="00910074" w:rsidRPr="000E33BA" w:rsidTr="00910074">
        <w:tc>
          <w:tcPr>
            <w:tcW w:w="2118" w:type="pct"/>
            <w:tcBorders>
              <w:top w:val="single" w:sz="4" w:space="0" w:color="7F7F7F" w:themeColor="text1" w:themeTint="80"/>
              <w:bottom w:val="nil"/>
            </w:tcBorders>
            <w:shd w:val="clear" w:color="auto" w:fill="auto"/>
          </w:tcPr>
          <w:p w:rsidR="00910074" w:rsidRPr="000E33BA" w:rsidRDefault="00910074" w:rsidP="00910074">
            <w:pPr>
              <w:rPr>
                <w:rFonts w:eastAsia="Times New Roman" w:cs="Times New Roman"/>
                <w:lang w:eastAsia="cs-CZ"/>
              </w:rPr>
            </w:pPr>
            <w:r w:rsidRPr="000E33BA">
              <w:rPr>
                <w:rFonts w:eastAsia="Times New Roman" w:cs="Times New Roman"/>
                <w:lang w:eastAsia="cs-CZ"/>
              </w:rPr>
              <w:t>kapitálové výdaje v tom:</w:t>
            </w:r>
          </w:p>
        </w:tc>
        <w:tc>
          <w:tcPr>
            <w:tcW w:w="755" w:type="pct"/>
            <w:tcBorders>
              <w:top w:val="single" w:sz="4" w:space="0" w:color="7F7F7F" w:themeColor="text1" w:themeTint="80"/>
              <w:bottom w:val="nil"/>
            </w:tcBorders>
            <w:shd w:val="clear" w:color="auto" w:fill="auto"/>
            <w:vAlign w:val="center"/>
          </w:tcPr>
          <w:p w:rsidR="00910074" w:rsidRPr="000E33BA" w:rsidRDefault="00910074" w:rsidP="00910074">
            <w:pPr>
              <w:jc w:val="right"/>
              <w:rPr>
                <w:rFonts w:eastAsia="Times New Roman" w:cs="Times New Roman"/>
                <w:lang w:eastAsia="cs-CZ"/>
              </w:rPr>
            </w:pPr>
            <w:r w:rsidRPr="000E33BA">
              <w:rPr>
                <w:rFonts w:eastAsia="Times New Roman" w:cs="Times New Roman"/>
                <w:lang w:eastAsia="cs-CZ"/>
              </w:rPr>
              <w:t>1 145</w:t>
            </w:r>
          </w:p>
        </w:tc>
        <w:tc>
          <w:tcPr>
            <w:tcW w:w="755" w:type="pct"/>
            <w:tcBorders>
              <w:top w:val="single" w:sz="4" w:space="0" w:color="7F7F7F" w:themeColor="text1" w:themeTint="80"/>
              <w:bottom w:val="nil"/>
            </w:tcBorders>
            <w:shd w:val="clear" w:color="auto" w:fill="auto"/>
            <w:vAlign w:val="center"/>
          </w:tcPr>
          <w:p w:rsidR="00910074" w:rsidRPr="000E33BA" w:rsidRDefault="00910074" w:rsidP="00910074">
            <w:pPr>
              <w:jc w:val="right"/>
              <w:rPr>
                <w:rFonts w:eastAsia="Times New Roman" w:cs="Times New Roman"/>
                <w:bCs/>
                <w:lang w:eastAsia="cs-CZ"/>
              </w:rPr>
            </w:pPr>
            <w:r w:rsidRPr="000E33BA">
              <w:rPr>
                <w:rFonts w:eastAsia="Times New Roman" w:cs="Times New Roman"/>
                <w:bCs/>
                <w:lang w:eastAsia="cs-CZ"/>
              </w:rPr>
              <w:t>  400 000</w:t>
            </w:r>
          </w:p>
        </w:tc>
        <w:tc>
          <w:tcPr>
            <w:tcW w:w="789" w:type="pct"/>
            <w:tcBorders>
              <w:top w:val="single" w:sz="4" w:space="0" w:color="7F7F7F" w:themeColor="text1" w:themeTint="80"/>
              <w:bottom w:val="nil"/>
            </w:tcBorders>
            <w:shd w:val="clear" w:color="auto" w:fill="auto"/>
            <w:vAlign w:val="center"/>
          </w:tcPr>
          <w:p w:rsidR="00910074" w:rsidRPr="000E33BA" w:rsidRDefault="00910074" w:rsidP="00910074">
            <w:pPr>
              <w:jc w:val="right"/>
              <w:rPr>
                <w:rFonts w:eastAsia="Times New Roman" w:cs="Times New Roman"/>
                <w:bCs/>
                <w:lang w:eastAsia="cs-CZ"/>
              </w:rPr>
            </w:pPr>
            <w:r w:rsidRPr="000E33BA">
              <w:rPr>
                <w:rFonts w:eastAsia="Times New Roman" w:cs="Times New Roman"/>
                <w:bCs/>
                <w:lang w:eastAsia="cs-CZ"/>
              </w:rPr>
              <w:t>  2 626 621</w:t>
            </w:r>
          </w:p>
        </w:tc>
        <w:tc>
          <w:tcPr>
            <w:tcW w:w="583" w:type="pct"/>
            <w:tcBorders>
              <w:top w:val="single" w:sz="2" w:space="0" w:color="7F7F7F" w:themeColor="text1" w:themeTint="80"/>
              <w:bottom w:val="nil"/>
            </w:tcBorders>
            <w:shd w:val="clear" w:color="auto" w:fill="auto"/>
            <w:vAlign w:val="center"/>
          </w:tcPr>
          <w:p w:rsidR="00910074" w:rsidRPr="000E33BA" w:rsidRDefault="00910074" w:rsidP="00910074">
            <w:pPr>
              <w:jc w:val="right"/>
              <w:rPr>
                <w:rFonts w:eastAsia="Times New Roman" w:cs="Times New Roman"/>
                <w:lang w:eastAsia="cs-CZ"/>
              </w:rPr>
            </w:pPr>
            <w:r w:rsidRPr="000E33BA">
              <w:rPr>
                <w:rFonts w:eastAsia="Times New Roman" w:cs="Times New Roman"/>
                <w:lang w:eastAsia="cs-CZ"/>
              </w:rPr>
              <w:t>656,66</w:t>
            </w:r>
          </w:p>
        </w:tc>
      </w:tr>
      <w:tr w:rsidR="00910074" w:rsidRPr="000E33BA" w:rsidTr="00910074">
        <w:tc>
          <w:tcPr>
            <w:tcW w:w="2118" w:type="pct"/>
            <w:tcBorders>
              <w:top w:val="nil"/>
              <w:bottom w:val="nil"/>
            </w:tcBorders>
            <w:shd w:val="clear" w:color="auto" w:fill="auto"/>
          </w:tcPr>
          <w:p w:rsidR="00910074" w:rsidRPr="000E33BA" w:rsidRDefault="00910074" w:rsidP="00910074">
            <w:pPr>
              <w:rPr>
                <w:rFonts w:eastAsia="Times New Roman" w:cs="Times New Roman"/>
                <w:i/>
                <w:lang w:eastAsia="cs-CZ"/>
              </w:rPr>
            </w:pPr>
            <w:r w:rsidRPr="000E33BA">
              <w:rPr>
                <w:rFonts w:eastAsia="Times New Roman" w:cs="Times New Roman"/>
                <w:i/>
                <w:lang w:eastAsia="cs-CZ"/>
              </w:rPr>
              <w:t xml:space="preserve">      prostředky SR</w:t>
            </w:r>
          </w:p>
        </w:tc>
        <w:tc>
          <w:tcPr>
            <w:tcW w:w="755" w:type="pct"/>
            <w:tcBorders>
              <w:top w:val="nil"/>
              <w:bottom w:val="nil"/>
            </w:tcBorders>
            <w:shd w:val="clear" w:color="auto" w:fill="auto"/>
            <w:vAlign w:val="center"/>
          </w:tcPr>
          <w:p w:rsidR="00910074" w:rsidRPr="000E33BA" w:rsidRDefault="00910074" w:rsidP="00910074">
            <w:pPr>
              <w:jc w:val="right"/>
              <w:rPr>
                <w:rFonts w:eastAsia="Times New Roman" w:cs="Times New Roman"/>
                <w:i/>
                <w:lang w:eastAsia="cs-CZ"/>
              </w:rPr>
            </w:pPr>
            <w:r w:rsidRPr="000E33BA">
              <w:rPr>
                <w:rFonts w:eastAsia="Times New Roman" w:cs="Times New Roman"/>
                <w:i/>
                <w:lang w:eastAsia="cs-CZ"/>
              </w:rPr>
              <w:t>  0</w:t>
            </w:r>
          </w:p>
        </w:tc>
        <w:tc>
          <w:tcPr>
            <w:tcW w:w="755" w:type="pct"/>
            <w:tcBorders>
              <w:top w:val="nil"/>
              <w:bottom w:val="nil"/>
            </w:tcBorders>
            <w:shd w:val="clear" w:color="auto" w:fill="auto"/>
            <w:vAlign w:val="center"/>
          </w:tcPr>
          <w:p w:rsidR="00910074" w:rsidRPr="000E33BA" w:rsidRDefault="00910074" w:rsidP="00910074">
            <w:pPr>
              <w:jc w:val="right"/>
              <w:rPr>
                <w:rFonts w:eastAsia="Times New Roman" w:cs="Times New Roman"/>
                <w:i/>
                <w:lang w:eastAsia="cs-CZ"/>
              </w:rPr>
            </w:pPr>
            <w:r w:rsidRPr="000E33BA">
              <w:rPr>
                <w:rFonts w:eastAsia="Times New Roman" w:cs="Times New Roman"/>
                <w:i/>
                <w:lang w:eastAsia="cs-CZ"/>
              </w:rPr>
              <w:t>0</w:t>
            </w:r>
          </w:p>
        </w:tc>
        <w:tc>
          <w:tcPr>
            <w:tcW w:w="789" w:type="pct"/>
            <w:tcBorders>
              <w:top w:val="nil"/>
              <w:bottom w:val="nil"/>
            </w:tcBorders>
            <w:shd w:val="clear" w:color="auto" w:fill="auto"/>
            <w:vAlign w:val="center"/>
          </w:tcPr>
          <w:p w:rsidR="00910074" w:rsidRPr="000E33BA" w:rsidRDefault="00910074" w:rsidP="00910074">
            <w:pPr>
              <w:jc w:val="right"/>
              <w:rPr>
                <w:rFonts w:eastAsia="Times New Roman" w:cs="Times New Roman"/>
                <w:i/>
                <w:lang w:eastAsia="cs-CZ"/>
              </w:rPr>
            </w:pPr>
            <w:r w:rsidRPr="000E33BA">
              <w:rPr>
                <w:rFonts w:eastAsia="Times New Roman" w:cs="Times New Roman"/>
                <w:i/>
                <w:lang w:eastAsia="cs-CZ"/>
              </w:rPr>
              <w:t>0</w:t>
            </w:r>
          </w:p>
        </w:tc>
        <w:tc>
          <w:tcPr>
            <w:tcW w:w="583" w:type="pct"/>
            <w:tcBorders>
              <w:top w:val="nil"/>
              <w:bottom w:val="nil"/>
            </w:tcBorders>
            <w:shd w:val="clear" w:color="auto" w:fill="auto"/>
            <w:vAlign w:val="center"/>
          </w:tcPr>
          <w:p w:rsidR="00910074" w:rsidRPr="000E33BA" w:rsidRDefault="00910074" w:rsidP="00910074">
            <w:pPr>
              <w:jc w:val="right"/>
              <w:rPr>
                <w:rFonts w:eastAsia="Times New Roman" w:cs="Times New Roman"/>
                <w:i/>
                <w:lang w:eastAsia="cs-CZ"/>
              </w:rPr>
            </w:pPr>
            <w:r w:rsidRPr="000E33BA">
              <w:rPr>
                <w:rFonts w:eastAsia="Times New Roman" w:cs="Times New Roman"/>
                <w:i/>
                <w:lang w:eastAsia="cs-CZ"/>
              </w:rPr>
              <w:t xml:space="preserve"> x</w:t>
            </w:r>
          </w:p>
        </w:tc>
      </w:tr>
      <w:tr w:rsidR="00910074" w:rsidRPr="000E33BA" w:rsidTr="00910074">
        <w:tc>
          <w:tcPr>
            <w:tcW w:w="2118" w:type="pct"/>
            <w:tcBorders>
              <w:top w:val="nil"/>
              <w:bottom w:val="single" w:sz="8" w:space="0" w:color="7F7F7F" w:themeColor="text1" w:themeTint="80"/>
            </w:tcBorders>
            <w:shd w:val="clear" w:color="auto" w:fill="auto"/>
          </w:tcPr>
          <w:p w:rsidR="00910074" w:rsidRPr="000E33BA" w:rsidRDefault="00910074" w:rsidP="00910074">
            <w:pPr>
              <w:rPr>
                <w:rFonts w:eastAsia="Times New Roman" w:cs="Times New Roman"/>
                <w:i/>
                <w:lang w:eastAsia="cs-CZ"/>
              </w:rPr>
            </w:pPr>
            <w:r w:rsidRPr="000E33BA">
              <w:rPr>
                <w:rFonts w:eastAsia="Times New Roman" w:cs="Times New Roman"/>
                <w:i/>
                <w:lang w:eastAsia="cs-CZ"/>
              </w:rPr>
              <w:t xml:space="preserve">      prostředky z fondů EU</w:t>
            </w:r>
          </w:p>
        </w:tc>
        <w:tc>
          <w:tcPr>
            <w:tcW w:w="755" w:type="pct"/>
            <w:tcBorders>
              <w:top w:val="nil"/>
              <w:bottom w:val="single" w:sz="8" w:space="0" w:color="7F7F7F" w:themeColor="text1" w:themeTint="80"/>
            </w:tcBorders>
            <w:shd w:val="clear" w:color="auto" w:fill="auto"/>
            <w:vAlign w:val="center"/>
          </w:tcPr>
          <w:p w:rsidR="00910074" w:rsidRPr="000E33BA" w:rsidRDefault="00910074" w:rsidP="00910074">
            <w:pPr>
              <w:jc w:val="right"/>
              <w:rPr>
                <w:rFonts w:eastAsia="Times New Roman" w:cs="Times New Roman"/>
                <w:i/>
                <w:lang w:eastAsia="cs-CZ"/>
              </w:rPr>
            </w:pPr>
            <w:r w:rsidRPr="000E33BA">
              <w:rPr>
                <w:rFonts w:eastAsia="Times New Roman" w:cs="Times New Roman"/>
                <w:i/>
                <w:lang w:eastAsia="cs-CZ"/>
              </w:rPr>
              <w:t>1 145</w:t>
            </w:r>
          </w:p>
        </w:tc>
        <w:tc>
          <w:tcPr>
            <w:tcW w:w="755" w:type="pct"/>
            <w:tcBorders>
              <w:top w:val="nil"/>
              <w:bottom w:val="single" w:sz="8" w:space="0" w:color="7F7F7F" w:themeColor="text1" w:themeTint="80"/>
            </w:tcBorders>
            <w:shd w:val="clear" w:color="auto" w:fill="auto"/>
            <w:vAlign w:val="center"/>
          </w:tcPr>
          <w:p w:rsidR="00910074" w:rsidRPr="000E33BA" w:rsidRDefault="00910074" w:rsidP="00910074">
            <w:pPr>
              <w:jc w:val="right"/>
              <w:rPr>
                <w:rFonts w:eastAsia="Times New Roman" w:cs="Times New Roman"/>
                <w:i/>
                <w:lang w:eastAsia="cs-CZ"/>
              </w:rPr>
            </w:pPr>
            <w:r w:rsidRPr="000E33BA">
              <w:rPr>
                <w:rFonts w:eastAsia="Times New Roman" w:cs="Times New Roman"/>
                <w:i/>
                <w:lang w:eastAsia="cs-CZ"/>
              </w:rPr>
              <w:t>400 000</w:t>
            </w:r>
          </w:p>
        </w:tc>
        <w:tc>
          <w:tcPr>
            <w:tcW w:w="789" w:type="pct"/>
            <w:tcBorders>
              <w:top w:val="nil"/>
              <w:bottom w:val="single" w:sz="8" w:space="0" w:color="7F7F7F" w:themeColor="text1" w:themeTint="80"/>
            </w:tcBorders>
            <w:shd w:val="clear" w:color="auto" w:fill="auto"/>
            <w:vAlign w:val="center"/>
          </w:tcPr>
          <w:p w:rsidR="00910074" w:rsidRPr="000E33BA" w:rsidRDefault="00910074" w:rsidP="00910074">
            <w:pPr>
              <w:jc w:val="right"/>
              <w:rPr>
                <w:rFonts w:eastAsia="Times New Roman" w:cs="Times New Roman"/>
                <w:i/>
                <w:lang w:eastAsia="cs-CZ"/>
              </w:rPr>
            </w:pPr>
            <w:r w:rsidRPr="000E33BA">
              <w:rPr>
                <w:rFonts w:eastAsia="Times New Roman" w:cs="Times New Roman"/>
                <w:i/>
                <w:lang w:eastAsia="cs-CZ"/>
              </w:rPr>
              <w:t>2 626 621</w:t>
            </w:r>
          </w:p>
        </w:tc>
        <w:tc>
          <w:tcPr>
            <w:tcW w:w="583" w:type="pct"/>
            <w:tcBorders>
              <w:top w:val="nil"/>
              <w:bottom w:val="single" w:sz="8" w:space="0" w:color="7F7F7F" w:themeColor="text1" w:themeTint="80"/>
            </w:tcBorders>
            <w:shd w:val="clear" w:color="auto" w:fill="auto"/>
            <w:vAlign w:val="center"/>
          </w:tcPr>
          <w:p w:rsidR="00910074" w:rsidRPr="000E33BA" w:rsidRDefault="00910074" w:rsidP="00910074">
            <w:pPr>
              <w:jc w:val="right"/>
              <w:rPr>
                <w:rFonts w:eastAsia="Times New Roman" w:cs="Times New Roman"/>
                <w:i/>
                <w:lang w:eastAsia="cs-CZ"/>
              </w:rPr>
            </w:pPr>
            <w:r w:rsidRPr="000E33BA">
              <w:rPr>
                <w:rFonts w:eastAsia="Times New Roman" w:cs="Times New Roman"/>
                <w:i/>
                <w:lang w:eastAsia="cs-CZ"/>
              </w:rPr>
              <w:t>656,66</w:t>
            </w:r>
          </w:p>
        </w:tc>
      </w:tr>
    </w:tbl>
    <w:p w:rsidR="00910074" w:rsidRDefault="00910074" w:rsidP="00910074">
      <w:pPr>
        <w:pStyle w:val="Styl1"/>
        <w:spacing w:before="240"/>
      </w:pPr>
      <w:r w:rsidRPr="000E33BA">
        <w:t xml:space="preserve">V dalším textu je uváděn návrh rozpočtu výdajů na financování reprodukce majetku v členění na jednotlivé programy vedené v EDS/SMVS. </w:t>
      </w:r>
    </w:p>
    <w:p w:rsidR="00E447C1" w:rsidRDefault="00E447C1" w:rsidP="00910074">
      <w:pPr>
        <w:pStyle w:val="Styl1"/>
        <w:spacing w:before="240"/>
      </w:pPr>
    </w:p>
    <w:p w:rsidR="00E447C1" w:rsidRDefault="00E447C1" w:rsidP="00910074">
      <w:pPr>
        <w:pStyle w:val="Styl1"/>
        <w:spacing w:before="240"/>
      </w:pPr>
    </w:p>
    <w:p w:rsidR="00E447C1" w:rsidRPr="000E33BA" w:rsidRDefault="00E447C1" w:rsidP="00910074">
      <w:pPr>
        <w:pStyle w:val="Styl1"/>
        <w:spacing w:before="240"/>
      </w:pPr>
    </w:p>
    <w:p w:rsidR="00910074" w:rsidRPr="000E33BA" w:rsidRDefault="00910074" w:rsidP="00910074">
      <w:pPr>
        <w:pStyle w:val="Titulek"/>
        <w:keepNext/>
      </w:pPr>
      <w:r w:rsidRPr="000E33BA">
        <w:lastRenderedPageBreak/>
        <w:t xml:space="preserve">Tabulka č. </w:t>
      </w:r>
      <w:r w:rsidRPr="000E33BA">
        <w:rPr>
          <w:noProof/>
        </w:rPr>
        <w:fldChar w:fldCharType="begin"/>
      </w:r>
      <w:r w:rsidRPr="000E33BA">
        <w:rPr>
          <w:noProof/>
        </w:rPr>
        <w:instrText xml:space="preserve"> SEQ Tabulka \* ARABIC </w:instrText>
      </w:r>
      <w:r w:rsidRPr="000E33BA">
        <w:rPr>
          <w:noProof/>
        </w:rPr>
        <w:fldChar w:fldCharType="separate"/>
      </w:r>
      <w:r w:rsidR="006076E7">
        <w:rPr>
          <w:noProof/>
        </w:rPr>
        <w:t>40</w:t>
      </w:r>
      <w:r w:rsidRPr="000E33BA">
        <w:rPr>
          <w:noProof/>
        </w:rPr>
        <w:fldChar w:fldCharType="end"/>
      </w:r>
      <w:r w:rsidRPr="000E33BA">
        <w:rPr>
          <w:noProof/>
        </w:rPr>
        <w:t xml:space="preserve"> Přehled jednotlivých programů vedených v EDS/SMVS (v tis. Kč)</w:t>
      </w:r>
    </w:p>
    <w:tbl>
      <w:tblPr>
        <w:tblStyle w:val="Svtltabulkasmkou1zvraznn5"/>
        <w:tblW w:w="500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117"/>
        <w:gridCol w:w="1136"/>
        <w:gridCol w:w="1135"/>
        <w:gridCol w:w="1135"/>
        <w:gridCol w:w="1274"/>
        <w:gridCol w:w="991"/>
        <w:gridCol w:w="1274"/>
      </w:tblGrid>
      <w:tr w:rsidR="00910074" w:rsidRPr="00E24034" w:rsidTr="00910074">
        <w:tc>
          <w:tcPr>
            <w:tcW w:w="1168"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303956" w:rsidRDefault="00910074" w:rsidP="00910074">
            <w:pPr>
              <w:spacing w:before="240"/>
              <w:jc w:val="center"/>
              <w:rPr>
                <w:rFonts w:eastAsia="Times New Roman" w:cs="Times New Roman"/>
                <w:b/>
                <w:bCs/>
                <w:lang w:eastAsia="cs-CZ"/>
              </w:rPr>
            </w:pPr>
            <w:r w:rsidRPr="00303956">
              <w:rPr>
                <w:rFonts w:eastAsia="Times New Roman" w:cs="Times New Roman"/>
                <w:b/>
                <w:bCs/>
                <w:lang w:eastAsia="cs-CZ"/>
              </w:rPr>
              <w:t>Číslo programu</w:t>
            </w:r>
          </w:p>
        </w:tc>
        <w:tc>
          <w:tcPr>
            <w:tcW w:w="1253"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303956" w:rsidRDefault="00910074" w:rsidP="00910074">
            <w:pPr>
              <w:jc w:val="center"/>
              <w:rPr>
                <w:rFonts w:eastAsia="Times New Roman" w:cs="Times New Roman"/>
                <w:b/>
                <w:bCs/>
                <w:lang w:eastAsia="cs-CZ"/>
              </w:rPr>
            </w:pPr>
            <w:r w:rsidRPr="00303956">
              <w:rPr>
                <w:rFonts w:eastAsia="Times New Roman" w:cs="Times New Roman"/>
                <w:b/>
                <w:bCs/>
                <w:lang w:eastAsia="cs-CZ"/>
              </w:rPr>
              <w:t xml:space="preserve">Skutečnost </w:t>
            </w:r>
            <w:r w:rsidRPr="00303956">
              <w:rPr>
                <w:rFonts w:eastAsia="Times New Roman" w:cs="Times New Roman"/>
                <w:b/>
                <w:bCs/>
                <w:lang w:eastAsia="cs-CZ"/>
              </w:rPr>
              <w:br/>
              <w:t xml:space="preserve">2019 </w:t>
            </w:r>
          </w:p>
        </w:tc>
        <w:tc>
          <w:tcPr>
            <w:tcW w:w="1329"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A81F12" w:rsidRDefault="00910074" w:rsidP="00910074">
            <w:pPr>
              <w:jc w:val="center"/>
              <w:rPr>
                <w:rFonts w:eastAsia="Times New Roman" w:cs="Times New Roman"/>
                <w:b/>
                <w:bCs/>
                <w:lang w:eastAsia="cs-CZ"/>
              </w:rPr>
            </w:pPr>
            <w:r w:rsidRPr="00A81F12">
              <w:rPr>
                <w:rFonts w:eastAsia="Times New Roman" w:cs="Times New Roman"/>
                <w:b/>
                <w:bCs/>
                <w:lang w:eastAsia="cs-CZ"/>
              </w:rPr>
              <w:t>Schválený rozpočet 2020</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A81F12" w:rsidRDefault="00910074" w:rsidP="00910074">
            <w:pPr>
              <w:jc w:val="center"/>
              <w:rPr>
                <w:rFonts w:eastAsia="Times New Roman" w:cs="Times New Roman"/>
                <w:b/>
                <w:bCs/>
                <w:lang w:eastAsia="cs-CZ"/>
              </w:rPr>
            </w:pPr>
            <w:r w:rsidRPr="00A81F12">
              <w:rPr>
                <w:rFonts w:eastAsia="Times New Roman" w:cs="Times New Roman"/>
                <w:b/>
                <w:bCs/>
                <w:lang w:eastAsia="cs-CZ"/>
              </w:rPr>
              <w:t>Návrh rozpočtu</w:t>
            </w:r>
            <w:r w:rsidRPr="00A81F12">
              <w:rPr>
                <w:rFonts w:eastAsia="Times New Roman" w:cs="Times New Roman"/>
                <w:b/>
                <w:bCs/>
                <w:lang w:eastAsia="cs-CZ"/>
              </w:rPr>
              <w:br/>
              <w:t xml:space="preserve"> 202</w:t>
            </w:r>
            <w:r>
              <w:rPr>
                <w:rFonts w:eastAsia="Times New Roman" w:cs="Times New Roman"/>
                <w:b/>
                <w:bCs/>
                <w:lang w:eastAsia="cs-CZ"/>
              </w:rPr>
              <w:t>1</w:t>
            </w:r>
            <w:r w:rsidRPr="00A81F12">
              <w:rPr>
                <w:rFonts w:eastAsia="Times New Roman" w:cs="Times New Roman"/>
                <w:b/>
                <w:bCs/>
                <w:lang w:eastAsia="cs-CZ"/>
              </w:rPr>
              <w:t xml:space="preserve"> </w:t>
            </w:r>
          </w:p>
        </w:tc>
      </w:tr>
      <w:tr w:rsidR="00910074" w:rsidRPr="00E24034" w:rsidTr="00910074">
        <w:tc>
          <w:tcPr>
            <w:tcW w:w="1168"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303956" w:rsidRDefault="00910074" w:rsidP="00910074">
            <w:pPr>
              <w:rPr>
                <w:rFonts w:eastAsia="Times New Roman" w:cs="Times New Roman"/>
                <w:lang w:eastAsia="cs-CZ"/>
              </w:rPr>
            </w:pPr>
          </w:p>
        </w:tc>
        <w:tc>
          <w:tcPr>
            <w:tcW w:w="627"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303956" w:rsidRDefault="00910074" w:rsidP="00910074">
            <w:pPr>
              <w:jc w:val="center"/>
              <w:rPr>
                <w:rFonts w:eastAsia="Times New Roman" w:cs="Times New Roman"/>
                <w:b/>
                <w:lang w:eastAsia="cs-CZ"/>
              </w:rPr>
            </w:pPr>
            <w:r w:rsidRPr="00303956">
              <w:rPr>
                <w:rFonts w:eastAsia="Times New Roman" w:cs="Times New Roman"/>
                <w:b/>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A81F12" w:rsidRDefault="00910074" w:rsidP="00910074">
            <w:pPr>
              <w:jc w:val="center"/>
              <w:rPr>
                <w:rFonts w:eastAsia="Times New Roman" w:cs="Times New Roman"/>
                <w:b/>
                <w:lang w:eastAsia="cs-CZ"/>
              </w:rPr>
            </w:pPr>
            <w:r w:rsidRPr="00A81F12">
              <w:rPr>
                <w:rFonts w:eastAsia="Times New Roman" w:cs="Times New Roman"/>
                <w:b/>
                <w:lang w:eastAsia="cs-CZ"/>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A81F12" w:rsidRDefault="00910074" w:rsidP="00910074">
            <w:pPr>
              <w:jc w:val="center"/>
              <w:rPr>
                <w:rFonts w:eastAsia="Times New Roman" w:cs="Times New Roman"/>
                <w:b/>
                <w:lang w:eastAsia="cs-CZ"/>
              </w:rPr>
            </w:pPr>
            <w:r w:rsidRPr="00A81F12">
              <w:rPr>
                <w:rFonts w:eastAsia="Times New Roman" w:cs="Times New Roman"/>
                <w:b/>
                <w:lang w:eastAsia="cs-CZ"/>
              </w:rPr>
              <w:t>SR</w:t>
            </w:r>
          </w:p>
        </w:tc>
        <w:tc>
          <w:tcPr>
            <w:tcW w:w="70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A81F12" w:rsidRDefault="00910074" w:rsidP="00910074">
            <w:pPr>
              <w:jc w:val="center"/>
              <w:rPr>
                <w:rFonts w:eastAsia="Times New Roman" w:cs="Times New Roman"/>
                <w:b/>
                <w:lang w:eastAsia="cs-CZ"/>
              </w:rPr>
            </w:pPr>
            <w:r w:rsidRPr="00A81F12">
              <w:rPr>
                <w:rFonts w:eastAsia="Times New Roman" w:cs="Times New Roman"/>
                <w:b/>
                <w:lang w:eastAsia="cs-CZ"/>
              </w:rPr>
              <w:t>EU</w:t>
            </w:r>
          </w:p>
        </w:tc>
        <w:tc>
          <w:tcPr>
            <w:tcW w:w="547"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A81F12" w:rsidRDefault="00910074" w:rsidP="00910074">
            <w:pPr>
              <w:jc w:val="center"/>
              <w:rPr>
                <w:rFonts w:eastAsia="Times New Roman" w:cs="Times New Roman"/>
                <w:b/>
                <w:lang w:eastAsia="cs-CZ"/>
              </w:rPr>
            </w:pPr>
            <w:r w:rsidRPr="00A81F12">
              <w:rPr>
                <w:rFonts w:eastAsia="Times New Roman" w:cs="Times New Roman"/>
                <w:b/>
                <w:lang w:eastAsia="cs-CZ"/>
              </w:rPr>
              <w:t>SR</w:t>
            </w:r>
          </w:p>
        </w:tc>
        <w:tc>
          <w:tcPr>
            <w:tcW w:w="70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A81F12" w:rsidRDefault="00910074" w:rsidP="00910074">
            <w:pPr>
              <w:jc w:val="center"/>
              <w:rPr>
                <w:rFonts w:eastAsia="Times New Roman" w:cs="Times New Roman"/>
                <w:b/>
                <w:lang w:eastAsia="cs-CZ"/>
              </w:rPr>
            </w:pPr>
            <w:r w:rsidRPr="00A81F12">
              <w:rPr>
                <w:rFonts w:eastAsia="Times New Roman" w:cs="Times New Roman"/>
                <w:b/>
                <w:lang w:eastAsia="cs-CZ"/>
              </w:rPr>
              <w:t>EU</w:t>
            </w:r>
          </w:p>
        </w:tc>
      </w:tr>
      <w:tr w:rsidR="00910074" w:rsidRPr="00E24034" w:rsidTr="00910074">
        <w:tc>
          <w:tcPr>
            <w:tcW w:w="1168" w:type="pct"/>
            <w:shd w:val="clear" w:color="auto" w:fill="auto"/>
          </w:tcPr>
          <w:p w:rsidR="00910074" w:rsidRPr="00A81F12" w:rsidRDefault="00910074" w:rsidP="00910074">
            <w:pPr>
              <w:jc w:val="center"/>
              <w:rPr>
                <w:rFonts w:eastAsia="Times New Roman" w:cs="Times New Roman"/>
                <w:lang w:eastAsia="cs-CZ"/>
              </w:rPr>
            </w:pPr>
            <w:r w:rsidRPr="00A81F12">
              <w:rPr>
                <w:rFonts w:eastAsia="Times New Roman" w:cs="Times New Roman"/>
                <w:lang w:eastAsia="cs-CZ"/>
              </w:rPr>
              <w:t>127 65</w:t>
            </w:r>
          </w:p>
        </w:tc>
        <w:tc>
          <w:tcPr>
            <w:tcW w:w="627" w:type="pct"/>
            <w:shd w:val="clear" w:color="auto" w:fill="auto"/>
          </w:tcPr>
          <w:p w:rsidR="00910074" w:rsidRPr="00A81F12" w:rsidRDefault="00910074" w:rsidP="00910074">
            <w:pPr>
              <w:jc w:val="right"/>
              <w:rPr>
                <w:rFonts w:eastAsia="Times New Roman" w:cs="Times New Roman"/>
                <w:lang w:eastAsia="cs-CZ"/>
              </w:rPr>
            </w:pPr>
            <w:r w:rsidRPr="00A81F12">
              <w:rPr>
                <w:rFonts w:eastAsia="Times New Roman" w:cs="Times New Roman"/>
                <w:lang w:eastAsia="cs-CZ"/>
              </w:rPr>
              <w:t>0</w:t>
            </w:r>
          </w:p>
        </w:tc>
        <w:tc>
          <w:tcPr>
            <w:tcW w:w="626" w:type="pct"/>
            <w:shd w:val="clear" w:color="auto" w:fill="auto"/>
          </w:tcPr>
          <w:p w:rsidR="00910074" w:rsidRPr="00A81F12" w:rsidRDefault="00910074" w:rsidP="00910074">
            <w:pPr>
              <w:jc w:val="right"/>
              <w:rPr>
                <w:rFonts w:eastAsia="Times New Roman" w:cs="Times New Roman"/>
                <w:lang w:eastAsia="cs-CZ"/>
              </w:rPr>
            </w:pPr>
            <w:r w:rsidRPr="00A81F12">
              <w:rPr>
                <w:rFonts w:eastAsia="Times New Roman" w:cs="Times New Roman"/>
                <w:lang w:eastAsia="cs-CZ"/>
              </w:rPr>
              <w:t>0</w:t>
            </w:r>
          </w:p>
        </w:tc>
        <w:tc>
          <w:tcPr>
            <w:tcW w:w="626" w:type="pct"/>
            <w:shd w:val="clear" w:color="auto" w:fill="auto"/>
          </w:tcPr>
          <w:p w:rsidR="00910074" w:rsidRPr="00A81F12" w:rsidRDefault="00910074" w:rsidP="00910074">
            <w:pPr>
              <w:jc w:val="right"/>
              <w:rPr>
                <w:rFonts w:eastAsia="Times New Roman" w:cs="Times New Roman"/>
                <w:lang w:eastAsia="cs-CZ"/>
              </w:rPr>
            </w:pPr>
            <w:r w:rsidRPr="00A81F12">
              <w:rPr>
                <w:rFonts w:eastAsia="Times New Roman" w:cs="Times New Roman"/>
                <w:lang w:eastAsia="cs-CZ"/>
              </w:rPr>
              <w:t>0</w:t>
            </w:r>
          </w:p>
        </w:tc>
        <w:tc>
          <w:tcPr>
            <w:tcW w:w="703" w:type="pct"/>
            <w:shd w:val="clear" w:color="auto" w:fill="auto"/>
          </w:tcPr>
          <w:p w:rsidR="00910074" w:rsidRPr="00A81F12" w:rsidRDefault="00910074" w:rsidP="00910074">
            <w:pPr>
              <w:jc w:val="right"/>
              <w:rPr>
                <w:rFonts w:eastAsia="Times New Roman" w:cs="Times New Roman"/>
                <w:lang w:eastAsia="cs-CZ"/>
              </w:rPr>
            </w:pPr>
            <w:r w:rsidRPr="00A81F12">
              <w:rPr>
                <w:rFonts w:eastAsia="Times New Roman" w:cs="Times New Roman"/>
                <w:lang w:eastAsia="cs-CZ"/>
              </w:rPr>
              <w:t>300 000</w:t>
            </w:r>
          </w:p>
        </w:tc>
        <w:tc>
          <w:tcPr>
            <w:tcW w:w="547" w:type="pct"/>
            <w:shd w:val="clear" w:color="auto" w:fill="auto"/>
          </w:tcPr>
          <w:p w:rsidR="00910074" w:rsidRPr="00A81F12" w:rsidRDefault="00910074" w:rsidP="00910074">
            <w:pPr>
              <w:jc w:val="right"/>
              <w:rPr>
                <w:rFonts w:eastAsia="Times New Roman" w:cs="Times New Roman"/>
                <w:lang w:eastAsia="cs-CZ"/>
              </w:rPr>
            </w:pPr>
            <w:r w:rsidRPr="00A81F12">
              <w:rPr>
                <w:rFonts w:eastAsia="Times New Roman" w:cs="Times New Roman"/>
                <w:lang w:eastAsia="cs-CZ"/>
              </w:rPr>
              <w:t>0</w:t>
            </w:r>
          </w:p>
        </w:tc>
        <w:tc>
          <w:tcPr>
            <w:tcW w:w="703" w:type="pct"/>
            <w:shd w:val="clear" w:color="auto" w:fill="auto"/>
          </w:tcPr>
          <w:p w:rsidR="00910074" w:rsidRPr="00A81F12" w:rsidRDefault="00910074" w:rsidP="00910074">
            <w:pPr>
              <w:jc w:val="right"/>
              <w:rPr>
                <w:rFonts w:eastAsia="Times New Roman" w:cs="Times New Roman"/>
                <w:lang w:eastAsia="cs-CZ"/>
              </w:rPr>
            </w:pPr>
            <w:r>
              <w:rPr>
                <w:rFonts w:eastAsia="Times New Roman" w:cs="Times New Roman"/>
                <w:lang w:eastAsia="cs-CZ"/>
              </w:rPr>
              <w:t>1 162 910</w:t>
            </w:r>
          </w:p>
        </w:tc>
      </w:tr>
      <w:tr w:rsidR="00910074" w:rsidRPr="00E24034" w:rsidTr="00910074">
        <w:tc>
          <w:tcPr>
            <w:tcW w:w="1168" w:type="pct"/>
            <w:shd w:val="clear" w:color="auto" w:fill="auto"/>
          </w:tcPr>
          <w:p w:rsidR="00910074" w:rsidRPr="00A81F12" w:rsidRDefault="00910074" w:rsidP="00910074">
            <w:pPr>
              <w:jc w:val="center"/>
              <w:rPr>
                <w:rFonts w:eastAsia="Times New Roman" w:cs="Times New Roman"/>
                <w:lang w:eastAsia="cs-CZ"/>
              </w:rPr>
            </w:pPr>
            <w:r w:rsidRPr="00A81F12">
              <w:rPr>
                <w:rFonts w:eastAsia="Times New Roman" w:cs="Times New Roman"/>
                <w:lang w:eastAsia="cs-CZ"/>
              </w:rPr>
              <w:t>127 66/127 67</w:t>
            </w:r>
          </w:p>
        </w:tc>
        <w:tc>
          <w:tcPr>
            <w:tcW w:w="627" w:type="pct"/>
            <w:shd w:val="clear" w:color="auto" w:fill="auto"/>
          </w:tcPr>
          <w:p w:rsidR="00910074" w:rsidRPr="00A81F12" w:rsidRDefault="00910074" w:rsidP="00910074">
            <w:pPr>
              <w:jc w:val="right"/>
              <w:rPr>
                <w:rFonts w:eastAsia="Times New Roman" w:cs="Times New Roman"/>
                <w:lang w:eastAsia="cs-CZ"/>
              </w:rPr>
            </w:pPr>
            <w:r w:rsidRPr="00A81F12">
              <w:rPr>
                <w:rFonts w:eastAsia="Times New Roman" w:cs="Times New Roman"/>
                <w:lang w:eastAsia="cs-CZ"/>
              </w:rPr>
              <w:t xml:space="preserve"> 1 646</w:t>
            </w:r>
          </w:p>
        </w:tc>
        <w:tc>
          <w:tcPr>
            <w:tcW w:w="626" w:type="pct"/>
            <w:shd w:val="clear" w:color="auto" w:fill="auto"/>
          </w:tcPr>
          <w:p w:rsidR="00910074" w:rsidRPr="00A81F12" w:rsidRDefault="00910074" w:rsidP="00910074">
            <w:pPr>
              <w:jc w:val="right"/>
              <w:rPr>
                <w:rFonts w:eastAsia="Times New Roman" w:cs="Times New Roman"/>
                <w:lang w:eastAsia="cs-CZ"/>
              </w:rPr>
            </w:pPr>
            <w:r w:rsidRPr="00A81F12">
              <w:rPr>
                <w:rFonts w:eastAsia="Times New Roman" w:cs="Times New Roman"/>
                <w:lang w:eastAsia="cs-CZ"/>
              </w:rPr>
              <w:t>0</w:t>
            </w:r>
          </w:p>
        </w:tc>
        <w:tc>
          <w:tcPr>
            <w:tcW w:w="626" w:type="pct"/>
            <w:shd w:val="clear" w:color="auto" w:fill="auto"/>
          </w:tcPr>
          <w:p w:rsidR="00910074" w:rsidRPr="00A81F12" w:rsidRDefault="00910074" w:rsidP="00910074">
            <w:pPr>
              <w:jc w:val="right"/>
              <w:rPr>
                <w:rFonts w:eastAsia="Times New Roman" w:cs="Times New Roman"/>
                <w:lang w:eastAsia="cs-CZ"/>
              </w:rPr>
            </w:pPr>
            <w:r w:rsidRPr="00A81F12">
              <w:rPr>
                <w:rFonts w:eastAsia="Times New Roman" w:cs="Times New Roman"/>
                <w:lang w:eastAsia="cs-CZ"/>
              </w:rPr>
              <w:t>4 000</w:t>
            </w:r>
          </w:p>
        </w:tc>
        <w:tc>
          <w:tcPr>
            <w:tcW w:w="703" w:type="pct"/>
            <w:shd w:val="clear" w:color="auto" w:fill="auto"/>
          </w:tcPr>
          <w:p w:rsidR="00910074" w:rsidRPr="00A81F12" w:rsidRDefault="00910074" w:rsidP="00910074">
            <w:pPr>
              <w:jc w:val="right"/>
              <w:rPr>
                <w:rFonts w:eastAsia="Times New Roman" w:cs="Times New Roman"/>
                <w:lang w:eastAsia="cs-CZ"/>
              </w:rPr>
            </w:pPr>
            <w:r w:rsidRPr="00A81F12">
              <w:rPr>
                <w:rFonts w:eastAsia="Times New Roman" w:cs="Times New Roman"/>
                <w:lang w:eastAsia="cs-CZ"/>
              </w:rPr>
              <w:t>0</w:t>
            </w:r>
          </w:p>
        </w:tc>
        <w:tc>
          <w:tcPr>
            <w:tcW w:w="547" w:type="pct"/>
            <w:shd w:val="clear" w:color="auto" w:fill="auto"/>
          </w:tcPr>
          <w:p w:rsidR="00910074" w:rsidRPr="00A81F12" w:rsidRDefault="00910074" w:rsidP="00910074">
            <w:pPr>
              <w:jc w:val="right"/>
              <w:rPr>
                <w:rFonts w:eastAsia="Times New Roman" w:cs="Times New Roman"/>
                <w:lang w:eastAsia="cs-CZ"/>
              </w:rPr>
            </w:pPr>
            <w:r w:rsidRPr="00A81F12">
              <w:rPr>
                <w:rFonts w:eastAsia="Times New Roman" w:cs="Times New Roman"/>
                <w:lang w:eastAsia="cs-CZ"/>
              </w:rPr>
              <w:t>5 000</w:t>
            </w:r>
          </w:p>
        </w:tc>
        <w:tc>
          <w:tcPr>
            <w:tcW w:w="703" w:type="pct"/>
            <w:shd w:val="clear" w:color="auto" w:fill="auto"/>
          </w:tcPr>
          <w:p w:rsidR="00910074" w:rsidRPr="00A81F12" w:rsidRDefault="00910074" w:rsidP="00910074">
            <w:pPr>
              <w:jc w:val="right"/>
              <w:rPr>
                <w:rFonts w:eastAsia="Times New Roman" w:cs="Times New Roman"/>
                <w:lang w:eastAsia="cs-CZ"/>
              </w:rPr>
            </w:pPr>
            <w:r w:rsidRPr="00A81F12">
              <w:rPr>
                <w:rFonts w:eastAsia="Times New Roman" w:cs="Times New Roman"/>
                <w:lang w:eastAsia="cs-CZ"/>
              </w:rPr>
              <w:t>0</w:t>
            </w:r>
          </w:p>
        </w:tc>
      </w:tr>
      <w:tr w:rsidR="00910074" w:rsidRPr="00E24034" w:rsidTr="00910074">
        <w:tc>
          <w:tcPr>
            <w:tcW w:w="1168" w:type="pct"/>
            <w:tcBorders>
              <w:top w:val="single" w:sz="4" w:space="0" w:color="7F7F7F" w:themeColor="text1" w:themeTint="80"/>
              <w:bottom w:val="single" w:sz="8" w:space="0" w:color="7F7F7F" w:themeColor="text1" w:themeTint="80"/>
            </w:tcBorders>
            <w:shd w:val="clear" w:color="auto" w:fill="auto"/>
          </w:tcPr>
          <w:p w:rsidR="00910074" w:rsidRPr="00A81F12" w:rsidRDefault="00910074" w:rsidP="00910074">
            <w:pPr>
              <w:jc w:val="center"/>
              <w:rPr>
                <w:rFonts w:eastAsia="Times New Roman" w:cs="Times New Roman"/>
                <w:bCs/>
                <w:lang w:eastAsia="cs-CZ"/>
              </w:rPr>
            </w:pPr>
            <w:r w:rsidRPr="00A81F12">
              <w:rPr>
                <w:rFonts w:eastAsia="Times New Roman" w:cs="Times New Roman"/>
                <w:bCs/>
                <w:lang w:eastAsia="cs-CZ"/>
              </w:rPr>
              <w:t>127 77</w:t>
            </w:r>
          </w:p>
        </w:tc>
        <w:tc>
          <w:tcPr>
            <w:tcW w:w="627" w:type="pct"/>
            <w:tcBorders>
              <w:top w:val="single" w:sz="4" w:space="0" w:color="7F7F7F" w:themeColor="text1" w:themeTint="80"/>
              <w:bottom w:val="single" w:sz="8" w:space="0" w:color="7F7F7F" w:themeColor="text1" w:themeTint="80"/>
            </w:tcBorders>
            <w:shd w:val="clear" w:color="auto" w:fill="auto"/>
          </w:tcPr>
          <w:p w:rsidR="00910074" w:rsidRPr="00A81F12" w:rsidRDefault="00910074" w:rsidP="00910074">
            <w:pPr>
              <w:jc w:val="right"/>
              <w:rPr>
                <w:rFonts w:eastAsia="Times New Roman" w:cs="Times New Roman"/>
                <w:bCs/>
                <w:lang w:eastAsia="cs-CZ"/>
              </w:rPr>
            </w:pPr>
            <w:r w:rsidRPr="00A81F12">
              <w:rPr>
                <w:rFonts w:eastAsia="Times New Roman" w:cs="Times New Roman"/>
                <w:bCs/>
                <w:lang w:eastAsia="cs-CZ"/>
              </w:rPr>
              <w:t>0</w:t>
            </w:r>
          </w:p>
        </w:tc>
        <w:tc>
          <w:tcPr>
            <w:tcW w:w="626" w:type="pct"/>
            <w:tcBorders>
              <w:top w:val="single" w:sz="4" w:space="0" w:color="7F7F7F" w:themeColor="text1" w:themeTint="80"/>
              <w:bottom w:val="single" w:sz="8" w:space="0" w:color="7F7F7F" w:themeColor="text1" w:themeTint="80"/>
            </w:tcBorders>
            <w:shd w:val="clear" w:color="auto" w:fill="auto"/>
          </w:tcPr>
          <w:p w:rsidR="00910074" w:rsidRPr="00A81F12" w:rsidRDefault="00910074" w:rsidP="00910074">
            <w:pPr>
              <w:jc w:val="right"/>
              <w:rPr>
                <w:rFonts w:eastAsia="Times New Roman" w:cs="Times New Roman"/>
                <w:bCs/>
                <w:lang w:eastAsia="cs-CZ"/>
              </w:rPr>
            </w:pPr>
            <w:r w:rsidRPr="00A81F12">
              <w:rPr>
                <w:rFonts w:eastAsia="Times New Roman" w:cs="Times New Roman"/>
                <w:bCs/>
                <w:lang w:eastAsia="cs-CZ"/>
              </w:rPr>
              <w:t>1 145</w:t>
            </w:r>
          </w:p>
        </w:tc>
        <w:tc>
          <w:tcPr>
            <w:tcW w:w="626" w:type="pct"/>
            <w:tcBorders>
              <w:top w:val="single" w:sz="4" w:space="0" w:color="7F7F7F" w:themeColor="text1" w:themeTint="80"/>
              <w:bottom w:val="single" w:sz="8" w:space="0" w:color="7F7F7F" w:themeColor="text1" w:themeTint="80"/>
            </w:tcBorders>
            <w:shd w:val="clear" w:color="auto" w:fill="auto"/>
          </w:tcPr>
          <w:p w:rsidR="00910074" w:rsidRPr="00A81F12" w:rsidRDefault="00910074" w:rsidP="00910074">
            <w:pPr>
              <w:jc w:val="right"/>
              <w:rPr>
                <w:rFonts w:eastAsia="Times New Roman" w:cs="Times New Roman"/>
                <w:bCs/>
                <w:lang w:eastAsia="cs-CZ"/>
              </w:rPr>
            </w:pPr>
            <w:r w:rsidRPr="00A81F12">
              <w:rPr>
                <w:rFonts w:eastAsia="Times New Roman" w:cs="Times New Roman"/>
                <w:bCs/>
                <w:lang w:eastAsia="cs-CZ"/>
              </w:rPr>
              <w:t>0</w:t>
            </w:r>
          </w:p>
        </w:tc>
        <w:tc>
          <w:tcPr>
            <w:tcW w:w="703" w:type="pct"/>
            <w:tcBorders>
              <w:top w:val="single" w:sz="4" w:space="0" w:color="7F7F7F" w:themeColor="text1" w:themeTint="80"/>
              <w:bottom w:val="single" w:sz="8" w:space="0" w:color="7F7F7F" w:themeColor="text1" w:themeTint="80"/>
            </w:tcBorders>
            <w:shd w:val="clear" w:color="auto" w:fill="auto"/>
          </w:tcPr>
          <w:p w:rsidR="00910074" w:rsidRPr="00A81F12" w:rsidRDefault="00910074" w:rsidP="00910074">
            <w:pPr>
              <w:jc w:val="right"/>
              <w:rPr>
                <w:rFonts w:eastAsia="Times New Roman" w:cs="Times New Roman"/>
                <w:bCs/>
                <w:lang w:eastAsia="cs-CZ"/>
              </w:rPr>
            </w:pPr>
            <w:r w:rsidRPr="00A81F12">
              <w:rPr>
                <w:rFonts w:eastAsia="Times New Roman" w:cs="Times New Roman"/>
                <w:bCs/>
                <w:lang w:eastAsia="cs-CZ"/>
              </w:rPr>
              <w:t>100 000</w:t>
            </w:r>
          </w:p>
        </w:tc>
        <w:tc>
          <w:tcPr>
            <w:tcW w:w="547" w:type="pct"/>
            <w:tcBorders>
              <w:top w:val="single" w:sz="4" w:space="0" w:color="7F7F7F" w:themeColor="text1" w:themeTint="80"/>
              <w:bottom w:val="single" w:sz="8" w:space="0" w:color="7F7F7F" w:themeColor="text1" w:themeTint="80"/>
            </w:tcBorders>
            <w:shd w:val="clear" w:color="auto" w:fill="auto"/>
          </w:tcPr>
          <w:p w:rsidR="00910074" w:rsidRPr="00A81F12" w:rsidRDefault="00910074" w:rsidP="00910074">
            <w:pPr>
              <w:jc w:val="right"/>
              <w:rPr>
                <w:rFonts w:eastAsia="Times New Roman" w:cs="Times New Roman"/>
                <w:bCs/>
                <w:lang w:eastAsia="cs-CZ"/>
              </w:rPr>
            </w:pPr>
            <w:r w:rsidRPr="00A81F12">
              <w:rPr>
                <w:rFonts w:eastAsia="Times New Roman" w:cs="Times New Roman"/>
                <w:bCs/>
                <w:lang w:eastAsia="cs-CZ"/>
              </w:rPr>
              <w:t>0</w:t>
            </w:r>
          </w:p>
        </w:tc>
        <w:tc>
          <w:tcPr>
            <w:tcW w:w="703" w:type="pct"/>
            <w:tcBorders>
              <w:top w:val="single" w:sz="4" w:space="0" w:color="7F7F7F" w:themeColor="text1" w:themeTint="80"/>
              <w:bottom w:val="single" w:sz="8" w:space="0" w:color="7F7F7F" w:themeColor="text1" w:themeTint="80"/>
            </w:tcBorders>
            <w:shd w:val="clear" w:color="auto" w:fill="auto"/>
          </w:tcPr>
          <w:p w:rsidR="00910074" w:rsidRPr="00A81F12" w:rsidRDefault="00910074" w:rsidP="00910074">
            <w:pPr>
              <w:jc w:val="right"/>
              <w:rPr>
                <w:rFonts w:eastAsia="Times New Roman" w:cs="Times New Roman"/>
                <w:bCs/>
                <w:lang w:eastAsia="cs-CZ"/>
              </w:rPr>
            </w:pPr>
            <w:r w:rsidRPr="001B1D64">
              <w:rPr>
                <w:rFonts w:eastAsia="Times New Roman" w:cs="Times New Roman"/>
                <w:bCs/>
                <w:lang w:eastAsia="cs-CZ"/>
              </w:rPr>
              <w:t>1 463 71</w:t>
            </w:r>
            <w:r>
              <w:rPr>
                <w:rFonts w:eastAsia="Times New Roman" w:cs="Times New Roman"/>
                <w:bCs/>
                <w:lang w:eastAsia="cs-CZ"/>
              </w:rPr>
              <w:t>1</w:t>
            </w:r>
            <w:r w:rsidRPr="001B1D64">
              <w:rPr>
                <w:rFonts w:eastAsia="Times New Roman" w:cs="Times New Roman"/>
                <w:bCs/>
                <w:lang w:eastAsia="cs-CZ"/>
              </w:rPr>
              <w:t xml:space="preserve"> </w:t>
            </w:r>
          </w:p>
        </w:tc>
      </w:tr>
      <w:tr w:rsidR="00910074" w:rsidRPr="00E24034" w:rsidTr="00910074">
        <w:tc>
          <w:tcPr>
            <w:tcW w:w="1168" w:type="pct"/>
            <w:tcBorders>
              <w:top w:val="single" w:sz="8" w:space="0" w:color="7F7F7F" w:themeColor="text1" w:themeTint="80"/>
              <w:bottom w:val="single" w:sz="8" w:space="0" w:color="7F7F7F" w:themeColor="text1" w:themeTint="80"/>
            </w:tcBorders>
            <w:shd w:val="clear" w:color="auto" w:fill="auto"/>
          </w:tcPr>
          <w:p w:rsidR="00910074" w:rsidRPr="00A81F12" w:rsidRDefault="00910074" w:rsidP="00910074">
            <w:pPr>
              <w:jc w:val="center"/>
              <w:rPr>
                <w:rFonts w:eastAsia="Times New Roman" w:cs="Times New Roman"/>
                <w:b/>
                <w:bCs/>
                <w:lang w:eastAsia="cs-CZ"/>
              </w:rPr>
            </w:pPr>
            <w:r w:rsidRPr="00A81F12">
              <w:rPr>
                <w:rFonts w:eastAsia="Times New Roman" w:cs="Times New Roman"/>
                <w:b/>
                <w:bCs/>
                <w:lang w:eastAsia="cs-CZ"/>
              </w:rPr>
              <w:t>CELKEM</w:t>
            </w:r>
          </w:p>
        </w:tc>
        <w:tc>
          <w:tcPr>
            <w:tcW w:w="627" w:type="pct"/>
            <w:tcBorders>
              <w:top w:val="single" w:sz="8" w:space="0" w:color="7F7F7F" w:themeColor="text1" w:themeTint="80"/>
              <w:bottom w:val="single" w:sz="8" w:space="0" w:color="7F7F7F" w:themeColor="text1" w:themeTint="80"/>
            </w:tcBorders>
            <w:shd w:val="clear" w:color="auto" w:fill="auto"/>
          </w:tcPr>
          <w:p w:rsidR="00910074" w:rsidRPr="00A81F12" w:rsidRDefault="00910074" w:rsidP="00910074">
            <w:pPr>
              <w:jc w:val="right"/>
              <w:rPr>
                <w:rFonts w:eastAsia="Times New Roman" w:cs="Times New Roman"/>
                <w:b/>
                <w:bCs/>
                <w:lang w:eastAsia="cs-CZ"/>
              </w:rPr>
            </w:pPr>
            <w:r w:rsidRPr="00A81F12">
              <w:rPr>
                <w:rFonts w:eastAsia="Times New Roman" w:cs="Times New Roman"/>
                <w:b/>
                <w:bCs/>
                <w:lang w:eastAsia="cs-CZ"/>
              </w:rPr>
              <w:t>  1 646</w:t>
            </w:r>
          </w:p>
        </w:tc>
        <w:tc>
          <w:tcPr>
            <w:tcW w:w="626" w:type="pct"/>
            <w:tcBorders>
              <w:top w:val="single" w:sz="8" w:space="0" w:color="7F7F7F" w:themeColor="text1" w:themeTint="80"/>
              <w:bottom w:val="single" w:sz="8" w:space="0" w:color="7F7F7F" w:themeColor="text1" w:themeTint="80"/>
            </w:tcBorders>
            <w:shd w:val="clear" w:color="auto" w:fill="auto"/>
          </w:tcPr>
          <w:p w:rsidR="00910074" w:rsidRPr="00A81F12" w:rsidRDefault="00910074" w:rsidP="00910074">
            <w:pPr>
              <w:jc w:val="right"/>
              <w:rPr>
                <w:rFonts w:eastAsia="Times New Roman" w:cs="Times New Roman"/>
                <w:b/>
                <w:bCs/>
                <w:lang w:eastAsia="cs-CZ"/>
              </w:rPr>
            </w:pPr>
            <w:r w:rsidRPr="00A81F12">
              <w:rPr>
                <w:rFonts w:eastAsia="Times New Roman" w:cs="Times New Roman"/>
                <w:b/>
                <w:bCs/>
                <w:lang w:eastAsia="cs-CZ"/>
              </w:rPr>
              <w:t>1 145</w:t>
            </w:r>
          </w:p>
        </w:tc>
        <w:tc>
          <w:tcPr>
            <w:tcW w:w="626" w:type="pct"/>
            <w:tcBorders>
              <w:top w:val="single" w:sz="8" w:space="0" w:color="7F7F7F" w:themeColor="text1" w:themeTint="80"/>
              <w:bottom w:val="single" w:sz="8" w:space="0" w:color="7F7F7F" w:themeColor="text1" w:themeTint="80"/>
            </w:tcBorders>
            <w:shd w:val="clear" w:color="auto" w:fill="auto"/>
          </w:tcPr>
          <w:p w:rsidR="00910074" w:rsidRPr="00A81F12" w:rsidRDefault="00910074" w:rsidP="00910074">
            <w:pPr>
              <w:jc w:val="right"/>
              <w:rPr>
                <w:rFonts w:eastAsia="Times New Roman" w:cs="Times New Roman"/>
                <w:b/>
                <w:bCs/>
                <w:lang w:eastAsia="cs-CZ"/>
              </w:rPr>
            </w:pPr>
            <w:r w:rsidRPr="00A81F12">
              <w:rPr>
                <w:rFonts w:eastAsia="Times New Roman" w:cs="Times New Roman"/>
                <w:b/>
                <w:bCs/>
                <w:lang w:eastAsia="cs-CZ"/>
              </w:rPr>
              <w:t>4 000</w:t>
            </w:r>
          </w:p>
        </w:tc>
        <w:tc>
          <w:tcPr>
            <w:tcW w:w="703" w:type="pct"/>
            <w:tcBorders>
              <w:top w:val="single" w:sz="8" w:space="0" w:color="7F7F7F" w:themeColor="text1" w:themeTint="80"/>
              <w:bottom w:val="single" w:sz="8" w:space="0" w:color="7F7F7F" w:themeColor="text1" w:themeTint="80"/>
            </w:tcBorders>
            <w:shd w:val="clear" w:color="auto" w:fill="auto"/>
          </w:tcPr>
          <w:p w:rsidR="00910074" w:rsidRPr="00A81F12" w:rsidRDefault="00910074" w:rsidP="00910074">
            <w:pPr>
              <w:jc w:val="right"/>
              <w:rPr>
                <w:rFonts w:eastAsia="Times New Roman" w:cs="Times New Roman"/>
                <w:b/>
                <w:bCs/>
                <w:lang w:eastAsia="cs-CZ"/>
              </w:rPr>
            </w:pPr>
            <w:r w:rsidRPr="00A81F12">
              <w:rPr>
                <w:rFonts w:eastAsia="Times New Roman" w:cs="Times New Roman"/>
                <w:b/>
                <w:bCs/>
                <w:lang w:eastAsia="cs-CZ"/>
              </w:rPr>
              <w:t>400 000</w:t>
            </w:r>
          </w:p>
        </w:tc>
        <w:tc>
          <w:tcPr>
            <w:tcW w:w="547" w:type="pct"/>
            <w:tcBorders>
              <w:top w:val="single" w:sz="8" w:space="0" w:color="7F7F7F" w:themeColor="text1" w:themeTint="80"/>
              <w:bottom w:val="single" w:sz="8" w:space="0" w:color="7F7F7F" w:themeColor="text1" w:themeTint="80"/>
            </w:tcBorders>
            <w:shd w:val="clear" w:color="auto" w:fill="auto"/>
          </w:tcPr>
          <w:p w:rsidR="00910074" w:rsidRPr="00A81F12" w:rsidRDefault="00910074" w:rsidP="00910074">
            <w:pPr>
              <w:jc w:val="right"/>
              <w:rPr>
                <w:rFonts w:eastAsia="Times New Roman" w:cs="Times New Roman"/>
                <w:b/>
                <w:bCs/>
                <w:lang w:eastAsia="cs-CZ"/>
              </w:rPr>
            </w:pPr>
            <w:r>
              <w:rPr>
                <w:rFonts w:eastAsia="Times New Roman" w:cs="Times New Roman"/>
                <w:b/>
                <w:bCs/>
                <w:lang w:eastAsia="cs-CZ"/>
              </w:rPr>
              <w:t>5</w:t>
            </w:r>
            <w:r w:rsidRPr="00A81F12">
              <w:rPr>
                <w:rFonts w:eastAsia="Times New Roman" w:cs="Times New Roman"/>
                <w:b/>
                <w:bCs/>
                <w:lang w:eastAsia="cs-CZ"/>
              </w:rPr>
              <w:t xml:space="preserve"> 000</w:t>
            </w:r>
          </w:p>
        </w:tc>
        <w:tc>
          <w:tcPr>
            <w:tcW w:w="703" w:type="pct"/>
            <w:tcBorders>
              <w:top w:val="single" w:sz="8" w:space="0" w:color="7F7F7F" w:themeColor="text1" w:themeTint="80"/>
              <w:bottom w:val="single" w:sz="8" w:space="0" w:color="7F7F7F" w:themeColor="text1" w:themeTint="80"/>
            </w:tcBorders>
            <w:shd w:val="clear" w:color="auto" w:fill="auto"/>
          </w:tcPr>
          <w:p w:rsidR="00910074" w:rsidRPr="00A81F12" w:rsidRDefault="00910074" w:rsidP="00910074">
            <w:pPr>
              <w:jc w:val="right"/>
              <w:rPr>
                <w:rFonts w:eastAsia="Times New Roman" w:cs="Times New Roman"/>
                <w:b/>
                <w:bCs/>
                <w:lang w:eastAsia="cs-CZ"/>
              </w:rPr>
            </w:pPr>
            <w:r>
              <w:rPr>
                <w:rFonts w:eastAsia="Times New Roman" w:cs="Times New Roman"/>
                <w:b/>
                <w:bCs/>
                <w:lang w:eastAsia="cs-CZ"/>
              </w:rPr>
              <w:t>2 626 621</w:t>
            </w:r>
          </w:p>
        </w:tc>
      </w:tr>
    </w:tbl>
    <w:p w:rsidR="00910074" w:rsidRPr="00303956" w:rsidRDefault="00910074" w:rsidP="00910074">
      <w:pPr>
        <w:spacing w:before="120" w:after="80" w:line="240" w:lineRule="auto"/>
        <w:rPr>
          <w:rFonts w:eastAsia="Times New Roman" w:cs="Times New Roman"/>
          <w:szCs w:val="24"/>
          <w:u w:val="single"/>
          <w:lang w:eastAsia="cs-CZ"/>
        </w:rPr>
      </w:pPr>
      <w:r w:rsidRPr="00303956">
        <w:rPr>
          <w:rFonts w:eastAsia="Times New Roman" w:cs="Times New Roman"/>
          <w:szCs w:val="24"/>
          <w:u w:val="single"/>
          <w:lang w:eastAsia="cs-CZ"/>
        </w:rPr>
        <w:t>Čísla a názvy programů:</w:t>
      </w:r>
    </w:p>
    <w:p w:rsidR="00910074" w:rsidRPr="00303956" w:rsidRDefault="00910074" w:rsidP="00910074">
      <w:pPr>
        <w:numPr>
          <w:ilvl w:val="0"/>
          <w:numId w:val="10"/>
        </w:numPr>
        <w:tabs>
          <w:tab w:val="num" w:pos="709"/>
          <w:tab w:val="num" w:pos="851"/>
        </w:tabs>
        <w:spacing w:before="40" w:line="240" w:lineRule="auto"/>
        <w:ind w:left="567" w:hanging="283"/>
        <w:rPr>
          <w:rFonts w:eastAsia="Times New Roman" w:cs="Times New Roman"/>
          <w:szCs w:val="24"/>
          <w:lang w:eastAsia="cs-CZ"/>
        </w:rPr>
      </w:pPr>
      <w:r w:rsidRPr="00303956">
        <w:rPr>
          <w:rFonts w:eastAsia="Times New Roman" w:cs="Times New Roman"/>
          <w:szCs w:val="24"/>
          <w:lang w:eastAsia="cs-CZ"/>
        </w:rPr>
        <w:t>127 65 „Pořízení a modernizace železničních kolejových vozidel“</w:t>
      </w:r>
    </w:p>
    <w:p w:rsidR="00910074" w:rsidRPr="00303956" w:rsidRDefault="00910074" w:rsidP="00910074">
      <w:pPr>
        <w:numPr>
          <w:ilvl w:val="0"/>
          <w:numId w:val="10"/>
        </w:numPr>
        <w:spacing w:before="40" w:line="240" w:lineRule="auto"/>
        <w:ind w:left="567" w:hanging="283"/>
        <w:rPr>
          <w:rFonts w:eastAsia="Times New Roman" w:cs="Times New Roman"/>
          <w:szCs w:val="24"/>
          <w:lang w:eastAsia="cs-CZ"/>
        </w:rPr>
      </w:pPr>
      <w:r w:rsidRPr="00303956">
        <w:rPr>
          <w:rFonts w:eastAsia="Times New Roman" w:cs="Times New Roman"/>
          <w:szCs w:val="24"/>
          <w:lang w:eastAsia="cs-CZ"/>
        </w:rPr>
        <w:t>127 66 „Podpora obnovy historických železničních kolejových vozidel v období 2017-</w:t>
      </w:r>
      <w:r w:rsidRPr="00303956">
        <w:rPr>
          <w:rFonts w:eastAsia="Times New Roman" w:cs="Times New Roman"/>
          <w:szCs w:val="24"/>
          <w:lang w:eastAsia="cs-CZ"/>
        </w:rPr>
        <w:br/>
      </w:r>
      <w:r w:rsidRPr="00303956">
        <w:rPr>
          <w:rFonts w:eastAsia="Times New Roman" w:cs="Times New Roman"/>
          <w:szCs w:val="24"/>
          <w:lang w:eastAsia="cs-CZ"/>
        </w:rPr>
        <w:tab/>
        <w:t xml:space="preserve">            2020“</w:t>
      </w:r>
    </w:p>
    <w:p w:rsidR="00910074" w:rsidRPr="00303956" w:rsidRDefault="00910074" w:rsidP="00910074">
      <w:pPr>
        <w:numPr>
          <w:ilvl w:val="0"/>
          <w:numId w:val="10"/>
        </w:numPr>
        <w:spacing w:before="40" w:line="240" w:lineRule="auto"/>
        <w:ind w:hanging="148"/>
        <w:rPr>
          <w:rFonts w:eastAsia="Times New Roman" w:cs="Times New Roman"/>
          <w:szCs w:val="24"/>
          <w:lang w:eastAsia="cs-CZ"/>
        </w:rPr>
      </w:pPr>
      <w:r w:rsidRPr="00303956">
        <w:rPr>
          <w:rFonts w:eastAsia="Times New Roman" w:cs="Times New Roman"/>
          <w:szCs w:val="24"/>
          <w:lang w:eastAsia="cs-CZ"/>
        </w:rPr>
        <w:t xml:space="preserve">  127 67 „Podpora obnovy historických železničních kolejových vozidel v období 2021-</w:t>
      </w:r>
    </w:p>
    <w:p w:rsidR="00910074" w:rsidRPr="00303956" w:rsidRDefault="00910074" w:rsidP="00910074">
      <w:pPr>
        <w:spacing w:before="40" w:line="240" w:lineRule="auto"/>
        <w:rPr>
          <w:rFonts w:eastAsia="Times New Roman" w:cs="Times New Roman"/>
          <w:szCs w:val="24"/>
          <w:lang w:eastAsia="cs-CZ"/>
        </w:rPr>
      </w:pPr>
      <w:r w:rsidRPr="00303956">
        <w:rPr>
          <w:rFonts w:eastAsia="Times New Roman" w:cs="Times New Roman"/>
          <w:szCs w:val="24"/>
          <w:lang w:eastAsia="cs-CZ"/>
        </w:rPr>
        <w:tab/>
        <w:t xml:space="preserve">            2024“</w:t>
      </w:r>
    </w:p>
    <w:p w:rsidR="00910074" w:rsidRPr="00303956" w:rsidRDefault="00910074" w:rsidP="00910074">
      <w:pPr>
        <w:numPr>
          <w:ilvl w:val="0"/>
          <w:numId w:val="10"/>
        </w:numPr>
        <w:tabs>
          <w:tab w:val="num" w:pos="851"/>
          <w:tab w:val="num" w:pos="1134"/>
        </w:tabs>
        <w:spacing w:before="40" w:line="240" w:lineRule="auto"/>
        <w:ind w:left="567" w:hanging="283"/>
        <w:rPr>
          <w:rFonts w:eastAsia="Times New Roman" w:cs="Times New Roman"/>
          <w:szCs w:val="24"/>
          <w:lang w:eastAsia="cs-CZ"/>
        </w:rPr>
      </w:pPr>
      <w:r w:rsidRPr="00303956">
        <w:rPr>
          <w:rFonts w:eastAsia="Times New Roman" w:cs="Times New Roman"/>
          <w:szCs w:val="24"/>
          <w:lang w:eastAsia="cs-CZ"/>
        </w:rPr>
        <w:t>127 77 „Podpora financování dopravy“</w:t>
      </w:r>
    </w:p>
    <w:p w:rsidR="00910074" w:rsidRDefault="00910074" w:rsidP="00E447C1">
      <w:pPr>
        <w:pStyle w:val="Styl1"/>
      </w:pPr>
      <w:r w:rsidRPr="00303956">
        <w:t xml:space="preserve">V rámci programu </w:t>
      </w:r>
      <w:r w:rsidRPr="00303956">
        <w:rPr>
          <w:b/>
        </w:rPr>
        <w:t>127 65 „Pořízení a modernizace železničních kolejových vozidel“</w:t>
      </w:r>
      <w:r w:rsidRPr="00303956">
        <w:t xml:space="preserve"> jsou na rok 2021 nárokovány investiční prostředky EU ve výši </w:t>
      </w:r>
      <w:r w:rsidRPr="00303956">
        <w:rPr>
          <w:b/>
        </w:rPr>
        <w:t>1 162 910 tis. Kč</w:t>
      </w:r>
      <w:r w:rsidRPr="00303956">
        <w:t>. Prostředky  budou použity v</w:t>
      </w:r>
      <w:r w:rsidR="00700F7E">
        <w:t xml:space="preserve"> rámci specifického cíle 1.5 – V</w:t>
      </w:r>
      <w:r w:rsidRPr="00303956">
        <w:t>ytvoření podmínek pro širší využití  železniční a vodní dopravy prostřednictvím modernizace dopravního parku (Operační program Doprava 2014-2020).</w:t>
      </w:r>
    </w:p>
    <w:p w:rsidR="00910074" w:rsidRPr="00303956" w:rsidRDefault="00910074" w:rsidP="00E447C1">
      <w:pPr>
        <w:pStyle w:val="Styl1"/>
      </w:pPr>
      <w:r w:rsidRPr="00303956">
        <w:t xml:space="preserve">Pro rok 2021 je navržena účast státu na úhradu běžných výdajů programu </w:t>
      </w:r>
      <w:r w:rsidRPr="00303956">
        <w:rPr>
          <w:b/>
        </w:rPr>
        <w:t>127 67 „Podpora obnovy historických železničních kolejových vozidel v období 2021-2024“</w:t>
      </w:r>
      <w:r w:rsidR="00E447C1">
        <w:t xml:space="preserve"> </w:t>
      </w:r>
      <w:r w:rsidRPr="00303956">
        <w:t xml:space="preserve">ve výši </w:t>
      </w:r>
      <w:r w:rsidR="00E447C1">
        <w:br/>
      </w:r>
      <w:r w:rsidRPr="00303956">
        <w:rPr>
          <w:b/>
        </w:rPr>
        <w:t>5 000 tis. Kč</w:t>
      </w:r>
      <w:r w:rsidRPr="00303956">
        <w:t xml:space="preserve">. Prostředky budou použity formou neinvestiční dotace na financování obnovy historických železničních kolejových vozidel.   </w:t>
      </w:r>
    </w:p>
    <w:p w:rsidR="00910074" w:rsidRPr="00303956" w:rsidRDefault="00910074" w:rsidP="00E447C1">
      <w:pPr>
        <w:pStyle w:val="Styl1"/>
      </w:pPr>
      <w:r w:rsidRPr="00303956">
        <w:t xml:space="preserve">V rámci programu </w:t>
      </w:r>
      <w:r w:rsidRPr="00303956">
        <w:rPr>
          <w:b/>
        </w:rPr>
        <w:t>127 77 „Podpora financování dopravy“</w:t>
      </w:r>
      <w:r w:rsidRPr="00303956">
        <w:t xml:space="preserve"> jsou ve prospěch rozvoje čisté mobility v ČR nárokovány investiční prostředky EU ve výši </w:t>
      </w:r>
      <w:r w:rsidRPr="00303956">
        <w:rPr>
          <w:b/>
        </w:rPr>
        <w:t>900 000 tis. Kč</w:t>
      </w:r>
      <w:r w:rsidRPr="00303956">
        <w:t>, které budou použity v</w:t>
      </w:r>
      <w:r w:rsidR="00700F7E">
        <w:t> rámci specifického cíle 2.2 – V</w:t>
      </w:r>
      <w:r w:rsidRPr="00303956">
        <w:t>ytvoření podmínek pro širší využití vozidel                        na alternativní pohon na silniční síti (Operační program Doprava 2014-2020).</w:t>
      </w:r>
    </w:p>
    <w:p w:rsidR="00910074" w:rsidRPr="00303956" w:rsidRDefault="00910074" w:rsidP="00E447C1">
      <w:pPr>
        <w:pStyle w:val="Styl1"/>
      </w:pPr>
      <w:r w:rsidRPr="00303956">
        <w:t xml:space="preserve">V rámci programu </w:t>
      </w:r>
      <w:r w:rsidRPr="00303956">
        <w:rPr>
          <w:b/>
        </w:rPr>
        <w:t>127 77 „Podpora financování dopravy“</w:t>
      </w:r>
      <w:r w:rsidRPr="00303956">
        <w:t xml:space="preserve"> jsou ve prospěch interoperability v železniční dopravě nárokovány investiční prostředky EU ve výši  </w:t>
      </w:r>
      <w:r w:rsidRPr="00303956">
        <w:rPr>
          <w:b/>
        </w:rPr>
        <w:t>433 108 tis. Kč</w:t>
      </w:r>
      <w:r w:rsidRPr="00303956">
        <w:t>, které budou použity v</w:t>
      </w:r>
      <w:r w:rsidR="00D52DFD">
        <w:t xml:space="preserve"> rámci specifického cíle 1.5 - V</w:t>
      </w:r>
      <w:r w:rsidRPr="00303956">
        <w:t>ytvoření podmínek pro širší využití železniční a vodní dopravy prostřednictvím modernizace dopravního parku (Operační program Doprava 2014-2020).</w:t>
      </w:r>
    </w:p>
    <w:p w:rsidR="00910074" w:rsidRDefault="00910074" w:rsidP="00E447C1">
      <w:pPr>
        <w:pStyle w:val="Styl1"/>
        <w:rPr>
          <w:bCs/>
          <w:smallCaps/>
        </w:rPr>
      </w:pPr>
      <w:r w:rsidRPr="00303956">
        <w:t xml:space="preserve">V rámci programu </w:t>
      </w:r>
      <w:r w:rsidRPr="00303956">
        <w:rPr>
          <w:b/>
        </w:rPr>
        <w:t>127 77 „Podpora financování dopravy“</w:t>
      </w:r>
      <w:r w:rsidRPr="00303956">
        <w:t xml:space="preserve"> jsou na modernizaci plavidel vnitrozemské vodní dopravy nárokovány investiční prostředky EU ve výši </w:t>
      </w:r>
      <w:r w:rsidRPr="00303956">
        <w:rPr>
          <w:b/>
        </w:rPr>
        <w:t>88 103 tis. Kč</w:t>
      </w:r>
      <w:r w:rsidRPr="00303956">
        <w:t>, které budou použity v rámci specifického cíle 1.5 - Vytvoření podmínek pro širší využití železniční a vodní dopravy prostřednictvím modernizace dopravního parku (Operační program Doprava 2014-2020).</w:t>
      </w:r>
      <w:r w:rsidRPr="00303956">
        <w:rPr>
          <w:bCs/>
          <w:smallCaps/>
        </w:rPr>
        <w:t xml:space="preserve"> </w:t>
      </w:r>
    </w:p>
    <w:p w:rsidR="00910074" w:rsidRPr="00303956" w:rsidRDefault="00910074" w:rsidP="00E447C1">
      <w:pPr>
        <w:pStyle w:val="Styl1"/>
        <w:rPr>
          <w:bCs/>
          <w:smallCaps/>
        </w:rPr>
      </w:pPr>
      <w:r w:rsidRPr="00833BA8">
        <w:lastRenderedPageBreak/>
        <w:t xml:space="preserve">V rámci programu </w:t>
      </w:r>
      <w:r w:rsidRPr="00833BA8">
        <w:rPr>
          <w:b/>
        </w:rPr>
        <w:t xml:space="preserve">127 77 „Podpora financování dopravy“ </w:t>
      </w:r>
      <w:r w:rsidRPr="00833BA8">
        <w:t xml:space="preserve">jsou nárokovány investiční prostředky ve výši </w:t>
      </w:r>
      <w:r w:rsidRPr="00F36EC5">
        <w:rPr>
          <w:b/>
        </w:rPr>
        <w:t>42 500 tis. Kč</w:t>
      </w:r>
      <w:r w:rsidRPr="00833BA8">
        <w:t>, které budou použity v rámci projektu C-ROADS (CEF-Nástroj pro propojení Evropy 2014+), kte</w:t>
      </w:r>
      <w:r>
        <w:t xml:space="preserve">rý si klade za cíl harmonizaci </w:t>
      </w:r>
      <w:r w:rsidRPr="00833BA8">
        <w:t>a spolupráci při zavádění systému C-ITS ve státech střední Evropy</w:t>
      </w:r>
      <w:r>
        <w:t>.</w:t>
      </w:r>
    </w:p>
    <w:p w:rsidR="00A36B40" w:rsidRPr="00E24034" w:rsidRDefault="00A36B40" w:rsidP="00910074">
      <w:pPr>
        <w:pStyle w:val="Nadpis3"/>
      </w:pPr>
      <w:bookmarkStart w:id="104" w:name="_Toc53750583"/>
      <w:r w:rsidRPr="00E24034">
        <w:t>Státní fondy</w:t>
      </w:r>
      <w:bookmarkEnd w:id="80"/>
      <w:bookmarkEnd w:id="81"/>
      <w:bookmarkEnd w:id="104"/>
    </w:p>
    <w:p w:rsidR="00910074" w:rsidRPr="00A62356" w:rsidRDefault="00910074" w:rsidP="00910074">
      <w:pPr>
        <w:pStyle w:val="Styl1"/>
      </w:pPr>
      <w:r w:rsidRPr="00A62356">
        <w:t xml:space="preserve">Výdaje vedené v EDS/SMVS u Státního fondu dopravní infrastruktury jsou pro rozpočtový rok 2021 navrženy ve výši </w:t>
      </w:r>
      <w:r w:rsidRPr="00A62356">
        <w:rPr>
          <w:b/>
        </w:rPr>
        <w:t>95 439 156 tis. Kč.</w:t>
      </w:r>
      <w:r w:rsidRPr="00A62356">
        <w:t xml:space="preserve"> Druhové členění vykazuje následující tabulka.      </w:t>
      </w:r>
    </w:p>
    <w:p w:rsidR="00910074" w:rsidRPr="00A62356" w:rsidRDefault="00910074" w:rsidP="00910074">
      <w:pPr>
        <w:keepNext/>
        <w:spacing w:before="120" w:after="120" w:line="240" w:lineRule="auto"/>
        <w:rPr>
          <w:rFonts w:eastAsia="Times New Roman" w:cs="Times New Roman"/>
          <w:b/>
          <w:bCs/>
          <w:sz w:val="20"/>
          <w:szCs w:val="20"/>
          <w:lang w:eastAsia="cs-CZ"/>
        </w:rPr>
      </w:pPr>
      <w:r w:rsidRPr="00A62356">
        <w:rPr>
          <w:rFonts w:eastAsia="Times New Roman" w:cs="Times New Roman"/>
          <w:b/>
          <w:bCs/>
          <w:sz w:val="20"/>
          <w:szCs w:val="20"/>
          <w:lang w:eastAsia="cs-CZ"/>
        </w:rPr>
        <w:t xml:space="preserve">Tabulka č. </w:t>
      </w:r>
      <w:r w:rsidRPr="00A62356">
        <w:rPr>
          <w:rFonts w:eastAsia="Times New Roman" w:cs="Times New Roman"/>
          <w:b/>
          <w:bCs/>
          <w:noProof/>
          <w:sz w:val="20"/>
          <w:szCs w:val="20"/>
          <w:lang w:eastAsia="cs-CZ"/>
        </w:rPr>
        <w:fldChar w:fldCharType="begin"/>
      </w:r>
      <w:r w:rsidRPr="00A62356">
        <w:rPr>
          <w:rFonts w:eastAsia="Times New Roman" w:cs="Times New Roman"/>
          <w:b/>
          <w:bCs/>
          <w:noProof/>
          <w:sz w:val="20"/>
          <w:szCs w:val="20"/>
          <w:lang w:eastAsia="cs-CZ"/>
        </w:rPr>
        <w:instrText xml:space="preserve"> SEQ Tabulka \* ARABIC </w:instrText>
      </w:r>
      <w:r w:rsidRPr="00A62356">
        <w:rPr>
          <w:rFonts w:eastAsia="Times New Roman" w:cs="Times New Roman"/>
          <w:b/>
          <w:bCs/>
          <w:noProof/>
          <w:sz w:val="20"/>
          <w:szCs w:val="20"/>
          <w:lang w:eastAsia="cs-CZ"/>
        </w:rPr>
        <w:fldChar w:fldCharType="separate"/>
      </w:r>
      <w:r w:rsidR="006076E7">
        <w:rPr>
          <w:rFonts w:eastAsia="Times New Roman" w:cs="Times New Roman"/>
          <w:b/>
          <w:bCs/>
          <w:noProof/>
          <w:sz w:val="20"/>
          <w:szCs w:val="20"/>
          <w:lang w:eastAsia="cs-CZ"/>
        </w:rPr>
        <w:t>41</w:t>
      </w:r>
      <w:r w:rsidRPr="00A62356">
        <w:rPr>
          <w:rFonts w:eastAsia="Times New Roman" w:cs="Times New Roman"/>
          <w:b/>
          <w:bCs/>
          <w:noProof/>
          <w:sz w:val="20"/>
          <w:szCs w:val="20"/>
          <w:lang w:eastAsia="cs-CZ"/>
        </w:rPr>
        <w:fldChar w:fldCharType="end"/>
      </w:r>
      <w:r w:rsidRPr="00A62356">
        <w:rPr>
          <w:rFonts w:eastAsia="Times New Roman" w:cs="Times New Roman"/>
          <w:b/>
          <w:bCs/>
          <w:noProof/>
          <w:sz w:val="20"/>
          <w:szCs w:val="20"/>
          <w:lang w:eastAsia="cs-CZ"/>
        </w:rPr>
        <w:t xml:space="preserve"> Výdaje státních fondů vedených v EDS/SMVS (v tis. Kč)</w:t>
      </w:r>
    </w:p>
    <w:tbl>
      <w:tblPr>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3828"/>
        <w:gridCol w:w="1396"/>
        <w:gridCol w:w="1398"/>
        <w:gridCol w:w="1396"/>
        <w:gridCol w:w="1038"/>
      </w:tblGrid>
      <w:tr w:rsidR="00910074" w:rsidRPr="00913500" w:rsidTr="00910074">
        <w:tc>
          <w:tcPr>
            <w:tcW w:w="2113" w:type="pct"/>
            <w:tcBorders>
              <w:top w:val="single" w:sz="8" w:space="0" w:color="7F7F7F" w:themeColor="text1" w:themeTint="80"/>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910074" w:rsidRPr="00913500" w:rsidRDefault="00910074" w:rsidP="00910074">
            <w:pPr>
              <w:spacing w:line="240" w:lineRule="auto"/>
              <w:jc w:val="center"/>
              <w:rPr>
                <w:rFonts w:eastAsia="Times New Roman" w:cs="Times New Roman"/>
                <w:b/>
                <w:lang w:eastAsia="cs-CZ"/>
              </w:rPr>
            </w:pPr>
            <w:r w:rsidRPr="00913500">
              <w:rPr>
                <w:rFonts w:eastAsia="Times New Roman" w:cs="Times New Roman"/>
                <w:b/>
                <w:lang w:eastAsia="cs-CZ"/>
              </w:rPr>
              <w:t>Ukazatel</w:t>
            </w:r>
          </w:p>
        </w:tc>
        <w:tc>
          <w:tcPr>
            <w:tcW w:w="771"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rsidR="00910074" w:rsidRPr="00913500" w:rsidRDefault="00910074" w:rsidP="00910074">
            <w:pPr>
              <w:spacing w:line="240" w:lineRule="auto"/>
              <w:jc w:val="center"/>
              <w:rPr>
                <w:rFonts w:eastAsia="Times New Roman" w:cs="Times New Roman"/>
                <w:b/>
                <w:lang w:eastAsia="cs-CZ"/>
              </w:rPr>
            </w:pPr>
            <w:r w:rsidRPr="00913500">
              <w:rPr>
                <w:rFonts w:eastAsia="Times New Roman" w:cs="Times New Roman"/>
                <w:b/>
                <w:lang w:eastAsia="cs-CZ"/>
              </w:rPr>
              <w:t>Skutečnost</w:t>
            </w:r>
          </w:p>
          <w:p w:rsidR="00910074" w:rsidRPr="00913500" w:rsidRDefault="00910074" w:rsidP="00910074">
            <w:pPr>
              <w:spacing w:line="240" w:lineRule="auto"/>
              <w:jc w:val="center"/>
              <w:rPr>
                <w:rFonts w:eastAsia="Times New Roman" w:cs="Times New Roman"/>
                <w:b/>
                <w:vertAlign w:val="superscript"/>
                <w:lang w:eastAsia="cs-CZ"/>
              </w:rPr>
            </w:pPr>
            <w:r w:rsidRPr="00913500">
              <w:rPr>
                <w:rFonts w:eastAsia="Times New Roman" w:cs="Times New Roman"/>
                <w:b/>
                <w:lang w:eastAsia="cs-CZ"/>
              </w:rPr>
              <w:t>2019</w:t>
            </w:r>
          </w:p>
        </w:tc>
        <w:tc>
          <w:tcPr>
            <w:tcW w:w="772"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rsidR="00910074" w:rsidRPr="00913500" w:rsidRDefault="00910074" w:rsidP="00910074">
            <w:pPr>
              <w:spacing w:line="240" w:lineRule="auto"/>
              <w:jc w:val="center"/>
              <w:rPr>
                <w:rFonts w:eastAsia="Times New Roman" w:cs="Times New Roman"/>
                <w:b/>
                <w:lang w:eastAsia="cs-CZ"/>
              </w:rPr>
            </w:pPr>
            <w:r w:rsidRPr="00913500">
              <w:rPr>
                <w:rFonts w:eastAsia="Times New Roman" w:cs="Times New Roman"/>
                <w:b/>
                <w:lang w:eastAsia="cs-CZ"/>
              </w:rPr>
              <w:t>Schválený rozpočet</w:t>
            </w:r>
          </w:p>
          <w:p w:rsidR="00910074" w:rsidRPr="00913500" w:rsidRDefault="00910074" w:rsidP="00910074">
            <w:pPr>
              <w:spacing w:line="240" w:lineRule="auto"/>
              <w:jc w:val="center"/>
              <w:rPr>
                <w:rFonts w:eastAsia="Times New Roman" w:cs="Times New Roman"/>
                <w:b/>
                <w:lang w:eastAsia="cs-CZ"/>
              </w:rPr>
            </w:pPr>
            <w:r w:rsidRPr="00913500">
              <w:rPr>
                <w:rFonts w:eastAsia="Times New Roman" w:cs="Times New Roman"/>
                <w:b/>
                <w:lang w:eastAsia="cs-CZ"/>
              </w:rPr>
              <w:t>2020</w:t>
            </w:r>
          </w:p>
        </w:tc>
        <w:tc>
          <w:tcPr>
            <w:tcW w:w="771"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rsidR="00910074" w:rsidRPr="00913500" w:rsidRDefault="00910074" w:rsidP="00910074">
            <w:pPr>
              <w:spacing w:line="240" w:lineRule="auto"/>
              <w:jc w:val="center"/>
              <w:rPr>
                <w:rFonts w:eastAsia="Times New Roman" w:cs="Times New Roman"/>
                <w:b/>
                <w:lang w:eastAsia="cs-CZ"/>
              </w:rPr>
            </w:pPr>
            <w:r w:rsidRPr="00913500">
              <w:rPr>
                <w:rFonts w:eastAsia="Times New Roman" w:cs="Times New Roman"/>
                <w:b/>
                <w:lang w:eastAsia="cs-CZ"/>
              </w:rPr>
              <w:t>Návrh</w:t>
            </w:r>
          </w:p>
          <w:p w:rsidR="00910074" w:rsidRPr="00913500" w:rsidRDefault="00910074" w:rsidP="00910074">
            <w:pPr>
              <w:spacing w:line="240" w:lineRule="auto"/>
              <w:jc w:val="center"/>
              <w:rPr>
                <w:rFonts w:eastAsia="Times New Roman" w:cs="Times New Roman"/>
                <w:b/>
                <w:lang w:eastAsia="cs-CZ"/>
              </w:rPr>
            </w:pPr>
            <w:r w:rsidRPr="00913500">
              <w:rPr>
                <w:rFonts w:eastAsia="Times New Roman" w:cs="Times New Roman"/>
                <w:b/>
                <w:lang w:eastAsia="cs-CZ"/>
              </w:rPr>
              <w:t>rozpočtu</w:t>
            </w:r>
          </w:p>
          <w:p w:rsidR="00910074" w:rsidRPr="00913500" w:rsidRDefault="00910074" w:rsidP="00910074">
            <w:pPr>
              <w:spacing w:line="240" w:lineRule="auto"/>
              <w:jc w:val="center"/>
              <w:rPr>
                <w:rFonts w:eastAsia="Times New Roman" w:cs="Times New Roman"/>
                <w:b/>
                <w:lang w:eastAsia="cs-CZ"/>
              </w:rPr>
            </w:pPr>
            <w:r w:rsidRPr="00913500">
              <w:rPr>
                <w:rFonts w:eastAsia="Times New Roman" w:cs="Times New Roman"/>
                <w:b/>
                <w:lang w:eastAsia="cs-CZ"/>
              </w:rPr>
              <w:t>2021</w:t>
            </w:r>
          </w:p>
        </w:tc>
        <w:tc>
          <w:tcPr>
            <w:tcW w:w="573"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rsidR="00910074" w:rsidRPr="00913500" w:rsidRDefault="00910074" w:rsidP="00910074">
            <w:pPr>
              <w:spacing w:line="240" w:lineRule="auto"/>
              <w:jc w:val="center"/>
              <w:rPr>
                <w:rFonts w:eastAsia="Times New Roman" w:cs="Times New Roman"/>
                <w:b/>
                <w:lang w:eastAsia="cs-CZ"/>
              </w:rPr>
            </w:pPr>
            <w:r w:rsidRPr="00913500">
              <w:rPr>
                <w:rFonts w:eastAsia="Times New Roman" w:cs="Times New Roman"/>
                <w:b/>
                <w:lang w:eastAsia="cs-CZ"/>
              </w:rPr>
              <w:t>Index</w:t>
            </w:r>
          </w:p>
          <w:p w:rsidR="00910074" w:rsidRPr="00913500" w:rsidRDefault="00910074" w:rsidP="00910074">
            <w:pPr>
              <w:spacing w:line="240" w:lineRule="auto"/>
              <w:jc w:val="center"/>
              <w:rPr>
                <w:rFonts w:eastAsia="Times New Roman" w:cs="Times New Roman"/>
                <w:b/>
                <w:lang w:eastAsia="cs-CZ"/>
              </w:rPr>
            </w:pPr>
            <w:r w:rsidRPr="00913500">
              <w:rPr>
                <w:rFonts w:eastAsia="Times New Roman" w:cs="Times New Roman"/>
                <w:b/>
                <w:lang w:eastAsia="cs-CZ"/>
              </w:rPr>
              <w:t>2021/</w:t>
            </w:r>
            <w:r w:rsidRPr="00913500">
              <w:rPr>
                <w:rFonts w:eastAsia="Times New Roman" w:cs="Times New Roman"/>
                <w:b/>
                <w:lang w:eastAsia="cs-CZ"/>
              </w:rPr>
              <w:br/>
              <w:t>2020</w:t>
            </w:r>
          </w:p>
          <w:p w:rsidR="00910074" w:rsidRPr="00913500" w:rsidRDefault="00910074" w:rsidP="00910074">
            <w:pPr>
              <w:spacing w:line="240" w:lineRule="auto"/>
              <w:jc w:val="center"/>
              <w:rPr>
                <w:rFonts w:eastAsia="Times New Roman" w:cs="Times New Roman"/>
                <w:b/>
                <w:lang w:eastAsia="cs-CZ"/>
              </w:rPr>
            </w:pPr>
            <w:r w:rsidRPr="00913500">
              <w:rPr>
                <w:rFonts w:eastAsia="Times New Roman" w:cs="Times New Roman"/>
                <w:b/>
                <w:lang w:eastAsia="cs-CZ"/>
              </w:rPr>
              <w:t>(v %)</w:t>
            </w:r>
          </w:p>
        </w:tc>
      </w:tr>
      <w:tr w:rsidR="00910074" w:rsidRPr="00913500" w:rsidTr="00910074">
        <w:trPr>
          <w:trHeight w:val="202"/>
        </w:trPr>
        <w:tc>
          <w:tcPr>
            <w:tcW w:w="2113" w:type="pct"/>
            <w:tcBorders>
              <w:top w:val="single" w:sz="4" w:space="0" w:color="7F7F7F" w:themeColor="text1" w:themeTint="80"/>
              <w:bottom w:val="single" w:sz="8" w:space="0" w:color="7F7F7F" w:themeColor="text1" w:themeTint="80"/>
            </w:tcBorders>
          </w:tcPr>
          <w:p w:rsidR="00910074" w:rsidRPr="00913500" w:rsidRDefault="00910074" w:rsidP="00910074">
            <w:pPr>
              <w:spacing w:line="240" w:lineRule="auto"/>
              <w:jc w:val="center"/>
              <w:rPr>
                <w:rFonts w:eastAsia="Times New Roman" w:cs="Times New Roman"/>
                <w:lang w:eastAsia="cs-CZ"/>
              </w:rPr>
            </w:pPr>
            <w:r w:rsidRPr="00913500">
              <w:rPr>
                <w:rFonts w:eastAsia="Times New Roman" w:cs="Times New Roman"/>
                <w:lang w:eastAsia="cs-CZ"/>
              </w:rPr>
              <w:t>a</w:t>
            </w:r>
          </w:p>
        </w:tc>
        <w:tc>
          <w:tcPr>
            <w:tcW w:w="771" w:type="pct"/>
            <w:tcBorders>
              <w:top w:val="single" w:sz="4" w:space="0" w:color="7F7F7F" w:themeColor="text1" w:themeTint="80"/>
              <w:bottom w:val="single" w:sz="8" w:space="0" w:color="7F7F7F" w:themeColor="text1" w:themeTint="80"/>
            </w:tcBorders>
          </w:tcPr>
          <w:p w:rsidR="00910074" w:rsidRPr="00913500" w:rsidRDefault="00910074" w:rsidP="00910074">
            <w:pPr>
              <w:spacing w:line="240" w:lineRule="auto"/>
              <w:jc w:val="center"/>
              <w:rPr>
                <w:rFonts w:eastAsia="Times New Roman" w:cs="Times New Roman"/>
                <w:lang w:eastAsia="cs-CZ"/>
              </w:rPr>
            </w:pPr>
            <w:r w:rsidRPr="00913500">
              <w:rPr>
                <w:rFonts w:eastAsia="Times New Roman" w:cs="Times New Roman"/>
                <w:lang w:eastAsia="cs-CZ"/>
              </w:rPr>
              <w:t>1</w:t>
            </w:r>
          </w:p>
        </w:tc>
        <w:tc>
          <w:tcPr>
            <w:tcW w:w="772" w:type="pct"/>
            <w:tcBorders>
              <w:top w:val="single" w:sz="4" w:space="0" w:color="7F7F7F" w:themeColor="text1" w:themeTint="80"/>
              <w:bottom w:val="single" w:sz="8" w:space="0" w:color="7F7F7F" w:themeColor="text1" w:themeTint="80"/>
            </w:tcBorders>
          </w:tcPr>
          <w:p w:rsidR="00910074" w:rsidRPr="00913500" w:rsidRDefault="00910074" w:rsidP="00910074">
            <w:pPr>
              <w:spacing w:line="240" w:lineRule="auto"/>
              <w:jc w:val="center"/>
              <w:rPr>
                <w:rFonts w:eastAsia="Times New Roman" w:cs="Times New Roman"/>
                <w:lang w:eastAsia="cs-CZ"/>
              </w:rPr>
            </w:pPr>
            <w:r w:rsidRPr="00913500">
              <w:rPr>
                <w:rFonts w:eastAsia="Times New Roman" w:cs="Times New Roman"/>
                <w:lang w:eastAsia="cs-CZ"/>
              </w:rPr>
              <w:t>2</w:t>
            </w:r>
          </w:p>
        </w:tc>
        <w:tc>
          <w:tcPr>
            <w:tcW w:w="771" w:type="pct"/>
            <w:tcBorders>
              <w:top w:val="single" w:sz="4" w:space="0" w:color="7F7F7F" w:themeColor="text1" w:themeTint="80"/>
              <w:bottom w:val="single" w:sz="8" w:space="0" w:color="7F7F7F" w:themeColor="text1" w:themeTint="80"/>
            </w:tcBorders>
          </w:tcPr>
          <w:p w:rsidR="00910074" w:rsidRPr="00913500" w:rsidRDefault="00910074" w:rsidP="00910074">
            <w:pPr>
              <w:spacing w:line="240" w:lineRule="auto"/>
              <w:jc w:val="center"/>
              <w:rPr>
                <w:rFonts w:eastAsia="Times New Roman" w:cs="Times New Roman"/>
                <w:lang w:eastAsia="cs-CZ"/>
              </w:rPr>
            </w:pPr>
            <w:r w:rsidRPr="00913500">
              <w:rPr>
                <w:rFonts w:eastAsia="Times New Roman" w:cs="Times New Roman"/>
                <w:lang w:eastAsia="cs-CZ"/>
              </w:rPr>
              <w:t>3</w:t>
            </w:r>
          </w:p>
        </w:tc>
        <w:tc>
          <w:tcPr>
            <w:tcW w:w="573" w:type="pct"/>
            <w:tcBorders>
              <w:top w:val="single" w:sz="4" w:space="0" w:color="7F7F7F" w:themeColor="text1" w:themeTint="80"/>
              <w:bottom w:val="single" w:sz="8" w:space="0" w:color="7F7F7F" w:themeColor="text1" w:themeTint="80"/>
            </w:tcBorders>
          </w:tcPr>
          <w:p w:rsidR="00910074" w:rsidRPr="00913500" w:rsidRDefault="00910074" w:rsidP="00910074">
            <w:pPr>
              <w:spacing w:line="240" w:lineRule="auto"/>
              <w:jc w:val="center"/>
              <w:rPr>
                <w:rFonts w:eastAsia="Times New Roman" w:cs="Times New Roman"/>
                <w:lang w:eastAsia="cs-CZ"/>
              </w:rPr>
            </w:pPr>
            <w:r w:rsidRPr="00913500">
              <w:rPr>
                <w:rFonts w:eastAsia="Times New Roman" w:cs="Times New Roman"/>
                <w:lang w:eastAsia="cs-CZ"/>
              </w:rPr>
              <w:t>4</w:t>
            </w:r>
          </w:p>
        </w:tc>
      </w:tr>
      <w:tr w:rsidR="00910074" w:rsidRPr="00913500" w:rsidTr="00910074">
        <w:tc>
          <w:tcPr>
            <w:tcW w:w="2113" w:type="pct"/>
            <w:tcBorders>
              <w:top w:val="single" w:sz="8" w:space="0" w:color="7F7F7F" w:themeColor="text1" w:themeTint="80"/>
              <w:bottom w:val="single" w:sz="8" w:space="0" w:color="7F7F7F" w:themeColor="text1" w:themeTint="80"/>
            </w:tcBorders>
          </w:tcPr>
          <w:p w:rsidR="00910074" w:rsidRPr="00913500" w:rsidRDefault="00910074" w:rsidP="00910074">
            <w:pPr>
              <w:spacing w:line="240" w:lineRule="auto"/>
              <w:rPr>
                <w:rFonts w:eastAsia="Times New Roman" w:cs="Times New Roman"/>
                <w:lang w:eastAsia="cs-CZ"/>
              </w:rPr>
            </w:pPr>
            <w:r w:rsidRPr="00913500">
              <w:rPr>
                <w:rFonts w:eastAsia="Times New Roman" w:cs="Times New Roman"/>
                <w:b/>
                <w:lang w:eastAsia="cs-CZ"/>
              </w:rPr>
              <w:t xml:space="preserve">Státní fondy </w:t>
            </w:r>
            <w:r w:rsidRPr="00913500">
              <w:rPr>
                <w:rFonts w:eastAsia="Times New Roman" w:cs="Times New Roman"/>
                <w:lang w:eastAsia="cs-CZ"/>
              </w:rPr>
              <w:t>v tom:</w:t>
            </w:r>
          </w:p>
        </w:tc>
        <w:tc>
          <w:tcPr>
            <w:tcW w:w="771" w:type="pct"/>
            <w:tcBorders>
              <w:top w:val="single" w:sz="2" w:space="0" w:color="auto"/>
              <w:left w:val="single" w:sz="2" w:space="0" w:color="auto"/>
              <w:bottom w:val="single" w:sz="2" w:space="0" w:color="auto"/>
              <w:right w:val="single" w:sz="2" w:space="0" w:color="auto"/>
            </w:tcBorders>
          </w:tcPr>
          <w:p w:rsidR="00910074" w:rsidRPr="00913500" w:rsidRDefault="00910074" w:rsidP="00910074">
            <w:pPr>
              <w:jc w:val="right"/>
              <w:rPr>
                <w:rFonts w:cs="Times New Roman"/>
                <w:b/>
              </w:rPr>
            </w:pPr>
            <w:r w:rsidRPr="00913500">
              <w:rPr>
                <w:rFonts w:cs="Times New Roman"/>
                <w:b/>
                <w:bCs/>
              </w:rPr>
              <w:t>44 745 161</w:t>
            </w:r>
          </w:p>
        </w:tc>
        <w:tc>
          <w:tcPr>
            <w:tcW w:w="772" w:type="pct"/>
            <w:tcBorders>
              <w:top w:val="single" w:sz="2" w:space="0" w:color="auto"/>
              <w:left w:val="single" w:sz="2" w:space="0" w:color="auto"/>
              <w:bottom w:val="single" w:sz="2" w:space="0" w:color="auto"/>
              <w:right w:val="single" w:sz="2" w:space="0" w:color="auto"/>
            </w:tcBorders>
          </w:tcPr>
          <w:p w:rsidR="00910074" w:rsidRPr="00913500" w:rsidRDefault="00910074" w:rsidP="00910074">
            <w:pPr>
              <w:jc w:val="right"/>
              <w:rPr>
                <w:rFonts w:cs="Times New Roman"/>
                <w:b/>
              </w:rPr>
            </w:pPr>
            <w:r w:rsidRPr="00913500">
              <w:rPr>
                <w:rFonts w:cs="Times New Roman"/>
                <w:b/>
              </w:rPr>
              <w:t>74 283 171</w:t>
            </w:r>
          </w:p>
        </w:tc>
        <w:tc>
          <w:tcPr>
            <w:tcW w:w="771" w:type="pct"/>
            <w:tcBorders>
              <w:top w:val="single" w:sz="5" w:space="0" w:color="7F7F7F" w:themeColor="text1" w:themeTint="80"/>
              <w:bottom w:val="single" w:sz="5" w:space="0" w:color="7F7F7F" w:themeColor="text1" w:themeTint="80"/>
            </w:tcBorders>
          </w:tcPr>
          <w:p w:rsidR="00910074" w:rsidRPr="00913500" w:rsidRDefault="00910074" w:rsidP="00910074">
            <w:pPr>
              <w:spacing w:line="240" w:lineRule="auto"/>
              <w:jc w:val="right"/>
              <w:rPr>
                <w:rFonts w:eastAsia="Times New Roman" w:cs="Times New Roman"/>
                <w:b/>
                <w:lang w:eastAsia="cs-CZ"/>
              </w:rPr>
            </w:pPr>
            <w:r w:rsidRPr="00913500">
              <w:rPr>
                <w:rFonts w:eastAsia="Times New Roman" w:cs="Times New Roman"/>
                <w:b/>
                <w:lang w:eastAsia="cs-CZ"/>
              </w:rPr>
              <w:t xml:space="preserve">95 439 156 </w:t>
            </w:r>
          </w:p>
        </w:tc>
        <w:tc>
          <w:tcPr>
            <w:tcW w:w="573" w:type="pct"/>
            <w:tcBorders>
              <w:top w:val="single" w:sz="5" w:space="0" w:color="7F7F7F" w:themeColor="text1" w:themeTint="80"/>
              <w:bottom w:val="single" w:sz="5" w:space="0" w:color="7F7F7F" w:themeColor="text1" w:themeTint="80"/>
            </w:tcBorders>
          </w:tcPr>
          <w:p w:rsidR="00910074" w:rsidRPr="00913500" w:rsidRDefault="00910074" w:rsidP="00910074">
            <w:pPr>
              <w:spacing w:line="240" w:lineRule="auto"/>
              <w:jc w:val="right"/>
              <w:rPr>
                <w:rFonts w:eastAsia="Times New Roman" w:cs="Times New Roman"/>
                <w:b/>
                <w:lang w:eastAsia="cs-CZ"/>
              </w:rPr>
            </w:pPr>
            <w:r w:rsidRPr="00913500">
              <w:rPr>
                <w:rFonts w:eastAsia="Times New Roman" w:cs="Times New Roman"/>
                <w:b/>
                <w:lang w:eastAsia="cs-CZ"/>
              </w:rPr>
              <w:t>128,48</w:t>
            </w:r>
          </w:p>
        </w:tc>
      </w:tr>
      <w:tr w:rsidR="00910074" w:rsidRPr="00913500" w:rsidTr="00910074">
        <w:tc>
          <w:tcPr>
            <w:tcW w:w="2113" w:type="pct"/>
            <w:tcBorders>
              <w:top w:val="single" w:sz="8" w:space="0" w:color="7F7F7F" w:themeColor="text1" w:themeTint="80"/>
              <w:bottom w:val="nil"/>
            </w:tcBorders>
          </w:tcPr>
          <w:p w:rsidR="00910074" w:rsidRPr="00913500" w:rsidRDefault="00910074" w:rsidP="00910074">
            <w:pPr>
              <w:spacing w:line="240" w:lineRule="auto"/>
              <w:rPr>
                <w:rFonts w:eastAsia="Times New Roman" w:cs="Times New Roman"/>
                <w:lang w:eastAsia="cs-CZ"/>
              </w:rPr>
            </w:pPr>
            <w:r w:rsidRPr="00913500">
              <w:rPr>
                <w:rFonts w:eastAsia="Times New Roman" w:cs="Times New Roman"/>
                <w:lang w:eastAsia="cs-CZ"/>
              </w:rPr>
              <w:t>běžné výdaje celkem v tom:</w:t>
            </w:r>
          </w:p>
        </w:tc>
        <w:tc>
          <w:tcPr>
            <w:tcW w:w="771" w:type="pct"/>
            <w:tcBorders>
              <w:top w:val="single" w:sz="8" w:space="0" w:color="7F7F7F" w:themeColor="text1" w:themeTint="80"/>
              <w:bottom w:val="nil"/>
            </w:tcBorders>
          </w:tcPr>
          <w:p w:rsidR="00910074" w:rsidRPr="00913500" w:rsidRDefault="00910074" w:rsidP="00910074">
            <w:pPr>
              <w:jc w:val="right"/>
              <w:rPr>
                <w:rFonts w:eastAsia="Times New Roman" w:cs="Times New Roman"/>
                <w:vertAlign w:val="superscript"/>
                <w:lang w:eastAsia="cs-CZ"/>
              </w:rPr>
            </w:pPr>
            <w:r w:rsidRPr="00913500">
              <w:rPr>
                <w:rFonts w:eastAsia="Times New Roman" w:cs="Times New Roman"/>
                <w:lang w:eastAsia="cs-CZ"/>
              </w:rPr>
              <w:t>2 237</w:t>
            </w:r>
          </w:p>
        </w:tc>
        <w:tc>
          <w:tcPr>
            <w:tcW w:w="772" w:type="pct"/>
            <w:tcBorders>
              <w:top w:val="single" w:sz="8" w:space="0" w:color="7F7F7F" w:themeColor="text1" w:themeTint="80"/>
              <w:bottom w:val="nil"/>
            </w:tcBorders>
          </w:tcPr>
          <w:p w:rsidR="00910074" w:rsidRPr="00913500" w:rsidRDefault="00910074" w:rsidP="00910074">
            <w:pPr>
              <w:jc w:val="right"/>
              <w:rPr>
                <w:rFonts w:eastAsia="Times New Roman" w:cs="Times New Roman"/>
                <w:lang w:eastAsia="cs-CZ"/>
              </w:rPr>
            </w:pPr>
            <w:r w:rsidRPr="00913500">
              <w:rPr>
                <w:rFonts w:eastAsia="Times New Roman" w:cs="Times New Roman"/>
                <w:lang w:eastAsia="cs-CZ"/>
              </w:rPr>
              <w:t>14 426 304</w:t>
            </w:r>
          </w:p>
        </w:tc>
        <w:tc>
          <w:tcPr>
            <w:tcW w:w="771" w:type="pct"/>
            <w:tcBorders>
              <w:top w:val="single" w:sz="5" w:space="0" w:color="7F7F7F" w:themeColor="text1" w:themeTint="80"/>
              <w:bottom w:val="nil"/>
            </w:tcBorders>
          </w:tcPr>
          <w:p w:rsidR="00910074" w:rsidRPr="00913500" w:rsidRDefault="00910074" w:rsidP="00910074">
            <w:pPr>
              <w:spacing w:line="240" w:lineRule="auto"/>
              <w:jc w:val="right"/>
              <w:rPr>
                <w:rFonts w:eastAsia="Times New Roman" w:cs="Times New Roman"/>
                <w:lang w:eastAsia="cs-CZ"/>
              </w:rPr>
            </w:pPr>
            <w:r w:rsidRPr="00913500">
              <w:rPr>
                <w:rFonts w:eastAsia="Times New Roman" w:cs="Times New Roman"/>
                <w:lang w:eastAsia="cs-CZ"/>
              </w:rPr>
              <w:t>15 000 452</w:t>
            </w:r>
          </w:p>
        </w:tc>
        <w:tc>
          <w:tcPr>
            <w:tcW w:w="573" w:type="pct"/>
            <w:tcBorders>
              <w:top w:val="single" w:sz="5" w:space="0" w:color="7F7F7F" w:themeColor="text1" w:themeTint="80"/>
              <w:bottom w:val="nil"/>
            </w:tcBorders>
          </w:tcPr>
          <w:p w:rsidR="00910074" w:rsidRPr="00913500" w:rsidRDefault="00910074" w:rsidP="00910074">
            <w:pPr>
              <w:spacing w:line="240" w:lineRule="auto"/>
              <w:jc w:val="right"/>
              <w:rPr>
                <w:rFonts w:eastAsia="Times New Roman" w:cs="Times New Roman"/>
                <w:lang w:eastAsia="cs-CZ"/>
              </w:rPr>
            </w:pPr>
            <w:r w:rsidRPr="00913500">
              <w:rPr>
                <w:rFonts w:eastAsia="Times New Roman" w:cs="Times New Roman"/>
                <w:lang w:eastAsia="cs-CZ"/>
              </w:rPr>
              <w:t>103,98</w:t>
            </w:r>
          </w:p>
        </w:tc>
      </w:tr>
      <w:tr w:rsidR="00910074" w:rsidRPr="00913500" w:rsidTr="00910074">
        <w:tc>
          <w:tcPr>
            <w:tcW w:w="2113" w:type="pct"/>
            <w:tcBorders>
              <w:top w:val="nil"/>
              <w:bottom w:val="nil"/>
            </w:tcBorders>
          </w:tcPr>
          <w:p w:rsidR="00910074" w:rsidRPr="00913500" w:rsidRDefault="00910074" w:rsidP="00910074">
            <w:pPr>
              <w:spacing w:line="240" w:lineRule="auto"/>
              <w:rPr>
                <w:rFonts w:eastAsia="Times New Roman" w:cs="Times New Roman"/>
                <w:i/>
                <w:lang w:eastAsia="cs-CZ"/>
              </w:rPr>
            </w:pPr>
            <w:r w:rsidRPr="00913500">
              <w:rPr>
                <w:rFonts w:eastAsia="Times New Roman" w:cs="Times New Roman"/>
                <w:i/>
                <w:lang w:eastAsia="cs-CZ"/>
              </w:rPr>
              <w:t xml:space="preserve">      prostředky SR</w:t>
            </w:r>
          </w:p>
        </w:tc>
        <w:tc>
          <w:tcPr>
            <w:tcW w:w="771" w:type="pct"/>
            <w:tcBorders>
              <w:top w:val="nil"/>
              <w:bottom w:val="nil"/>
            </w:tcBorders>
          </w:tcPr>
          <w:p w:rsidR="00910074" w:rsidRPr="00913500" w:rsidRDefault="00910074" w:rsidP="00910074">
            <w:pPr>
              <w:jc w:val="right"/>
              <w:rPr>
                <w:rFonts w:eastAsia="Times New Roman" w:cs="Times New Roman"/>
                <w:i/>
                <w:lang w:eastAsia="cs-CZ"/>
              </w:rPr>
            </w:pPr>
            <w:r w:rsidRPr="00913500">
              <w:rPr>
                <w:rFonts w:eastAsia="Times New Roman" w:cs="Times New Roman"/>
                <w:i/>
                <w:lang w:eastAsia="cs-CZ"/>
              </w:rPr>
              <w:t>0</w:t>
            </w:r>
          </w:p>
        </w:tc>
        <w:tc>
          <w:tcPr>
            <w:tcW w:w="772" w:type="pct"/>
            <w:tcBorders>
              <w:top w:val="nil"/>
              <w:bottom w:val="nil"/>
            </w:tcBorders>
          </w:tcPr>
          <w:p w:rsidR="00910074" w:rsidRPr="00913500" w:rsidRDefault="00910074" w:rsidP="00910074">
            <w:pPr>
              <w:jc w:val="right"/>
              <w:rPr>
                <w:rFonts w:eastAsia="Times New Roman" w:cs="Times New Roman"/>
                <w:i/>
                <w:lang w:eastAsia="cs-CZ"/>
              </w:rPr>
            </w:pPr>
            <w:r w:rsidRPr="00913500">
              <w:rPr>
                <w:rFonts w:eastAsia="Times New Roman" w:cs="Times New Roman"/>
                <w:i/>
                <w:lang w:eastAsia="cs-CZ"/>
              </w:rPr>
              <w:t>14 425 330</w:t>
            </w:r>
          </w:p>
        </w:tc>
        <w:tc>
          <w:tcPr>
            <w:tcW w:w="771" w:type="pct"/>
            <w:tcBorders>
              <w:top w:val="nil"/>
              <w:bottom w:val="nil"/>
            </w:tcBorders>
          </w:tcPr>
          <w:p w:rsidR="00910074" w:rsidRPr="00913500" w:rsidRDefault="00910074" w:rsidP="00910074">
            <w:pPr>
              <w:spacing w:line="240" w:lineRule="auto"/>
              <w:jc w:val="right"/>
              <w:rPr>
                <w:rFonts w:eastAsia="Times New Roman" w:cs="Times New Roman"/>
                <w:i/>
                <w:lang w:eastAsia="cs-CZ"/>
              </w:rPr>
            </w:pPr>
            <w:r w:rsidRPr="00913500">
              <w:rPr>
                <w:rFonts w:eastAsia="Times New Roman" w:cs="Times New Roman"/>
                <w:i/>
                <w:lang w:eastAsia="cs-CZ"/>
              </w:rPr>
              <w:t>15 000 000</w:t>
            </w:r>
          </w:p>
        </w:tc>
        <w:tc>
          <w:tcPr>
            <w:tcW w:w="573" w:type="pct"/>
            <w:tcBorders>
              <w:top w:val="nil"/>
              <w:bottom w:val="nil"/>
            </w:tcBorders>
          </w:tcPr>
          <w:p w:rsidR="00910074" w:rsidRPr="00913500" w:rsidRDefault="00910074" w:rsidP="00910074">
            <w:pPr>
              <w:spacing w:line="240" w:lineRule="auto"/>
              <w:jc w:val="right"/>
              <w:rPr>
                <w:rFonts w:eastAsia="Times New Roman" w:cs="Times New Roman"/>
                <w:i/>
                <w:lang w:eastAsia="cs-CZ"/>
              </w:rPr>
            </w:pPr>
            <w:r w:rsidRPr="00913500">
              <w:rPr>
                <w:rFonts w:eastAsia="Times New Roman" w:cs="Times New Roman"/>
                <w:i/>
                <w:lang w:eastAsia="cs-CZ"/>
              </w:rPr>
              <w:t>103,98</w:t>
            </w:r>
          </w:p>
        </w:tc>
      </w:tr>
      <w:tr w:rsidR="00910074" w:rsidRPr="00913500" w:rsidTr="00910074">
        <w:trPr>
          <w:trHeight w:val="176"/>
        </w:trPr>
        <w:tc>
          <w:tcPr>
            <w:tcW w:w="2113" w:type="pct"/>
            <w:tcBorders>
              <w:top w:val="nil"/>
            </w:tcBorders>
          </w:tcPr>
          <w:p w:rsidR="00910074" w:rsidRPr="00913500" w:rsidRDefault="00910074" w:rsidP="00910074">
            <w:pPr>
              <w:spacing w:line="240" w:lineRule="auto"/>
              <w:rPr>
                <w:rFonts w:eastAsia="Times New Roman" w:cs="Times New Roman"/>
                <w:i/>
                <w:lang w:eastAsia="cs-CZ"/>
              </w:rPr>
            </w:pPr>
            <w:r w:rsidRPr="00913500">
              <w:rPr>
                <w:rFonts w:eastAsia="Times New Roman" w:cs="Times New Roman"/>
                <w:i/>
                <w:lang w:eastAsia="cs-CZ"/>
              </w:rPr>
              <w:t xml:space="preserve">      prostředky z fondů EU</w:t>
            </w:r>
          </w:p>
        </w:tc>
        <w:tc>
          <w:tcPr>
            <w:tcW w:w="771" w:type="pct"/>
            <w:tcBorders>
              <w:top w:val="nil"/>
            </w:tcBorders>
          </w:tcPr>
          <w:p w:rsidR="00910074" w:rsidRPr="00913500" w:rsidRDefault="00910074" w:rsidP="00910074">
            <w:pPr>
              <w:jc w:val="right"/>
              <w:rPr>
                <w:rFonts w:eastAsia="Times New Roman" w:cs="Times New Roman"/>
                <w:i/>
                <w:lang w:eastAsia="cs-CZ"/>
              </w:rPr>
            </w:pPr>
            <w:r w:rsidRPr="00913500">
              <w:rPr>
                <w:rFonts w:eastAsia="Times New Roman" w:cs="Times New Roman"/>
                <w:i/>
                <w:lang w:eastAsia="cs-CZ"/>
              </w:rPr>
              <w:t>2 237</w:t>
            </w:r>
          </w:p>
        </w:tc>
        <w:tc>
          <w:tcPr>
            <w:tcW w:w="772" w:type="pct"/>
            <w:tcBorders>
              <w:top w:val="nil"/>
            </w:tcBorders>
          </w:tcPr>
          <w:p w:rsidR="00910074" w:rsidRPr="00913500" w:rsidRDefault="00910074" w:rsidP="00910074">
            <w:pPr>
              <w:jc w:val="right"/>
              <w:rPr>
                <w:rFonts w:eastAsia="Times New Roman" w:cs="Times New Roman"/>
                <w:i/>
                <w:lang w:eastAsia="cs-CZ"/>
              </w:rPr>
            </w:pPr>
            <w:r w:rsidRPr="00913500">
              <w:rPr>
                <w:rFonts w:eastAsia="Times New Roman" w:cs="Times New Roman"/>
                <w:i/>
                <w:lang w:eastAsia="cs-CZ"/>
              </w:rPr>
              <w:t>974</w:t>
            </w:r>
          </w:p>
        </w:tc>
        <w:tc>
          <w:tcPr>
            <w:tcW w:w="771" w:type="pct"/>
            <w:tcBorders>
              <w:top w:val="nil"/>
            </w:tcBorders>
          </w:tcPr>
          <w:p w:rsidR="00910074" w:rsidRPr="00913500" w:rsidRDefault="00910074" w:rsidP="00910074">
            <w:pPr>
              <w:spacing w:line="240" w:lineRule="auto"/>
              <w:jc w:val="right"/>
              <w:rPr>
                <w:rFonts w:eastAsia="Times New Roman" w:cs="Times New Roman"/>
                <w:i/>
                <w:lang w:eastAsia="cs-CZ"/>
              </w:rPr>
            </w:pPr>
            <w:r w:rsidRPr="00913500">
              <w:rPr>
                <w:rFonts w:eastAsia="Times New Roman" w:cs="Times New Roman"/>
                <w:i/>
                <w:lang w:eastAsia="cs-CZ"/>
              </w:rPr>
              <w:t>452</w:t>
            </w:r>
          </w:p>
        </w:tc>
        <w:tc>
          <w:tcPr>
            <w:tcW w:w="573" w:type="pct"/>
            <w:tcBorders>
              <w:top w:val="nil"/>
            </w:tcBorders>
          </w:tcPr>
          <w:p w:rsidR="00910074" w:rsidRPr="00913500" w:rsidRDefault="00910074" w:rsidP="00910074">
            <w:pPr>
              <w:spacing w:line="240" w:lineRule="auto"/>
              <w:jc w:val="right"/>
              <w:rPr>
                <w:rFonts w:eastAsia="Times New Roman" w:cs="Times New Roman"/>
                <w:i/>
                <w:lang w:eastAsia="cs-CZ"/>
              </w:rPr>
            </w:pPr>
            <w:r w:rsidRPr="00913500">
              <w:rPr>
                <w:rFonts w:eastAsia="Times New Roman" w:cs="Times New Roman"/>
                <w:i/>
                <w:lang w:eastAsia="cs-CZ"/>
              </w:rPr>
              <w:t>46,41</w:t>
            </w:r>
          </w:p>
        </w:tc>
      </w:tr>
      <w:tr w:rsidR="00910074" w:rsidRPr="00913500" w:rsidTr="00910074">
        <w:tc>
          <w:tcPr>
            <w:tcW w:w="2113" w:type="pct"/>
            <w:tcBorders>
              <w:bottom w:val="nil"/>
            </w:tcBorders>
          </w:tcPr>
          <w:p w:rsidR="00910074" w:rsidRPr="00913500" w:rsidRDefault="00910074" w:rsidP="00910074">
            <w:pPr>
              <w:spacing w:line="240" w:lineRule="auto"/>
              <w:rPr>
                <w:rFonts w:eastAsia="Times New Roman" w:cs="Times New Roman"/>
                <w:lang w:eastAsia="cs-CZ"/>
              </w:rPr>
            </w:pPr>
            <w:r w:rsidRPr="00913500">
              <w:rPr>
                <w:rFonts w:eastAsia="Times New Roman" w:cs="Times New Roman"/>
                <w:lang w:eastAsia="cs-CZ"/>
              </w:rPr>
              <w:t>kapitálové výdaje celkem v tom:</w:t>
            </w:r>
          </w:p>
        </w:tc>
        <w:tc>
          <w:tcPr>
            <w:tcW w:w="771" w:type="pct"/>
            <w:tcBorders>
              <w:bottom w:val="nil"/>
            </w:tcBorders>
          </w:tcPr>
          <w:p w:rsidR="00910074" w:rsidRPr="00913500" w:rsidRDefault="00910074" w:rsidP="00910074">
            <w:pPr>
              <w:jc w:val="right"/>
              <w:rPr>
                <w:rFonts w:eastAsia="Times New Roman" w:cs="Times New Roman"/>
                <w:lang w:eastAsia="cs-CZ"/>
              </w:rPr>
            </w:pPr>
            <w:r w:rsidRPr="00913500">
              <w:rPr>
                <w:rFonts w:eastAsia="Times New Roman" w:cs="Times New Roman"/>
                <w:lang w:eastAsia="cs-CZ"/>
              </w:rPr>
              <w:t>44 742 923</w:t>
            </w:r>
          </w:p>
        </w:tc>
        <w:tc>
          <w:tcPr>
            <w:tcW w:w="772" w:type="pct"/>
            <w:tcBorders>
              <w:top w:val="single" w:sz="4" w:space="0" w:color="7F7F7F" w:themeColor="text1" w:themeTint="80"/>
              <w:left w:val="single" w:sz="4" w:space="0" w:color="auto"/>
              <w:bottom w:val="nil"/>
              <w:right w:val="single" w:sz="4" w:space="0" w:color="auto"/>
            </w:tcBorders>
          </w:tcPr>
          <w:p w:rsidR="00910074" w:rsidRPr="00913500" w:rsidRDefault="00910074" w:rsidP="00910074">
            <w:pPr>
              <w:jc w:val="right"/>
              <w:rPr>
                <w:rFonts w:cs="Times New Roman"/>
              </w:rPr>
            </w:pPr>
            <w:r w:rsidRPr="00913500">
              <w:rPr>
                <w:rFonts w:cs="Times New Roman"/>
              </w:rPr>
              <w:t>59 856 867</w:t>
            </w:r>
          </w:p>
        </w:tc>
        <w:tc>
          <w:tcPr>
            <w:tcW w:w="771" w:type="pct"/>
            <w:tcBorders>
              <w:top w:val="single" w:sz="2" w:space="0" w:color="7F7F7F" w:themeColor="text1" w:themeTint="80"/>
              <w:left w:val="single" w:sz="2" w:space="0" w:color="auto"/>
              <w:bottom w:val="nil"/>
              <w:right w:val="single" w:sz="2" w:space="0" w:color="auto"/>
            </w:tcBorders>
          </w:tcPr>
          <w:p w:rsidR="00910074" w:rsidRPr="00913500" w:rsidRDefault="00910074" w:rsidP="00910074">
            <w:pPr>
              <w:jc w:val="right"/>
              <w:rPr>
                <w:rFonts w:cs="Times New Roman"/>
              </w:rPr>
            </w:pPr>
            <w:r w:rsidRPr="00913500">
              <w:rPr>
                <w:rFonts w:eastAsia="Times New Roman" w:cs="Times New Roman"/>
                <w:lang w:eastAsia="cs-CZ"/>
              </w:rPr>
              <w:t>80 438 703</w:t>
            </w:r>
          </w:p>
        </w:tc>
        <w:tc>
          <w:tcPr>
            <w:tcW w:w="573" w:type="pct"/>
            <w:tcBorders>
              <w:bottom w:val="nil"/>
            </w:tcBorders>
          </w:tcPr>
          <w:p w:rsidR="00910074" w:rsidRPr="00913500" w:rsidRDefault="00910074" w:rsidP="00910074">
            <w:pPr>
              <w:spacing w:line="240" w:lineRule="auto"/>
              <w:jc w:val="right"/>
              <w:rPr>
                <w:rFonts w:eastAsia="Times New Roman" w:cs="Times New Roman"/>
                <w:lang w:eastAsia="cs-CZ"/>
              </w:rPr>
            </w:pPr>
            <w:r w:rsidRPr="00913500">
              <w:rPr>
                <w:rFonts w:eastAsia="Times New Roman" w:cs="Times New Roman"/>
                <w:lang w:eastAsia="cs-CZ"/>
              </w:rPr>
              <w:t>134,39</w:t>
            </w:r>
          </w:p>
        </w:tc>
      </w:tr>
      <w:tr w:rsidR="00910074" w:rsidRPr="00913500" w:rsidTr="00910074">
        <w:tc>
          <w:tcPr>
            <w:tcW w:w="2113" w:type="pct"/>
            <w:tcBorders>
              <w:top w:val="nil"/>
              <w:bottom w:val="nil"/>
            </w:tcBorders>
          </w:tcPr>
          <w:p w:rsidR="00910074" w:rsidRPr="00913500" w:rsidRDefault="00910074" w:rsidP="00910074">
            <w:pPr>
              <w:spacing w:line="240" w:lineRule="auto"/>
              <w:rPr>
                <w:rFonts w:eastAsia="Times New Roman" w:cs="Times New Roman"/>
                <w:i/>
                <w:lang w:eastAsia="cs-CZ"/>
              </w:rPr>
            </w:pPr>
            <w:r w:rsidRPr="00913500">
              <w:rPr>
                <w:rFonts w:eastAsia="Times New Roman" w:cs="Times New Roman"/>
                <w:i/>
                <w:lang w:eastAsia="cs-CZ"/>
              </w:rPr>
              <w:t xml:space="preserve">      prostředky SR</w:t>
            </w:r>
          </w:p>
        </w:tc>
        <w:tc>
          <w:tcPr>
            <w:tcW w:w="771" w:type="pct"/>
            <w:tcBorders>
              <w:top w:val="nil"/>
              <w:bottom w:val="nil"/>
            </w:tcBorders>
          </w:tcPr>
          <w:p w:rsidR="00910074" w:rsidRPr="00913500" w:rsidRDefault="00910074" w:rsidP="00910074">
            <w:pPr>
              <w:jc w:val="right"/>
              <w:rPr>
                <w:rFonts w:eastAsia="Times New Roman" w:cs="Times New Roman"/>
                <w:i/>
                <w:lang w:eastAsia="cs-CZ"/>
              </w:rPr>
            </w:pPr>
            <w:r w:rsidRPr="00913500">
              <w:rPr>
                <w:rFonts w:eastAsia="Times New Roman" w:cs="Times New Roman"/>
                <w:i/>
                <w:lang w:eastAsia="cs-CZ"/>
              </w:rPr>
              <w:t>27 181 146</w:t>
            </w:r>
          </w:p>
        </w:tc>
        <w:tc>
          <w:tcPr>
            <w:tcW w:w="772" w:type="pct"/>
            <w:tcBorders>
              <w:top w:val="nil"/>
              <w:left w:val="single" w:sz="4" w:space="0" w:color="auto"/>
              <w:bottom w:val="nil"/>
              <w:right w:val="single" w:sz="4" w:space="0" w:color="auto"/>
            </w:tcBorders>
          </w:tcPr>
          <w:p w:rsidR="00910074" w:rsidRPr="00913500" w:rsidRDefault="00910074" w:rsidP="00910074">
            <w:pPr>
              <w:jc w:val="right"/>
              <w:rPr>
                <w:rFonts w:cs="Times New Roman"/>
                <w:i/>
              </w:rPr>
            </w:pPr>
            <w:r w:rsidRPr="00913500">
              <w:rPr>
                <w:rFonts w:cs="Times New Roman"/>
                <w:i/>
              </w:rPr>
              <w:t>46 896 001</w:t>
            </w:r>
          </w:p>
        </w:tc>
        <w:tc>
          <w:tcPr>
            <w:tcW w:w="771" w:type="pct"/>
            <w:tcBorders>
              <w:top w:val="nil"/>
              <w:left w:val="single" w:sz="2" w:space="0" w:color="auto"/>
              <w:bottom w:val="nil"/>
              <w:right w:val="single" w:sz="2" w:space="0" w:color="auto"/>
            </w:tcBorders>
          </w:tcPr>
          <w:p w:rsidR="00910074" w:rsidRPr="00913500" w:rsidRDefault="00910074" w:rsidP="00910074">
            <w:pPr>
              <w:jc w:val="right"/>
              <w:rPr>
                <w:rFonts w:cs="Times New Roman"/>
                <w:i/>
              </w:rPr>
            </w:pPr>
            <w:r w:rsidRPr="00913500">
              <w:rPr>
                <w:rFonts w:eastAsia="Times New Roman" w:cs="Times New Roman"/>
                <w:i/>
                <w:lang w:eastAsia="cs-CZ"/>
              </w:rPr>
              <w:t>43 525 000</w:t>
            </w:r>
          </w:p>
        </w:tc>
        <w:tc>
          <w:tcPr>
            <w:tcW w:w="573" w:type="pct"/>
            <w:tcBorders>
              <w:top w:val="nil"/>
              <w:bottom w:val="nil"/>
            </w:tcBorders>
          </w:tcPr>
          <w:p w:rsidR="00910074" w:rsidRPr="00913500" w:rsidRDefault="00910074" w:rsidP="00910074">
            <w:pPr>
              <w:spacing w:line="240" w:lineRule="auto"/>
              <w:jc w:val="right"/>
              <w:rPr>
                <w:rFonts w:eastAsia="Times New Roman" w:cs="Times New Roman"/>
                <w:i/>
                <w:lang w:eastAsia="cs-CZ"/>
              </w:rPr>
            </w:pPr>
            <w:r w:rsidRPr="00913500">
              <w:rPr>
                <w:rFonts w:eastAsia="Times New Roman" w:cs="Times New Roman"/>
                <w:i/>
                <w:lang w:eastAsia="cs-CZ"/>
              </w:rPr>
              <w:t>92,81</w:t>
            </w:r>
          </w:p>
        </w:tc>
      </w:tr>
      <w:tr w:rsidR="00910074" w:rsidRPr="00913500" w:rsidTr="00910074">
        <w:tc>
          <w:tcPr>
            <w:tcW w:w="2113" w:type="pct"/>
            <w:tcBorders>
              <w:top w:val="nil"/>
              <w:bottom w:val="single" w:sz="8" w:space="0" w:color="7F7F7F" w:themeColor="text1" w:themeTint="80"/>
            </w:tcBorders>
          </w:tcPr>
          <w:p w:rsidR="00910074" w:rsidRPr="00913500" w:rsidRDefault="00910074" w:rsidP="00910074">
            <w:pPr>
              <w:spacing w:line="240" w:lineRule="auto"/>
              <w:rPr>
                <w:rFonts w:eastAsia="Times New Roman" w:cs="Times New Roman"/>
                <w:i/>
                <w:lang w:eastAsia="cs-CZ"/>
              </w:rPr>
            </w:pPr>
            <w:r w:rsidRPr="00913500">
              <w:rPr>
                <w:rFonts w:eastAsia="Times New Roman" w:cs="Times New Roman"/>
                <w:i/>
                <w:lang w:eastAsia="cs-CZ"/>
              </w:rPr>
              <w:t xml:space="preserve">      prostředky z fondů EU</w:t>
            </w:r>
          </w:p>
        </w:tc>
        <w:tc>
          <w:tcPr>
            <w:tcW w:w="771" w:type="pct"/>
            <w:tcBorders>
              <w:top w:val="nil"/>
              <w:bottom w:val="single" w:sz="8" w:space="0" w:color="7F7F7F" w:themeColor="text1" w:themeTint="80"/>
            </w:tcBorders>
          </w:tcPr>
          <w:p w:rsidR="00910074" w:rsidRPr="00913500" w:rsidRDefault="00910074" w:rsidP="00910074">
            <w:pPr>
              <w:jc w:val="right"/>
              <w:rPr>
                <w:rFonts w:eastAsia="Times New Roman" w:cs="Times New Roman"/>
                <w:i/>
                <w:lang w:eastAsia="cs-CZ"/>
              </w:rPr>
            </w:pPr>
            <w:r w:rsidRPr="00913500">
              <w:rPr>
                <w:rFonts w:eastAsia="Times New Roman" w:cs="Times New Roman"/>
                <w:i/>
                <w:lang w:eastAsia="cs-CZ"/>
              </w:rPr>
              <w:t>17 561 777</w:t>
            </w:r>
          </w:p>
        </w:tc>
        <w:tc>
          <w:tcPr>
            <w:tcW w:w="772" w:type="pct"/>
            <w:tcBorders>
              <w:top w:val="nil"/>
              <w:left w:val="single" w:sz="4" w:space="0" w:color="auto"/>
              <w:bottom w:val="single" w:sz="8" w:space="0" w:color="7F7F7F" w:themeColor="text1" w:themeTint="80"/>
              <w:right w:val="single" w:sz="4" w:space="0" w:color="auto"/>
            </w:tcBorders>
          </w:tcPr>
          <w:p w:rsidR="00910074" w:rsidRPr="00913500" w:rsidRDefault="00910074" w:rsidP="00910074">
            <w:pPr>
              <w:jc w:val="right"/>
              <w:rPr>
                <w:rFonts w:cs="Times New Roman"/>
                <w:i/>
              </w:rPr>
            </w:pPr>
            <w:r w:rsidRPr="00913500">
              <w:rPr>
                <w:rFonts w:cs="Times New Roman"/>
                <w:i/>
              </w:rPr>
              <w:t>12 960 866</w:t>
            </w:r>
          </w:p>
        </w:tc>
        <w:tc>
          <w:tcPr>
            <w:tcW w:w="771" w:type="pct"/>
            <w:tcBorders>
              <w:top w:val="nil"/>
              <w:left w:val="single" w:sz="2" w:space="0" w:color="auto"/>
              <w:bottom w:val="single" w:sz="2" w:space="0" w:color="auto"/>
              <w:right w:val="single" w:sz="2" w:space="0" w:color="auto"/>
            </w:tcBorders>
          </w:tcPr>
          <w:p w:rsidR="00910074" w:rsidRPr="00913500" w:rsidRDefault="00910074" w:rsidP="00910074">
            <w:pPr>
              <w:jc w:val="right"/>
              <w:rPr>
                <w:rFonts w:cs="Times New Roman"/>
                <w:i/>
              </w:rPr>
            </w:pPr>
            <w:r w:rsidRPr="00913500">
              <w:rPr>
                <w:rFonts w:eastAsia="Times New Roman" w:cs="Times New Roman"/>
                <w:i/>
                <w:lang w:eastAsia="cs-CZ"/>
              </w:rPr>
              <w:t>36 913 703</w:t>
            </w:r>
          </w:p>
        </w:tc>
        <w:tc>
          <w:tcPr>
            <w:tcW w:w="573" w:type="pct"/>
            <w:tcBorders>
              <w:top w:val="nil"/>
            </w:tcBorders>
          </w:tcPr>
          <w:p w:rsidR="00910074" w:rsidRPr="00913500" w:rsidRDefault="00910074" w:rsidP="00910074">
            <w:pPr>
              <w:spacing w:line="240" w:lineRule="auto"/>
              <w:jc w:val="right"/>
              <w:rPr>
                <w:rFonts w:eastAsia="Times New Roman" w:cs="Times New Roman"/>
                <w:i/>
                <w:lang w:eastAsia="cs-CZ"/>
              </w:rPr>
            </w:pPr>
            <w:r w:rsidRPr="00913500">
              <w:rPr>
                <w:rFonts w:eastAsia="Times New Roman" w:cs="Times New Roman"/>
                <w:i/>
                <w:lang w:eastAsia="cs-CZ"/>
              </w:rPr>
              <w:t>284,81</w:t>
            </w:r>
          </w:p>
        </w:tc>
      </w:tr>
    </w:tbl>
    <w:p w:rsidR="00910074" w:rsidRPr="00913500" w:rsidRDefault="00910074" w:rsidP="00910074">
      <w:pPr>
        <w:pStyle w:val="Styl1"/>
      </w:pPr>
      <w:r w:rsidRPr="00913500">
        <w:t>V dalším textu je uváděn návrh rozpočtu výdajů na financování reprodukce majetku v členění na jednotlivé programy vedené v EDS/SMVS.</w:t>
      </w:r>
    </w:p>
    <w:p w:rsidR="00910074" w:rsidRDefault="00910074" w:rsidP="00910074">
      <w:pPr>
        <w:keepNext/>
        <w:spacing w:before="120" w:after="120" w:line="240" w:lineRule="auto"/>
        <w:rPr>
          <w:rFonts w:eastAsia="Times New Roman" w:cs="Times New Roman"/>
          <w:b/>
          <w:bCs/>
          <w:noProof/>
          <w:sz w:val="20"/>
          <w:szCs w:val="20"/>
          <w:lang w:eastAsia="cs-CZ"/>
        </w:rPr>
      </w:pPr>
      <w:r w:rsidRPr="00913500">
        <w:rPr>
          <w:rFonts w:eastAsia="Times New Roman" w:cs="Times New Roman"/>
          <w:b/>
          <w:bCs/>
          <w:sz w:val="20"/>
          <w:szCs w:val="20"/>
          <w:lang w:eastAsia="cs-CZ"/>
        </w:rPr>
        <w:t xml:space="preserve">Tabulka č. </w:t>
      </w:r>
      <w:r w:rsidRPr="00913500">
        <w:rPr>
          <w:rFonts w:eastAsia="Times New Roman" w:cs="Times New Roman"/>
          <w:b/>
          <w:bCs/>
          <w:noProof/>
          <w:sz w:val="20"/>
          <w:szCs w:val="20"/>
          <w:lang w:eastAsia="cs-CZ"/>
        </w:rPr>
        <w:fldChar w:fldCharType="begin"/>
      </w:r>
      <w:r w:rsidRPr="00913500">
        <w:rPr>
          <w:rFonts w:eastAsia="Times New Roman" w:cs="Times New Roman"/>
          <w:b/>
          <w:bCs/>
          <w:noProof/>
          <w:sz w:val="20"/>
          <w:szCs w:val="20"/>
          <w:lang w:eastAsia="cs-CZ"/>
        </w:rPr>
        <w:instrText xml:space="preserve"> SEQ Tabulka \* ARABIC </w:instrText>
      </w:r>
      <w:r w:rsidRPr="00913500">
        <w:rPr>
          <w:rFonts w:eastAsia="Times New Roman" w:cs="Times New Roman"/>
          <w:b/>
          <w:bCs/>
          <w:noProof/>
          <w:sz w:val="20"/>
          <w:szCs w:val="20"/>
          <w:lang w:eastAsia="cs-CZ"/>
        </w:rPr>
        <w:fldChar w:fldCharType="separate"/>
      </w:r>
      <w:r w:rsidR="006076E7">
        <w:rPr>
          <w:rFonts w:eastAsia="Times New Roman" w:cs="Times New Roman"/>
          <w:b/>
          <w:bCs/>
          <w:noProof/>
          <w:sz w:val="20"/>
          <w:szCs w:val="20"/>
          <w:lang w:eastAsia="cs-CZ"/>
        </w:rPr>
        <w:t>42</w:t>
      </w:r>
      <w:r w:rsidRPr="00913500">
        <w:rPr>
          <w:rFonts w:eastAsia="Times New Roman" w:cs="Times New Roman"/>
          <w:b/>
          <w:bCs/>
          <w:noProof/>
          <w:sz w:val="20"/>
          <w:szCs w:val="20"/>
          <w:lang w:eastAsia="cs-CZ"/>
        </w:rPr>
        <w:fldChar w:fldCharType="end"/>
      </w:r>
      <w:r w:rsidRPr="00913500">
        <w:rPr>
          <w:rFonts w:eastAsia="Times New Roman" w:cs="Times New Roman"/>
          <w:b/>
          <w:bCs/>
          <w:noProof/>
          <w:sz w:val="20"/>
          <w:szCs w:val="20"/>
          <w:lang w:eastAsia="cs-CZ"/>
        </w:rPr>
        <w:t xml:space="preserve"> Přehled jednotlivých programů vedených v EDS/SMVS (v tis. Kč)</w:t>
      </w:r>
    </w:p>
    <w:tbl>
      <w:tblPr>
        <w:tblW w:w="5241"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1833"/>
        <w:gridCol w:w="1277"/>
        <w:gridCol w:w="1275"/>
        <w:gridCol w:w="1273"/>
        <w:gridCol w:w="1279"/>
        <w:gridCol w:w="1273"/>
        <w:gridCol w:w="1277"/>
      </w:tblGrid>
      <w:tr w:rsidR="00910074" w:rsidRPr="00913500" w:rsidTr="00910074">
        <w:tc>
          <w:tcPr>
            <w:tcW w:w="966"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910074" w:rsidRPr="00913500" w:rsidRDefault="00910074" w:rsidP="00910074">
            <w:pPr>
              <w:spacing w:line="240" w:lineRule="auto"/>
              <w:jc w:val="center"/>
              <w:rPr>
                <w:rFonts w:eastAsia="Times New Roman" w:cs="Times New Roman"/>
                <w:b/>
                <w:bCs/>
                <w:lang w:eastAsia="cs-CZ"/>
              </w:rPr>
            </w:pPr>
            <w:r w:rsidRPr="00913500">
              <w:rPr>
                <w:rFonts w:eastAsia="Times New Roman" w:cs="Times New Roman"/>
                <w:b/>
                <w:bCs/>
                <w:lang w:eastAsia="cs-CZ"/>
              </w:rPr>
              <w:t>Číslo programu</w:t>
            </w:r>
          </w:p>
        </w:tc>
        <w:tc>
          <w:tcPr>
            <w:tcW w:w="1345" w:type="pct"/>
            <w:gridSpan w:val="2"/>
            <w:shd w:val="thinReverseDiagStripe" w:color="D9D9D9" w:themeColor="background1" w:themeShade="D9" w:fill="auto"/>
            <w:vAlign w:val="center"/>
          </w:tcPr>
          <w:p w:rsidR="00910074" w:rsidRPr="00913500" w:rsidRDefault="00910074" w:rsidP="00910074">
            <w:pPr>
              <w:spacing w:line="240" w:lineRule="auto"/>
              <w:jc w:val="center"/>
              <w:rPr>
                <w:rFonts w:eastAsia="Times New Roman" w:cs="Times New Roman"/>
                <w:b/>
                <w:bCs/>
                <w:lang w:eastAsia="cs-CZ"/>
              </w:rPr>
            </w:pPr>
            <w:r w:rsidRPr="00913500">
              <w:rPr>
                <w:rFonts w:eastAsia="Times New Roman" w:cs="Times New Roman"/>
                <w:b/>
                <w:bCs/>
                <w:lang w:eastAsia="cs-CZ"/>
              </w:rPr>
              <w:t xml:space="preserve">Skutečnost </w:t>
            </w:r>
            <w:r w:rsidRPr="00913500">
              <w:rPr>
                <w:rFonts w:eastAsia="Times New Roman" w:cs="Times New Roman"/>
                <w:b/>
                <w:bCs/>
                <w:lang w:eastAsia="cs-CZ"/>
              </w:rPr>
              <w:br/>
              <w:t>2019</w:t>
            </w:r>
          </w:p>
        </w:tc>
        <w:tc>
          <w:tcPr>
            <w:tcW w:w="1345" w:type="pct"/>
            <w:gridSpan w:val="2"/>
            <w:shd w:val="thinReverseDiagStripe" w:color="D9D9D9" w:themeColor="background1" w:themeShade="D9" w:fill="auto"/>
            <w:vAlign w:val="center"/>
          </w:tcPr>
          <w:p w:rsidR="00910074" w:rsidRPr="00913500" w:rsidRDefault="00910074" w:rsidP="00910074">
            <w:pPr>
              <w:spacing w:line="240" w:lineRule="auto"/>
              <w:jc w:val="center"/>
              <w:rPr>
                <w:rFonts w:eastAsia="Times New Roman" w:cs="Times New Roman"/>
                <w:b/>
                <w:bCs/>
                <w:lang w:eastAsia="cs-CZ"/>
              </w:rPr>
            </w:pPr>
            <w:r w:rsidRPr="00913500">
              <w:rPr>
                <w:rFonts w:eastAsia="Times New Roman" w:cs="Times New Roman"/>
                <w:b/>
                <w:bCs/>
                <w:lang w:eastAsia="cs-CZ"/>
              </w:rPr>
              <w:t>Schválený rozpočet 2020</w:t>
            </w:r>
          </w:p>
        </w:tc>
        <w:tc>
          <w:tcPr>
            <w:tcW w:w="1344" w:type="pct"/>
            <w:gridSpan w:val="2"/>
            <w:shd w:val="thinReverseDiagStripe" w:color="D9D9D9" w:themeColor="background1" w:themeShade="D9" w:fill="auto"/>
            <w:vAlign w:val="center"/>
          </w:tcPr>
          <w:p w:rsidR="00910074" w:rsidRPr="00913500" w:rsidRDefault="00910074" w:rsidP="00910074">
            <w:pPr>
              <w:spacing w:line="240" w:lineRule="auto"/>
              <w:jc w:val="center"/>
              <w:rPr>
                <w:rFonts w:eastAsia="Times New Roman" w:cs="Times New Roman"/>
                <w:b/>
                <w:bCs/>
                <w:lang w:eastAsia="cs-CZ"/>
              </w:rPr>
            </w:pPr>
            <w:r w:rsidRPr="00913500">
              <w:rPr>
                <w:rFonts w:eastAsia="Times New Roman" w:cs="Times New Roman"/>
                <w:b/>
                <w:bCs/>
                <w:lang w:eastAsia="cs-CZ"/>
              </w:rPr>
              <w:t xml:space="preserve">Návrh rozpočtu </w:t>
            </w:r>
          </w:p>
          <w:p w:rsidR="00910074" w:rsidRPr="00913500" w:rsidRDefault="00910074" w:rsidP="00910074">
            <w:pPr>
              <w:spacing w:line="240" w:lineRule="auto"/>
              <w:jc w:val="center"/>
              <w:rPr>
                <w:rFonts w:eastAsia="Times New Roman" w:cs="Times New Roman"/>
                <w:b/>
                <w:bCs/>
                <w:lang w:eastAsia="cs-CZ"/>
              </w:rPr>
            </w:pPr>
            <w:r w:rsidRPr="00913500">
              <w:rPr>
                <w:rFonts w:eastAsia="Times New Roman" w:cs="Times New Roman"/>
                <w:b/>
                <w:bCs/>
                <w:lang w:eastAsia="cs-CZ"/>
              </w:rPr>
              <w:t xml:space="preserve"> 2021</w:t>
            </w:r>
          </w:p>
        </w:tc>
      </w:tr>
      <w:tr w:rsidR="00910074" w:rsidRPr="00913500" w:rsidTr="00910074">
        <w:tc>
          <w:tcPr>
            <w:tcW w:w="966"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913500" w:rsidRDefault="00910074" w:rsidP="00910074">
            <w:pPr>
              <w:spacing w:line="240" w:lineRule="auto"/>
              <w:rPr>
                <w:rFonts w:eastAsia="Times New Roman" w:cs="Times New Roman"/>
                <w:lang w:eastAsia="cs-CZ"/>
              </w:rPr>
            </w:pPr>
          </w:p>
        </w:tc>
        <w:tc>
          <w:tcPr>
            <w:tcW w:w="67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913500" w:rsidRDefault="00910074" w:rsidP="00910074">
            <w:pPr>
              <w:spacing w:line="240" w:lineRule="auto"/>
              <w:jc w:val="center"/>
              <w:rPr>
                <w:rFonts w:eastAsia="Times New Roman" w:cs="Times New Roman"/>
                <w:b/>
                <w:lang w:eastAsia="cs-CZ"/>
              </w:rPr>
            </w:pPr>
            <w:r w:rsidRPr="00913500">
              <w:rPr>
                <w:rFonts w:eastAsia="Times New Roman" w:cs="Times New Roman"/>
                <w:b/>
                <w:lang w:eastAsia="cs-CZ"/>
              </w:rPr>
              <w:t>SR</w:t>
            </w:r>
          </w:p>
        </w:tc>
        <w:tc>
          <w:tcPr>
            <w:tcW w:w="672"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913500" w:rsidRDefault="00910074" w:rsidP="00910074">
            <w:pPr>
              <w:spacing w:line="240" w:lineRule="auto"/>
              <w:jc w:val="center"/>
              <w:rPr>
                <w:rFonts w:eastAsia="Times New Roman" w:cs="Times New Roman"/>
                <w:b/>
                <w:lang w:eastAsia="cs-CZ"/>
              </w:rPr>
            </w:pPr>
            <w:r w:rsidRPr="00913500">
              <w:rPr>
                <w:rFonts w:eastAsia="Times New Roman" w:cs="Times New Roman"/>
                <w:b/>
                <w:lang w:eastAsia="cs-CZ"/>
              </w:rPr>
              <w:t>EU</w:t>
            </w:r>
          </w:p>
        </w:tc>
        <w:tc>
          <w:tcPr>
            <w:tcW w:w="671"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913500" w:rsidRDefault="00910074" w:rsidP="00910074">
            <w:pPr>
              <w:spacing w:line="240" w:lineRule="auto"/>
              <w:jc w:val="center"/>
              <w:rPr>
                <w:rFonts w:eastAsia="Times New Roman" w:cs="Times New Roman"/>
                <w:b/>
                <w:lang w:eastAsia="cs-CZ"/>
              </w:rPr>
            </w:pPr>
            <w:r w:rsidRPr="00913500">
              <w:rPr>
                <w:rFonts w:eastAsia="Times New Roman" w:cs="Times New Roman"/>
                <w:b/>
                <w:lang w:eastAsia="cs-CZ"/>
              </w:rPr>
              <w:t>SR</w:t>
            </w:r>
          </w:p>
        </w:tc>
        <w:tc>
          <w:tcPr>
            <w:tcW w:w="674"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913500" w:rsidRDefault="00910074" w:rsidP="00910074">
            <w:pPr>
              <w:spacing w:line="240" w:lineRule="auto"/>
              <w:jc w:val="center"/>
              <w:rPr>
                <w:rFonts w:eastAsia="Times New Roman" w:cs="Times New Roman"/>
                <w:b/>
                <w:lang w:eastAsia="cs-CZ"/>
              </w:rPr>
            </w:pPr>
            <w:r w:rsidRPr="00913500">
              <w:rPr>
                <w:rFonts w:eastAsia="Times New Roman" w:cs="Times New Roman"/>
                <w:b/>
                <w:lang w:eastAsia="cs-CZ"/>
              </w:rPr>
              <w:t>EU</w:t>
            </w:r>
          </w:p>
        </w:tc>
        <w:tc>
          <w:tcPr>
            <w:tcW w:w="671"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913500" w:rsidRDefault="00910074" w:rsidP="00910074">
            <w:pPr>
              <w:spacing w:line="240" w:lineRule="auto"/>
              <w:jc w:val="center"/>
              <w:rPr>
                <w:rFonts w:eastAsia="Times New Roman" w:cs="Times New Roman"/>
                <w:b/>
                <w:lang w:eastAsia="cs-CZ"/>
              </w:rPr>
            </w:pPr>
            <w:r w:rsidRPr="00913500">
              <w:rPr>
                <w:rFonts w:eastAsia="Times New Roman" w:cs="Times New Roman"/>
                <w:b/>
                <w:lang w:eastAsia="cs-CZ"/>
              </w:rPr>
              <w:t>SR</w:t>
            </w:r>
          </w:p>
        </w:tc>
        <w:tc>
          <w:tcPr>
            <w:tcW w:w="67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910074" w:rsidRPr="00913500" w:rsidRDefault="00910074" w:rsidP="00910074">
            <w:pPr>
              <w:spacing w:line="240" w:lineRule="auto"/>
              <w:jc w:val="center"/>
              <w:rPr>
                <w:rFonts w:eastAsia="Times New Roman" w:cs="Times New Roman"/>
                <w:b/>
                <w:lang w:eastAsia="cs-CZ"/>
              </w:rPr>
            </w:pPr>
            <w:r w:rsidRPr="00913500">
              <w:rPr>
                <w:rFonts w:eastAsia="Times New Roman" w:cs="Times New Roman"/>
                <w:b/>
                <w:lang w:eastAsia="cs-CZ"/>
              </w:rPr>
              <w:t>EU</w:t>
            </w:r>
          </w:p>
        </w:tc>
      </w:tr>
      <w:tr w:rsidR="00910074" w:rsidRPr="00913500" w:rsidTr="00910074">
        <w:tc>
          <w:tcPr>
            <w:tcW w:w="966" w:type="pct"/>
            <w:vAlign w:val="center"/>
          </w:tcPr>
          <w:p w:rsidR="00910074" w:rsidRPr="00913500" w:rsidRDefault="00910074" w:rsidP="00910074">
            <w:pPr>
              <w:spacing w:line="240" w:lineRule="auto"/>
              <w:jc w:val="center"/>
              <w:rPr>
                <w:rFonts w:eastAsia="Times New Roman" w:cs="Times New Roman"/>
                <w:lang w:eastAsia="cs-CZ"/>
              </w:rPr>
            </w:pPr>
            <w:r w:rsidRPr="00913500">
              <w:rPr>
                <w:rFonts w:eastAsia="Times New Roman" w:cs="Times New Roman"/>
                <w:lang w:eastAsia="cs-CZ"/>
              </w:rPr>
              <w:t>127 06</w:t>
            </w:r>
          </w:p>
        </w:tc>
        <w:tc>
          <w:tcPr>
            <w:tcW w:w="673" w:type="pct"/>
            <w:shd w:val="clear" w:color="auto" w:fill="auto"/>
          </w:tcPr>
          <w:p w:rsidR="00910074" w:rsidRPr="00913500" w:rsidRDefault="00910074" w:rsidP="00910074">
            <w:pPr>
              <w:spacing w:line="240" w:lineRule="auto"/>
              <w:jc w:val="right"/>
              <w:rPr>
                <w:rFonts w:cs="Times New Roman"/>
              </w:rPr>
            </w:pPr>
            <w:r w:rsidRPr="00913500">
              <w:rPr>
                <w:rFonts w:cs="Times New Roman"/>
              </w:rPr>
              <w:t>0</w:t>
            </w:r>
          </w:p>
        </w:tc>
        <w:tc>
          <w:tcPr>
            <w:tcW w:w="672" w:type="pct"/>
            <w:shd w:val="clear" w:color="auto" w:fill="auto"/>
            <w:vAlign w:val="center"/>
          </w:tcPr>
          <w:p w:rsidR="00910074" w:rsidRPr="00913500" w:rsidRDefault="00910074" w:rsidP="00910074">
            <w:pPr>
              <w:spacing w:line="240" w:lineRule="auto"/>
              <w:jc w:val="right"/>
              <w:rPr>
                <w:rFonts w:cs="Times New Roman"/>
              </w:rPr>
            </w:pPr>
            <w:r w:rsidRPr="00913500">
              <w:rPr>
                <w:rFonts w:cs="Times New Roman"/>
              </w:rPr>
              <w:t>2 660</w:t>
            </w:r>
          </w:p>
        </w:tc>
        <w:tc>
          <w:tcPr>
            <w:tcW w:w="671" w:type="pct"/>
            <w:shd w:val="clear" w:color="auto" w:fill="auto"/>
            <w:vAlign w:val="center"/>
          </w:tcPr>
          <w:p w:rsidR="00910074" w:rsidRPr="00913500" w:rsidRDefault="00910074" w:rsidP="00910074">
            <w:pPr>
              <w:spacing w:line="240" w:lineRule="auto"/>
              <w:jc w:val="right"/>
              <w:rPr>
                <w:rFonts w:cs="Times New Roman"/>
              </w:rPr>
            </w:pPr>
            <w:r w:rsidRPr="00913500">
              <w:rPr>
                <w:rFonts w:cs="Times New Roman"/>
              </w:rPr>
              <w:t>0</w:t>
            </w:r>
          </w:p>
        </w:tc>
        <w:tc>
          <w:tcPr>
            <w:tcW w:w="674" w:type="pct"/>
            <w:shd w:val="clear" w:color="auto" w:fill="auto"/>
            <w:vAlign w:val="center"/>
          </w:tcPr>
          <w:p w:rsidR="00910074" w:rsidRPr="00913500" w:rsidRDefault="00910074" w:rsidP="00910074">
            <w:pPr>
              <w:spacing w:line="240" w:lineRule="auto"/>
              <w:jc w:val="right"/>
              <w:rPr>
                <w:rFonts w:cs="Times New Roman"/>
              </w:rPr>
            </w:pPr>
            <w:r w:rsidRPr="00913500">
              <w:rPr>
                <w:rFonts w:cs="Times New Roman"/>
              </w:rPr>
              <w:t>1 927</w:t>
            </w:r>
          </w:p>
        </w:tc>
        <w:tc>
          <w:tcPr>
            <w:tcW w:w="671" w:type="pct"/>
            <w:shd w:val="clear" w:color="auto" w:fill="auto"/>
            <w:vAlign w:val="center"/>
          </w:tcPr>
          <w:p w:rsidR="00910074" w:rsidRPr="00913500" w:rsidRDefault="00910074" w:rsidP="00910074">
            <w:pPr>
              <w:spacing w:line="240" w:lineRule="auto"/>
              <w:jc w:val="right"/>
              <w:rPr>
                <w:rFonts w:cs="Times New Roman"/>
              </w:rPr>
            </w:pPr>
            <w:r w:rsidRPr="00913500">
              <w:rPr>
                <w:rFonts w:cs="Times New Roman"/>
              </w:rPr>
              <w:t>0</w:t>
            </w:r>
          </w:p>
        </w:tc>
        <w:tc>
          <w:tcPr>
            <w:tcW w:w="673" w:type="pct"/>
            <w:shd w:val="clear" w:color="auto" w:fill="auto"/>
            <w:vAlign w:val="center"/>
          </w:tcPr>
          <w:p w:rsidR="00910074" w:rsidRPr="00913500" w:rsidRDefault="00910074" w:rsidP="00910074">
            <w:pPr>
              <w:spacing w:line="240" w:lineRule="auto"/>
              <w:jc w:val="right"/>
              <w:rPr>
                <w:rFonts w:cs="Times New Roman"/>
              </w:rPr>
            </w:pPr>
            <w:r w:rsidRPr="00913500">
              <w:rPr>
                <w:rFonts w:cs="Times New Roman"/>
              </w:rPr>
              <w:t>4 47</w:t>
            </w:r>
            <w:r>
              <w:rPr>
                <w:rFonts w:cs="Times New Roman"/>
              </w:rPr>
              <w:t>3</w:t>
            </w:r>
          </w:p>
        </w:tc>
      </w:tr>
      <w:tr w:rsidR="00910074" w:rsidRPr="00913500" w:rsidTr="00910074">
        <w:trPr>
          <w:trHeight w:val="464"/>
        </w:trPr>
        <w:tc>
          <w:tcPr>
            <w:tcW w:w="966" w:type="pct"/>
            <w:vAlign w:val="center"/>
          </w:tcPr>
          <w:p w:rsidR="00910074" w:rsidRPr="00913500" w:rsidRDefault="00910074" w:rsidP="00910074">
            <w:pPr>
              <w:spacing w:line="240" w:lineRule="auto"/>
              <w:jc w:val="center"/>
              <w:rPr>
                <w:rFonts w:eastAsia="Times New Roman" w:cs="Times New Roman"/>
                <w:lang w:eastAsia="cs-CZ"/>
              </w:rPr>
            </w:pPr>
            <w:r w:rsidRPr="00913500">
              <w:rPr>
                <w:rFonts w:eastAsia="Times New Roman" w:cs="Times New Roman"/>
                <w:lang w:eastAsia="cs-CZ"/>
              </w:rPr>
              <w:t>127 77</w:t>
            </w:r>
          </w:p>
        </w:tc>
        <w:tc>
          <w:tcPr>
            <w:tcW w:w="673" w:type="pct"/>
            <w:shd w:val="clear" w:color="auto" w:fill="auto"/>
            <w:vAlign w:val="center"/>
          </w:tcPr>
          <w:p w:rsidR="00910074" w:rsidRPr="00913500" w:rsidRDefault="00910074" w:rsidP="00910074">
            <w:pPr>
              <w:spacing w:line="240" w:lineRule="auto"/>
              <w:jc w:val="right"/>
              <w:rPr>
                <w:rFonts w:cs="Times New Roman"/>
              </w:rPr>
            </w:pPr>
            <w:r w:rsidRPr="00913500">
              <w:rPr>
                <w:rFonts w:cs="Times New Roman"/>
              </w:rPr>
              <w:t>27 181 146</w:t>
            </w:r>
          </w:p>
        </w:tc>
        <w:tc>
          <w:tcPr>
            <w:tcW w:w="672" w:type="pct"/>
            <w:shd w:val="clear" w:color="auto" w:fill="auto"/>
            <w:vAlign w:val="center"/>
          </w:tcPr>
          <w:p w:rsidR="00910074" w:rsidRPr="00913500" w:rsidRDefault="00910074" w:rsidP="00910074">
            <w:pPr>
              <w:spacing w:line="240" w:lineRule="auto"/>
              <w:jc w:val="center"/>
              <w:rPr>
                <w:rFonts w:cs="Times New Roman"/>
              </w:rPr>
            </w:pPr>
            <w:r w:rsidRPr="00913500">
              <w:rPr>
                <w:rFonts w:cs="Times New Roman"/>
              </w:rPr>
              <w:t>17 561 355</w:t>
            </w:r>
          </w:p>
        </w:tc>
        <w:tc>
          <w:tcPr>
            <w:tcW w:w="671" w:type="pct"/>
            <w:shd w:val="clear" w:color="auto" w:fill="auto"/>
            <w:vAlign w:val="center"/>
          </w:tcPr>
          <w:p w:rsidR="00910074" w:rsidRPr="00913500" w:rsidRDefault="00910074" w:rsidP="00910074">
            <w:pPr>
              <w:spacing w:line="240" w:lineRule="auto"/>
            </w:pPr>
            <w:r w:rsidRPr="00913500">
              <w:t>61 321 331</w:t>
            </w:r>
          </w:p>
        </w:tc>
        <w:tc>
          <w:tcPr>
            <w:tcW w:w="674" w:type="pct"/>
            <w:shd w:val="clear" w:color="auto" w:fill="auto"/>
            <w:vAlign w:val="center"/>
          </w:tcPr>
          <w:p w:rsidR="00910074" w:rsidRPr="00913500" w:rsidRDefault="00910074" w:rsidP="00910074">
            <w:pPr>
              <w:spacing w:line="240" w:lineRule="auto"/>
              <w:jc w:val="right"/>
              <w:rPr>
                <w:rFonts w:cs="Times New Roman"/>
              </w:rPr>
            </w:pPr>
            <w:r w:rsidRPr="00913500">
              <w:rPr>
                <w:rFonts w:cs="Times New Roman"/>
              </w:rPr>
              <w:t>12 959 913</w:t>
            </w:r>
          </w:p>
        </w:tc>
        <w:tc>
          <w:tcPr>
            <w:tcW w:w="671" w:type="pct"/>
            <w:shd w:val="clear" w:color="auto" w:fill="auto"/>
            <w:vAlign w:val="center"/>
          </w:tcPr>
          <w:p w:rsidR="00910074" w:rsidRPr="00913500" w:rsidRDefault="00910074" w:rsidP="00910074">
            <w:pPr>
              <w:spacing w:line="240" w:lineRule="auto"/>
              <w:rPr>
                <w:rFonts w:cs="Times New Roman"/>
              </w:rPr>
            </w:pPr>
            <w:r>
              <w:rPr>
                <w:rFonts w:cs="Times New Roman"/>
              </w:rPr>
              <w:t>58 525 000</w:t>
            </w:r>
          </w:p>
        </w:tc>
        <w:tc>
          <w:tcPr>
            <w:tcW w:w="673" w:type="pct"/>
            <w:shd w:val="clear" w:color="auto" w:fill="auto"/>
            <w:vAlign w:val="center"/>
          </w:tcPr>
          <w:p w:rsidR="00910074" w:rsidRPr="00913500" w:rsidRDefault="00910074" w:rsidP="00910074">
            <w:pPr>
              <w:spacing w:line="240" w:lineRule="auto"/>
              <w:jc w:val="right"/>
              <w:rPr>
                <w:rFonts w:cs="Times New Roman"/>
              </w:rPr>
            </w:pPr>
            <w:r>
              <w:rPr>
                <w:rFonts w:cs="Times New Roman"/>
              </w:rPr>
              <w:t>36 909 682</w:t>
            </w:r>
          </w:p>
        </w:tc>
      </w:tr>
      <w:tr w:rsidR="00910074" w:rsidRPr="00913500" w:rsidTr="00910074">
        <w:trPr>
          <w:trHeight w:val="444"/>
        </w:trPr>
        <w:tc>
          <w:tcPr>
            <w:tcW w:w="966" w:type="pct"/>
            <w:tcBorders>
              <w:top w:val="single" w:sz="8" w:space="0" w:color="7F7F7F" w:themeColor="text1" w:themeTint="80"/>
              <w:bottom w:val="single" w:sz="8" w:space="0" w:color="7F7F7F" w:themeColor="text1" w:themeTint="80"/>
            </w:tcBorders>
            <w:vAlign w:val="center"/>
          </w:tcPr>
          <w:p w:rsidR="00910074" w:rsidRPr="00913500" w:rsidRDefault="00910074" w:rsidP="00910074">
            <w:pPr>
              <w:spacing w:line="240" w:lineRule="auto"/>
              <w:jc w:val="center"/>
              <w:rPr>
                <w:rFonts w:eastAsia="Times New Roman" w:cs="Times New Roman"/>
                <w:b/>
                <w:lang w:eastAsia="cs-CZ"/>
              </w:rPr>
            </w:pPr>
            <w:r w:rsidRPr="00913500">
              <w:rPr>
                <w:rFonts w:eastAsia="Times New Roman" w:cs="Times New Roman"/>
                <w:b/>
                <w:lang w:eastAsia="cs-CZ"/>
              </w:rPr>
              <w:t>CELKEM</w:t>
            </w:r>
          </w:p>
        </w:tc>
        <w:tc>
          <w:tcPr>
            <w:tcW w:w="673" w:type="pct"/>
            <w:shd w:val="clear" w:color="auto" w:fill="auto"/>
            <w:vAlign w:val="center"/>
          </w:tcPr>
          <w:p w:rsidR="00910074" w:rsidRPr="00913500" w:rsidRDefault="00910074" w:rsidP="00910074">
            <w:pPr>
              <w:spacing w:line="240" w:lineRule="auto"/>
              <w:jc w:val="right"/>
              <w:rPr>
                <w:rFonts w:cs="Times New Roman"/>
                <w:b/>
              </w:rPr>
            </w:pPr>
            <w:r w:rsidRPr="00913500">
              <w:rPr>
                <w:rFonts w:cs="Times New Roman"/>
                <w:b/>
              </w:rPr>
              <w:t>27 181 146</w:t>
            </w:r>
          </w:p>
        </w:tc>
        <w:tc>
          <w:tcPr>
            <w:tcW w:w="672" w:type="pct"/>
            <w:shd w:val="clear" w:color="auto" w:fill="auto"/>
            <w:vAlign w:val="center"/>
          </w:tcPr>
          <w:p w:rsidR="00910074" w:rsidRPr="00913500" w:rsidRDefault="00910074" w:rsidP="00910074">
            <w:pPr>
              <w:spacing w:line="240" w:lineRule="auto"/>
              <w:jc w:val="right"/>
              <w:rPr>
                <w:rFonts w:cs="Times New Roman"/>
                <w:b/>
              </w:rPr>
            </w:pPr>
            <w:r w:rsidRPr="00913500">
              <w:rPr>
                <w:rFonts w:cs="Times New Roman"/>
                <w:b/>
              </w:rPr>
              <w:t>17 564 015</w:t>
            </w:r>
          </w:p>
        </w:tc>
        <w:tc>
          <w:tcPr>
            <w:tcW w:w="671" w:type="pct"/>
            <w:shd w:val="clear" w:color="auto" w:fill="auto"/>
            <w:vAlign w:val="center"/>
          </w:tcPr>
          <w:p w:rsidR="00910074" w:rsidRPr="00913500" w:rsidRDefault="00910074" w:rsidP="00910074">
            <w:pPr>
              <w:spacing w:line="240" w:lineRule="auto"/>
              <w:rPr>
                <w:b/>
              </w:rPr>
            </w:pPr>
            <w:r w:rsidRPr="00913500">
              <w:rPr>
                <w:b/>
              </w:rPr>
              <w:t>61 321 331</w:t>
            </w:r>
          </w:p>
        </w:tc>
        <w:tc>
          <w:tcPr>
            <w:tcW w:w="674" w:type="pct"/>
            <w:shd w:val="clear" w:color="auto" w:fill="auto"/>
            <w:vAlign w:val="center"/>
          </w:tcPr>
          <w:p w:rsidR="00910074" w:rsidRPr="00913500" w:rsidRDefault="00910074" w:rsidP="00910074">
            <w:pPr>
              <w:spacing w:line="240" w:lineRule="auto"/>
              <w:jc w:val="right"/>
              <w:rPr>
                <w:rFonts w:cs="Times New Roman"/>
                <w:b/>
              </w:rPr>
            </w:pPr>
            <w:r w:rsidRPr="00913500">
              <w:rPr>
                <w:rFonts w:cs="Times New Roman"/>
                <w:b/>
              </w:rPr>
              <w:t>12 961 840</w:t>
            </w:r>
          </w:p>
        </w:tc>
        <w:tc>
          <w:tcPr>
            <w:tcW w:w="671" w:type="pct"/>
            <w:shd w:val="clear" w:color="auto" w:fill="auto"/>
            <w:vAlign w:val="center"/>
          </w:tcPr>
          <w:p w:rsidR="00910074" w:rsidRPr="00913500" w:rsidRDefault="00910074" w:rsidP="00910074">
            <w:pPr>
              <w:spacing w:line="240" w:lineRule="auto"/>
              <w:rPr>
                <w:rFonts w:cs="Times New Roman"/>
                <w:b/>
              </w:rPr>
            </w:pPr>
            <w:r>
              <w:rPr>
                <w:rFonts w:cs="Times New Roman"/>
                <w:b/>
              </w:rPr>
              <w:t>58 525 000</w:t>
            </w:r>
          </w:p>
        </w:tc>
        <w:tc>
          <w:tcPr>
            <w:tcW w:w="673" w:type="pct"/>
            <w:shd w:val="clear" w:color="auto" w:fill="auto"/>
            <w:vAlign w:val="center"/>
          </w:tcPr>
          <w:p w:rsidR="00910074" w:rsidRPr="00913500" w:rsidRDefault="00910074" w:rsidP="00910074">
            <w:pPr>
              <w:spacing w:line="240" w:lineRule="auto"/>
              <w:jc w:val="right"/>
              <w:rPr>
                <w:rFonts w:cs="Times New Roman"/>
                <w:b/>
                <w:color w:val="FF0000"/>
              </w:rPr>
            </w:pPr>
            <w:r>
              <w:rPr>
                <w:rFonts w:cs="Times New Roman"/>
                <w:b/>
              </w:rPr>
              <w:t>36 914 156</w:t>
            </w:r>
          </w:p>
        </w:tc>
      </w:tr>
    </w:tbl>
    <w:p w:rsidR="00910074" w:rsidRPr="00913500" w:rsidRDefault="00910074" w:rsidP="00E447C1">
      <w:pPr>
        <w:pStyle w:val="Nadpis8"/>
      </w:pPr>
      <w:r w:rsidRPr="00913500">
        <w:t>Čísla a název programu:</w:t>
      </w:r>
    </w:p>
    <w:p w:rsidR="00910074" w:rsidRPr="00913500" w:rsidRDefault="00910074" w:rsidP="00910074">
      <w:pPr>
        <w:numPr>
          <w:ilvl w:val="0"/>
          <w:numId w:val="29"/>
        </w:numPr>
        <w:spacing w:before="120" w:after="80" w:line="240" w:lineRule="auto"/>
        <w:ind w:left="851" w:hanging="284"/>
        <w:jc w:val="left"/>
        <w:rPr>
          <w:rFonts w:eastAsia="Times New Roman" w:cs="Times New Roman"/>
          <w:szCs w:val="24"/>
          <w:lang w:eastAsia="cs-CZ"/>
        </w:rPr>
      </w:pPr>
      <w:r w:rsidRPr="00913500">
        <w:rPr>
          <w:rFonts w:eastAsia="Times New Roman" w:cs="Times New Roman"/>
          <w:szCs w:val="24"/>
          <w:lang w:eastAsia="cs-CZ"/>
        </w:rPr>
        <w:t xml:space="preserve">127 06 „Rozvoj a obnova materiálně technické základny systému řízení MD-PO, </w:t>
      </w:r>
      <w:r w:rsidR="00E65E0F">
        <w:rPr>
          <w:rFonts w:eastAsia="Times New Roman" w:cs="Times New Roman"/>
          <w:szCs w:val="24"/>
          <w:lang w:eastAsia="cs-CZ"/>
        </w:rPr>
        <w:t>S</w:t>
      </w:r>
      <w:r w:rsidRPr="00913500">
        <w:rPr>
          <w:rFonts w:eastAsia="Times New Roman" w:cs="Times New Roman"/>
          <w:szCs w:val="24"/>
          <w:lang w:eastAsia="cs-CZ"/>
        </w:rPr>
        <w:t>FDI“;</w:t>
      </w:r>
    </w:p>
    <w:p w:rsidR="00910074" w:rsidRPr="00913500" w:rsidRDefault="00910074" w:rsidP="00910074">
      <w:pPr>
        <w:numPr>
          <w:ilvl w:val="0"/>
          <w:numId w:val="29"/>
        </w:numPr>
        <w:spacing w:before="120" w:after="80" w:line="240" w:lineRule="auto"/>
        <w:ind w:left="851" w:hanging="284"/>
        <w:jc w:val="left"/>
        <w:rPr>
          <w:rFonts w:eastAsia="Times New Roman" w:cs="Times New Roman"/>
          <w:szCs w:val="24"/>
          <w:lang w:eastAsia="cs-CZ"/>
        </w:rPr>
      </w:pPr>
      <w:r w:rsidRPr="00913500">
        <w:rPr>
          <w:rFonts w:eastAsia="Times New Roman" w:cs="Times New Roman"/>
          <w:szCs w:val="24"/>
          <w:lang w:eastAsia="cs-CZ"/>
        </w:rPr>
        <w:t>127 77 „Podpora financování dopravy“</w:t>
      </w:r>
    </w:p>
    <w:p w:rsidR="00910074" w:rsidRPr="000C4647" w:rsidRDefault="00910074" w:rsidP="00E447C1">
      <w:pPr>
        <w:pStyle w:val="Styl1"/>
      </w:pPr>
      <w:r w:rsidRPr="000C4647">
        <w:t xml:space="preserve">Finanční prostředky </w:t>
      </w:r>
      <w:r>
        <w:t>jsou určeny</w:t>
      </w:r>
      <w:r w:rsidRPr="000C4647">
        <w:t>:</w:t>
      </w:r>
    </w:p>
    <w:p w:rsidR="00910074" w:rsidRPr="00233E43" w:rsidRDefault="00910074" w:rsidP="00E447C1">
      <w:pPr>
        <w:numPr>
          <w:ilvl w:val="0"/>
          <w:numId w:val="40"/>
        </w:numPr>
        <w:spacing w:before="120" w:line="276" w:lineRule="auto"/>
        <w:ind w:left="714" w:hanging="357"/>
        <w:rPr>
          <w:rFonts w:eastAsia="Times New Roman" w:cs="Times New Roman"/>
          <w:szCs w:val="24"/>
          <w:lang w:eastAsia="cs-CZ"/>
        </w:rPr>
      </w:pPr>
      <w:r w:rsidRPr="0000468C">
        <w:rPr>
          <w:rFonts w:eastAsia="Times New Roman" w:cs="Times New Roman"/>
          <w:i/>
          <w:szCs w:val="24"/>
          <w:lang w:eastAsia="cs-CZ"/>
        </w:rPr>
        <w:t>na krytí deficitu rozpočtu SFDI</w:t>
      </w:r>
      <w:r>
        <w:rPr>
          <w:rFonts w:eastAsia="Times New Roman" w:cs="Times New Roman"/>
          <w:szCs w:val="24"/>
          <w:lang w:eastAsia="cs-CZ"/>
        </w:rPr>
        <w:t xml:space="preserve"> ve výši 31 723 610 tis. Kč (v tom: </w:t>
      </w:r>
      <w:r>
        <w:t>investiční prostředky ve výši 16 723 610 tis. Kč, neinvestiční prostředky ve výši 15 000 000 tis. Kč),</w:t>
      </w:r>
    </w:p>
    <w:p w:rsidR="00910074" w:rsidRDefault="00910074" w:rsidP="00E447C1">
      <w:pPr>
        <w:numPr>
          <w:ilvl w:val="0"/>
          <w:numId w:val="40"/>
        </w:numPr>
        <w:spacing w:before="120" w:line="276" w:lineRule="auto"/>
        <w:ind w:left="714" w:hanging="357"/>
        <w:rPr>
          <w:rFonts w:eastAsia="Times New Roman" w:cs="Times New Roman"/>
          <w:szCs w:val="24"/>
          <w:lang w:eastAsia="cs-CZ"/>
        </w:rPr>
      </w:pPr>
      <w:r w:rsidRPr="0000468C">
        <w:rPr>
          <w:rFonts w:eastAsia="Times New Roman" w:cs="Times New Roman"/>
          <w:i/>
          <w:szCs w:val="24"/>
          <w:lang w:eastAsia="cs-CZ"/>
        </w:rPr>
        <w:t>na projekty spolufinancované z úvěru EIB</w:t>
      </w:r>
      <w:r>
        <w:rPr>
          <w:rFonts w:eastAsia="Times New Roman" w:cs="Times New Roman"/>
          <w:szCs w:val="24"/>
          <w:lang w:eastAsia="cs-CZ"/>
        </w:rPr>
        <w:t xml:space="preserve"> ve výši 1 801 390 tis. Kč (investiční prostředky),</w:t>
      </w:r>
    </w:p>
    <w:p w:rsidR="00910074" w:rsidRPr="00856F69" w:rsidRDefault="00AF305D" w:rsidP="00E447C1">
      <w:pPr>
        <w:pStyle w:val="Styl1"/>
        <w:numPr>
          <w:ilvl w:val="0"/>
          <w:numId w:val="40"/>
        </w:numPr>
      </w:pPr>
      <w:r w:rsidRPr="00AF305D">
        <w:rPr>
          <w:i/>
        </w:rPr>
        <w:lastRenderedPageBreak/>
        <w:t>na krytí deficitu rozpočtu SFDI  ve vazbě na příjmy z EU (RRF)</w:t>
      </w:r>
      <w:r w:rsidR="00910074">
        <w:t xml:space="preserve"> ve výši </w:t>
      </w:r>
      <w:r w:rsidR="00E447C1">
        <w:br/>
      </w:r>
      <w:r w:rsidR="00910074">
        <w:t>25 000 000 tis. Kč (investiční prostředky),</w:t>
      </w:r>
    </w:p>
    <w:p w:rsidR="00910074" w:rsidRPr="0046160F" w:rsidRDefault="00910074" w:rsidP="00E447C1">
      <w:pPr>
        <w:pStyle w:val="Styl1"/>
        <w:numPr>
          <w:ilvl w:val="0"/>
          <w:numId w:val="40"/>
        </w:numPr>
      </w:pPr>
      <w:r w:rsidRPr="0046160F">
        <w:rPr>
          <w:i/>
        </w:rPr>
        <w:t>na podíl EU na společné projekty EU a ČR</w:t>
      </w:r>
      <w:r w:rsidRPr="0046160F">
        <w:t xml:space="preserve"> ve výši 36 914 156 tis. Kč (v tom:  investič</w:t>
      </w:r>
      <w:r w:rsidR="00AF305D">
        <w:t>ní prostředky ve výši 36 913 703</w:t>
      </w:r>
      <w:r w:rsidRPr="0046160F">
        <w:t xml:space="preserve"> tis. Kč, neinvestiční prostředky ve výši 452 tis. Kč) v tom:</w:t>
      </w:r>
    </w:p>
    <w:p w:rsidR="00910074" w:rsidRDefault="00910074" w:rsidP="000B452F">
      <w:pPr>
        <w:numPr>
          <w:ilvl w:val="0"/>
          <w:numId w:val="34"/>
        </w:numPr>
        <w:tabs>
          <w:tab w:val="clear" w:pos="720"/>
        </w:tabs>
        <w:spacing w:before="120" w:line="240" w:lineRule="auto"/>
        <w:ind w:left="1418" w:hanging="425"/>
        <w:rPr>
          <w:rFonts w:eastAsia="Times New Roman" w:cs="Times New Roman"/>
          <w:szCs w:val="24"/>
          <w:lang w:eastAsia="cs-CZ"/>
        </w:rPr>
      </w:pPr>
      <w:r>
        <w:rPr>
          <w:rFonts w:eastAsia="Times New Roman" w:cs="Times New Roman"/>
          <w:szCs w:val="24"/>
          <w:lang w:eastAsia="cs-CZ"/>
        </w:rPr>
        <w:t>15 000 000 tis. Kč na Facilitu na podporu oživení a odolnosti (investiční prostředky),</w:t>
      </w:r>
    </w:p>
    <w:p w:rsidR="00910074" w:rsidRDefault="00910074" w:rsidP="000B452F">
      <w:pPr>
        <w:numPr>
          <w:ilvl w:val="0"/>
          <w:numId w:val="34"/>
        </w:numPr>
        <w:tabs>
          <w:tab w:val="clear" w:pos="720"/>
        </w:tabs>
        <w:spacing w:before="120" w:line="240" w:lineRule="auto"/>
        <w:ind w:left="1418" w:hanging="425"/>
        <w:rPr>
          <w:rFonts w:eastAsia="Times New Roman" w:cs="Times New Roman"/>
          <w:szCs w:val="24"/>
          <w:lang w:eastAsia="cs-CZ"/>
        </w:rPr>
      </w:pPr>
      <w:r w:rsidRPr="0046160F">
        <w:rPr>
          <w:rFonts w:eastAsia="Times New Roman" w:cs="Times New Roman"/>
          <w:szCs w:val="24"/>
          <w:lang w:eastAsia="cs-CZ"/>
        </w:rPr>
        <w:t xml:space="preserve">5 351 690 tis. Kč na Operační program Doprava 2014-2020, ERDF (investiční                                      prostředky), </w:t>
      </w:r>
    </w:p>
    <w:p w:rsidR="00910074" w:rsidRPr="0046160F" w:rsidRDefault="00910074" w:rsidP="000B452F">
      <w:pPr>
        <w:numPr>
          <w:ilvl w:val="0"/>
          <w:numId w:val="34"/>
        </w:numPr>
        <w:tabs>
          <w:tab w:val="clear" w:pos="720"/>
        </w:tabs>
        <w:spacing w:before="120" w:line="240" w:lineRule="auto"/>
        <w:ind w:left="1418" w:hanging="425"/>
        <w:rPr>
          <w:rFonts w:eastAsia="Times New Roman" w:cs="Times New Roman"/>
          <w:szCs w:val="24"/>
          <w:lang w:eastAsia="cs-CZ"/>
        </w:rPr>
      </w:pPr>
      <w:r>
        <w:rPr>
          <w:rFonts w:eastAsia="Times New Roman" w:cs="Times New Roman"/>
          <w:szCs w:val="24"/>
          <w:lang w:eastAsia="cs-CZ"/>
        </w:rPr>
        <w:t xml:space="preserve">11 219 218 tis. Kč na Operační program Doprava 2014-2020, CF (investiční prostředky  ve výši 11 218 765 tis. Kč, neinvestiční prostředky ve výši                    452 tis. Kč),    </w:t>
      </w:r>
    </w:p>
    <w:p w:rsidR="00910074" w:rsidRDefault="00910074" w:rsidP="00910074">
      <w:pPr>
        <w:numPr>
          <w:ilvl w:val="0"/>
          <w:numId w:val="34"/>
        </w:numPr>
        <w:tabs>
          <w:tab w:val="clear" w:pos="720"/>
          <w:tab w:val="num" w:pos="567"/>
        </w:tabs>
        <w:spacing w:before="120" w:line="240" w:lineRule="auto"/>
        <w:ind w:left="567" w:firstLine="426"/>
        <w:rPr>
          <w:rFonts w:eastAsia="Times New Roman" w:cs="Times New Roman"/>
          <w:szCs w:val="24"/>
          <w:lang w:eastAsia="cs-CZ"/>
        </w:rPr>
      </w:pPr>
      <w:r>
        <w:rPr>
          <w:rFonts w:eastAsia="Times New Roman" w:cs="Times New Roman"/>
          <w:szCs w:val="24"/>
          <w:lang w:eastAsia="cs-CZ"/>
        </w:rPr>
        <w:t xml:space="preserve">5 334 140 tis. Kč na Komunitární programy - CEF (investiční prostředky), </w:t>
      </w:r>
    </w:p>
    <w:p w:rsidR="00910074" w:rsidRDefault="00910074" w:rsidP="00910074">
      <w:pPr>
        <w:numPr>
          <w:ilvl w:val="0"/>
          <w:numId w:val="34"/>
        </w:numPr>
        <w:tabs>
          <w:tab w:val="clear" w:pos="720"/>
          <w:tab w:val="num" w:pos="567"/>
        </w:tabs>
        <w:spacing w:before="120" w:line="240" w:lineRule="auto"/>
        <w:ind w:left="567" w:firstLine="426"/>
        <w:rPr>
          <w:rFonts w:eastAsia="Times New Roman" w:cs="Times New Roman"/>
          <w:szCs w:val="24"/>
          <w:lang w:eastAsia="cs-CZ"/>
        </w:rPr>
      </w:pPr>
      <w:r>
        <w:rPr>
          <w:rFonts w:eastAsia="Times New Roman" w:cs="Times New Roman"/>
          <w:szCs w:val="24"/>
          <w:lang w:eastAsia="cs-CZ"/>
        </w:rPr>
        <w:t>6 008 tis. Kč na Komunitární programy - RIS COMEX (investiční prostředky),</w:t>
      </w:r>
    </w:p>
    <w:p w:rsidR="007171C5" w:rsidRPr="00910074" w:rsidRDefault="00910074" w:rsidP="00910074">
      <w:pPr>
        <w:numPr>
          <w:ilvl w:val="0"/>
          <w:numId w:val="34"/>
        </w:numPr>
        <w:tabs>
          <w:tab w:val="clear" w:pos="720"/>
          <w:tab w:val="num" w:pos="567"/>
        </w:tabs>
        <w:spacing w:before="120" w:line="240" w:lineRule="auto"/>
        <w:ind w:left="567" w:firstLine="426"/>
        <w:rPr>
          <w:rFonts w:eastAsia="Times New Roman" w:cs="Times New Roman"/>
          <w:szCs w:val="24"/>
          <w:lang w:eastAsia="cs-CZ"/>
        </w:rPr>
      </w:pPr>
      <w:r>
        <w:rPr>
          <w:rFonts w:eastAsia="Times New Roman" w:cs="Times New Roman"/>
          <w:szCs w:val="24"/>
          <w:lang w:eastAsia="cs-CZ"/>
        </w:rPr>
        <w:t>3 100 tis. Kč na Komunitární programy - Crocodile 3 (investiční prostředky).</w:t>
      </w:r>
    </w:p>
    <w:p w:rsidR="00A36B40" w:rsidRPr="00910074" w:rsidRDefault="003870F8" w:rsidP="00D00A45">
      <w:pPr>
        <w:pStyle w:val="Nadpis3"/>
      </w:pPr>
      <w:bookmarkStart w:id="105" w:name="_Toc53750584"/>
      <w:r w:rsidRPr="00910074">
        <w:t>Neziskové a podobné organizace</w:t>
      </w:r>
      <w:bookmarkEnd w:id="105"/>
    </w:p>
    <w:p w:rsidR="00910074" w:rsidRPr="006E547F" w:rsidRDefault="00910074" w:rsidP="00910074">
      <w:pPr>
        <w:pStyle w:val="Styl1"/>
        <w:spacing w:before="240"/>
        <w:rPr>
          <w:b/>
        </w:rPr>
      </w:pPr>
      <w:bookmarkStart w:id="106" w:name="_Toc462314408"/>
      <w:r w:rsidRPr="006E547F">
        <w:t xml:space="preserve">Od  roku  2017  jsou  neziskovým a podobným organizacím poskytovány prostředky v rámci programu </w:t>
      </w:r>
      <w:r w:rsidRPr="006E547F">
        <w:rPr>
          <w:b/>
        </w:rPr>
        <w:t>127 66 „Podpora obnovy historických železničních kolejových vozidel v období 2017-2020“.</w:t>
      </w:r>
    </w:p>
    <w:p w:rsidR="00910074" w:rsidRPr="006E547F" w:rsidRDefault="00910074" w:rsidP="00910074">
      <w:pPr>
        <w:pStyle w:val="Styl1"/>
        <w:spacing w:before="240"/>
      </w:pPr>
      <w:r w:rsidRPr="006E547F">
        <w:t xml:space="preserve">Pro rok 2021 jsou prostředky určené na stejný účel rozpočtovány v rámci podnikatelských subjektů a nového programu </w:t>
      </w:r>
      <w:r w:rsidRPr="006E547F">
        <w:rPr>
          <w:b/>
        </w:rPr>
        <w:t>127 67 „Podpora obnovy historických železničních kolejových vozidel v období 2021-2024“.</w:t>
      </w:r>
      <w:r>
        <w:rPr>
          <w:b/>
        </w:rPr>
        <w:t xml:space="preserve"> </w:t>
      </w:r>
      <w:r w:rsidRPr="006E547F">
        <w:t xml:space="preserve">Druhové členění vykazuje následující tabulka.  </w:t>
      </w:r>
    </w:p>
    <w:p w:rsidR="00910074" w:rsidRPr="006E547F" w:rsidRDefault="00910074" w:rsidP="00910074">
      <w:pPr>
        <w:pStyle w:val="Titulek"/>
        <w:keepNext/>
      </w:pPr>
      <w:r w:rsidRPr="006E547F">
        <w:t xml:space="preserve">Tabulka č. </w:t>
      </w:r>
      <w:r w:rsidRPr="006E547F">
        <w:rPr>
          <w:noProof/>
        </w:rPr>
        <w:fldChar w:fldCharType="begin"/>
      </w:r>
      <w:r w:rsidRPr="006E547F">
        <w:rPr>
          <w:noProof/>
        </w:rPr>
        <w:instrText xml:space="preserve"> SEQ Tabulka \* ARABIC </w:instrText>
      </w:r>
      <w:r w:rsidRPr="006E547F">
        <w:rPr>
          <w:noProof/>
        </w:rPr>
        <w:fldChar w:fldCharType="separate"/>
      </w:r>
      <w:r w:rsidR="006076E7">
        <w:rPr>
          <w:noProof/>
        </w:rPr>
        <w:t>43</w:t>
      </w:r>
      <w:r w:rsidRPr="006E547F">
        <w:rPr>
          <w:noProof/>
        </w:rPr>
        <w:fldChar w:fldCharType="end"/>
      </w:r>
      <w:r w:rsidRPr="006E547F">
        <w:rPr>
          <w:noProof/>
        </w:rPr>
        <w:t xml:space="preserve"> Výdaje neziskovým a podobným organizacím  vedené v EDS/SMVS (v tis. Kč)</w:t>
      </w:r>
    </w:p>
    <w:tbl>
      <w:tblPr>
        <w:tblW w:w="5002"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910"/>
        <w:gridCol w:w="1331"/>
        <w:gridCol w:w="1362"/>
        <w:gridCol w:w="1384"/>
        <w:gridCol w:w="1068"/>
      </w:tblGrid>
      <w:tr w:rsidR="00910074" w:rsidRPr="006E547F" w:rsidTr="00910074">
        <w:tc>
          <w:tcPr>
            <w:tcW w:w="2159" w:type="pct"/>
            <w:tcBorders>
              <w:top w:val="single" w:sz="8" w:space="0" w:color="7F7F7F" w:themeColor="text1" w:themeTint="80"/>
              <w:left w:val="single" w:sz="8" w:space="0" w:color="7F7F7F" w:themeColor="text1" w:themeTint="80"/>
              <w:bottom w:val="single" w:sz="4" w:space="0" w:color="auto"/>
              <w:right w:val="single" w:sz="4" w:space="0" w:color="auto"/>
            </w:tcBorders>
            <w:shd w:val="thinReverseDiagStripe" w:color="D9D9D9" w:themeColor="background1" w:themeShade="D9" w:fill="FFFFFF" w:themeFill="background1"/>
            <w:vAlign w:val="center"/>
          </w:tcPr>
          <w:p w:rsidR="00910074" w:rsidRPr="006E547F" w:rsidRDefault="00910074" w:rsidP="00910074">
            <w:pPr>
              <w:spacing w:line="240" w:lineRule="auto"/>
              <w:jc w:val="center"/>
              <w:rPr>
                <w:rFonts w:eastAsia="Times New Roman" w:cs="Times New Roman"/>
                <w:b/>
                <w:lang w:eastAsia="cs-CZ"/>
              </w:rPr>
            </w:pPr>
            <w:r w:rsidRPr="006E547F">
              <w:rPr>
                <w:rFonts w:eastAsia="Times New Roman" w:cs="Times New Roman"/>
                <w:b/>
                <w:lang w:eastAsia="cs-CZ"/>
              </w:rPr>
              <w:t>Ukazatel</w:t>
            </w:r>
          </w:p>
        </w:tc>
        <w:tc>
          <w:tcPr>
            <w:tcW w:w="735"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rsidR="00910074" w:rsidRPr="006E547F" w:rsidRDefault="00910074" w:rsidP="00910074">
            <w:pPr>
              <w:jc w:val="center"/>
              <w:rPr>
                <w:rFonts w:eastAsia="Times New Roman" w:cs="Times New Roman"/>
                <w:b/>
                <w:lang w:eastAsia="cs-CZ"/>
              </w:rPr>
            </w:pPr>
            <w:r w:rsidRPr="006E547F">
              <w:rPr>
                <w:rFonts w:eastAsia="Times New Roman" w:cs="Times New Roman"/>
                <w:b/>
                <w:lang w:eastAsia="cs-CZ"/>
              </w:rPr>
              <w:t>Skutečnost</w:t>
            </w:r>
          </w:p>
          <w:p w:rsidR="00910074" w:rsidRPr="006E547F" w:rsidRDefault="00910074" w:rsidP="00910074">
            <w:pPr>
              <w:jc w:val="center"/>
              <w:rPr>
                <w:rFonts w:eastAsia="Times New Roman" w:cs="Times New Roman"/>
                <w:b/>
                <w:lang w:eastAsia="cs-CZ"/>
              </w:rPr>
            </w:pPr>
            <w:r w:rsidRPr="006E547F">
              <w:rPr>
                <w:rFonts w:eastAsia="Times New Roman" w:cs="Times New Roman"/>
                <w:b/>
                <w:lang w:eastAsia="cs-CZ"/>
              </w:rPr>
              <w:t xml:space="preserve"> 2019</w:t>
            </w:r>
          </w:p>
        </w:tc>
        <w:tc>
          <w:tcPr>
            <w:tcW w:w="752"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rsidR="00910074" w:rsidRPr="006E547F" w:rsidRDefault="00910074" w:rsidP="00910074">
            <w:pPr>
              <w:jc w:val="center"/>
              <w:rPr>
                <w:rFonts w:eastAsia="Times New Roman" w:cs="Times New Roman"/>
                <w:b/>
                <w:lang w:eastAsia="cs-CZ"/>
              </w:rPr>
            </w:pPr>
            <w:r w:rsidRPr="006E547F">
              <w:rPr>
                <w:rFonts w:eastAsia="Times New Roman" w:cs="Times New Roman"/>
                <w:b/>
                <w:lang w:eastAsia="cs-CZ"/>
              </w:rPr>
              <w:t>Schválený rozpočet</w:t>
            </w:r>
          </w:p>
          <w:p w:rsidR="00910074" w:rsidRPr="006E547F" w:rsidRDefault="00910074" w:rsidP="00910074">
            <w:pPr>
              <w:jc w:val="center"/>
              <w:rPr>
                <w:rFonts w:eastAsia="Times New Roman" w:cs="Times New Roman"/>
                <w:b/>
                <w:lang w:eastAsia="cs-CZ"/>
              </w:rPr>
            </w:pPr>
            <w:r w:rsidRPr="006E547F">
              <w:rPr>
                <w:rFonts w:eastAsia="Times New Roman" w:cs="Times New Roman"/>
                <w:b/>
                <w:lang w:eastAsia="cs-CZ"/>
              </w:rPr>
              <w:t xml:space="preserve"> 2020</w:t>
            </w:r>
          </w:p>
        </w:tc>
        <w:tc>
          <w:tcPr>
            <w:tcW w:w="764"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rsidR="00910074" w:rsidRPr="006E547F" w:rsidRDefault="00910074" w:rsidP="00910074">
            <w:pPr>
              <w:jc w:val="center"/>
              <w:rPr>
                <w:rFonts w:eastAsia="Times New Roman" w:cs="Times New Roman"/>
                <w:b/>
                <w:lang w:eastAsia="cs-CZ"/>
              </w:rPr>
            </w:pPr>
            <w:r w:rsidRPr="006E547F">
              <w:rPr>
                <w:rFonts w:eastAsia="Times New Roman" w:cs="Times New Roman"/>
                <w:b/>
                <w:lang w:eastAsia="cs-CZ"/>
              </w:rPr>
              <w:t>Návrh</w:t>
            </w:r>
          </w:p>
          <w:p w:rsidR="00910074" w:rsidRPr="006E547F" w:rsidRDefault="00910074" w:rsidP="00910074">
            <w:pPr>
              <w:jc w:val="center"/>
              <w:rPr>
                <w:rFonts w:eastAsia="Times New Roman" w:cs="Times New Roman"/>
                <w:b/>
                <w:lang w:eastAsia="cs-CZ"/>
              </w:rPr>
            </w:pPr>
            <w:r w:rsidRPr="006E547F">
              <w:rPr>
                <w:rFonts w:eastAsia="Times New Roman" w:cs="Times New Roman"/>
                <w:b/>
                <w:lang w:eastAsia="cs-CZ"/>
              </w:rPr>
              <w:t>rozpočtu</w:t>
            </w:r>
          </w:p>
          <w:p w:rsidR="00910074" w:rsidRPr="006E547F" w:rsidRDefault="00910074" w:rsidP="00910074">
            <w:pPr>
              <w:jc w:val="center"/>
              <w:rPr>
                <w:rFonts w:eastAsia="Times New Roman" w:cs="Times New Roman"/>
                <w:b/>
                <w:lang w:eastAsia="cs-CZ"/>
              </w:rPr>
            </w:pPr>
            <w:r w:rsidRPr="006E547F">
              <w:rPr>
                <w:rFonts w:eastAsia="Times New Roman" w:cs="Times New Roman"/>
                <w:b/>
                <w:lang w:eastAsia="cs-CZ"/>
              </w:rPr>
              <w:t xml:space="preserve"> 2021</w:t>
            </w:r>
          </w:p>
        </w:tc>
        <w:tc>
          <w:tcPr>
            <w:tcW w:w="590" w:type="pct"/>
            <w:tcBorders>
              <w:top w:val="single" w:sz="8" w:space="0" w:color="7F7F7F" w:themeColor="text1" w:themeTint="80"/>
              <w:left w:val="single" w:sz="4" w:space="0" w:color="auto"/>
              <w:bottom w:val="single" w:sz="4" w:space="0" w:color="auto"/>
              <w:right w:val="single" w:sz="8" w:space="0" w:color="7F7F7F" w:themeColor="text1" w:themeTint="80"/>
            </w:tcBorders>
            <w:shd w:val="thinReverseDiagStripe" w:color="D9D9D9" w:themeColor="background1" w:themeShade="D9" w:fill="FFFFFF" w:themeFill="background1"/>
            <w:vAlign w:val="center"/>
          </w:tcPr>
          <w:p w:rsidR="00910074" w:rsidRPr="006E547F" w:rsidRDefault="00910074" w:rsidP="00910074">
            <w:pPr>
              <w:jc w:val="center"/>
              <w:rPr>
                <w:rFonts w:eastAsia="Times New Roman" w:cs="Times New Roman"/>
                <w:b/>
                <w:lang w:eastAsia="cs-CZ"/>
              </w:rPr>
            </w:pPr>
            <w:r w:rsidRPr="006E547F">
              <w:rPr>
                <w:rFonts w:eastAsia="Times New Roman" w:cs="Times New Roman"/>
                <w:b/>
                <w:lang w:eastAsia="cs-CZ"/>
              </w:rPr>
              <w:t>Index</w:t>
            </w:r>
          </w:p>
          <w:p w:rsidR="00910074" w:rsidRPr="006E547F" w:rsidRDefault="00910074" w:rsidP="00910074">
            <w:pPr>
              <w:jc w:val="center"/>
              <w:rPr>
                <w:rFonts w:eastAsia="Times New Roman" w:cs="Times New Roman"/>
                <w:b/>
                <w:lang w:eastAsia="cs-CZ"/>
              </w:rPr>
            </w:pPr>
            <w:r w:rsidRPr="006E547F">
              <w:rPr>
                <w:rFonts w:eastAsia="Times New Roman" w:cs="Times New Roman"/>
                <w:b/>
                <w:lang w:eastAsia="cs-CZ"/>
              </w:rPr>
              <w:t xml:space="preserve">2021/  2020 </w:t>
            </w:r>
          </w:p>
          <w:p w:rsidR="00910074" w:rsidRPr="006E547F" w:rsidRDefault="00910074" w:rsidP="00910074">
            <w:pPr>
              <w:jc w:val="center"/>
              <w:rPr>
                <w:rFonts w:eastAsia="Times New Roman" w:cs="Times New Roman"/>
                <w:b/>
                <w:lang w:eastAsia="cs-CZ"/>
              </w:rPr>
            </w:pPr>
            <w:r w:rsidRPr="006E547F">
              <w:rPr>
                <w:rFonts w:eastAsia="Times New Roman" w:cs="Times New Roman"/>
                <w:b/>
                <w:lang w:eastAsia="cs-CZ"/>
              </w:rPr>
              <w:t>(v %)</w:t>
            </w:r>
          </w:p>
        </w:tc>
      </w:tr>
      <w:tr w:rsidR="00910074" w:rsidRPr="006E547F" w:rsidTr="00910074">
        <w:tc>
          <w:tcPr>
            <w:tcW w:w="2159" w:type="pct"/>
            <w:tcBorders>
              <w:top w:val="single" w:sz="4" w:space="0" w:color="auto"/>
              <w:left w:val="single" w:sz="8" w:space="0" w:color="7F7F7F" w:themeColor="text1" w:themeTint="80"/>
              <w:bottom w:val="single" w:sz="8" w:space="0" w:color="7F7F7F" w:themeColor="text1" w:themeTint="80"/>
              <w:right w:val="single" w:sz="4" w:space="0" w:color="auto"/>
            </w:tcBorders>
          </w:tcPr>
          <w:p w:rsidR="00910074" w:rsidRPr="006E547F" w:rsidRDefault="00910074" w:rsidP="00910074">
            <w:pPr>
              <w:spacing w:line="240" w:lineRule="auto"/>
              <w:jc w:val="center"/>
              <w:rPr>
                <w:rFonts w:eastAsia="Times New Roman" w:cs="Times New Roman"/>
                <w:lang w:eastAsia="cs-CZ"/>
              </w:rPr>
            </w:pPr>
            <w:r w:rsidRPr="006E547F">
              <w:rPr>
                <w:rFonts w:eastAsia="Times New Roman" w:cs="Times New Roman"/>
                <w:lang w:eastAsia="cs-CZ"/>
              </w:rPr>
              <w:t>a</w:t>
            </w:r>
          </w:p>
        </w:tc>
        <w:tc>
          <w:tcPr>
            <w:tcW w:w="735" w:type="pct"/>
            <w:tcBorders>
              <w:top w:val="single" w:sz="4" w:space="0" w:color="auto"/>
              <w:left w:val="single" w:sz="4" w:space="0" w:color="auto"/>
              <w:bottom w:val="single" w:sz="8" w:space="0" w:color="7F7F7F" w:themeColor="text1" w:themeTint="80"/>
              <w:right w:val="single" w:sz="4" w:space="0" w:color="auto"/>
            </w:tcBorders>
          </w:tcPr>
          <w:p w:rsidR="00910074" w:rsidRPr="006E547F" w:rsidRDefault="00910074" w:rsidP="00910074">
            <w:pPr>
              <w:spacing w:line="240" w:lineRule="auto"/>
              <w:jc w:val="center"/>
              <w:rPr>
                <w:rFonts w:eastAsia="Times New Roman" w:cs="Times New Roman"/>
                <w:lang w:eastAsia="cs-CZ"/>
              </w:rPr>
            </w:pPr>
            <w:r w:rsidRPr="006E547F">
              <w:rPr>
                <w:rFonts w:eastAsia="Times New Roman" w:cs="Times New Roman"/>
                <w:lang w:eastAsia="cs-CZ"/>
              </w:rPr>
              <w:t>1</w:t>
            </w:r>
          </w:p>
        </w:tc>
        <w:tc>
          <w:tcPr>
            <w:tcW w:w="752" w:type="pct"/>
            <w:tcBorders>
              <w:top w:val="single" w:sz="4" w:space="0" w:color="auto"/>
              <w:left w:val="single" w:sz="4" w:space="0" w:color="auto"/>
              <w:bottom w:val="single" w:sz="8" w:space="0" w:color="7F7F7F" w:themeColor="text1" w:themeTint="80"/>
              <w:right w:val="single" w:sz="4" w:space="0" w:color="auto"/>
            </w:tcBorders>
          </w:tcPr>
          <w:p w:rsidR="00910074" w:rsidRPr="006E547F" w:rsidRDefault="00910074" w:rsidP="00910074">
            <w:pPr>
              <w:spacing w:line="240" w:lineRule="auto"/>
              <w:jc w:val="center"/>
              <w:rPr>
                <w:rFonts w:eastAsia="Times New Roman" w:cs="Times New Roman"/>
                <w:lang w:eastAsia="cs-CZ"/>
              </w:rPr>
            </w:pPr>
            <w:r w:rsidRPr="006E547F">
              <w:rPr>
                <w:rFonts w:eastAsia="Times New Roman" w:cs="Times New Roman"/>
                <w:lang w:eastAsia="cs-CZ"/>
              </w:rPr>
              <w:t>2</w:t>
            </w:r>
          </w:p>
        </w:tc>
        <w:tc>
          <w:tcPr>
            <w:tcW w:w="764" w:type="pct"/>
            <w:tcBorders>
              <w:top w:val="single" w:sz="4" w:space="0" w:color="auto"/>
              <w:left w:val="single" w:sz="4" w:space="0" w:color="auto"/>
              <w:bottom w:val="single" w:sz="8" w:space="0" w:color="7F7F7F" w:themeColor="text1" w:themeTint="80"/>
              <w:right w:val="single" w:sz="4" w:space="0" w:color="auto"/>
            </w:tcBorders>
          </w:tcPr>
          <w:p w:rsidR="00910074" w:rsidRPr="006E547F" w:rsidRDefault="00910074" w:rsidP="00910074">
            <w:pPr>
              <w:spacing w:line="240" w:lineRule="auto"/>
              <w:jc w:val="center"/>
              <w:rPr>
                <w:rFonts w:eastAsia="Times New Roman" w:cs="Times New Roman"/>
                <w:lang w:eastAsia="cs-CZ"/>
              </w:rPr>
            </w:pPr>
            <w:r w:rsidRPr="006E547F">
              <w:rPr>
                <w:rFonts w:eastAsia="Times New Roman" w:cs="Times New Roman"/>
                <w:lang w:eastAsia="cs-CZ"/>
              </w:rPr>
              <w:t>3</w:t>
            </w:r>
          </w:p>
        </w:tc>
        <w:tc>
          <w:tcPr>
            <w:tcW w:w="590" w:type="pct"/>
            <w:tcBorders>
              <w:top w:val="single" w:sz="4" w:space="0" w:color="auto"/>
              <w:left w:val="single" w:sz="4" w:space="0" w:color="auto"/>
              <w:bottom w:val="single" w:sz="8" w:space="0" w:color="7F7F7F" w:themeColor="text1" w:themeTint="80"/>
              <w:right w:val="single" w:sz="8" w:space="0" w:color="7F7F7F" w:themeColor="text1" w:themeTint="80"/>
            </w:tcBorders>
          </w:tcPr>
          <w:p w:rsidR="00910074" w:rsidRPr="006E547F" w:rsidRDefault="00910074" w:rsidP="00910074">
            <w:pPr>
              <w:spacing w:line="240" w:lineRule="auto"/>
              <w:jc w:val="center"/>
              <w:rPr>
                <w:rFonts w:eastAsia="Times New Roman" w:cs="Times New Roman"/>
                <w:lang w:eastAsia="cs-CZ"/>
              </w:rPr>
            </w:pPr>
            <w:r w:rsidRPr="006E547F">
              <w:rPr>
                <w:rFonts w:eastAsia="Times New Roman" w:cs="Times New Roman"/>
                <w:lang w:eastAsia="cs-CZ"/>
              </w:rPr>
              <w:t>4</w:t>
            </w:r>
          </w:p>
        </w:tc>
      </w:tr>
      <w:tr w:rsidR="00910074" w:rsidRPr="006E547F" w:rsidTr="00910074">
        <w:tc>
          <w:tcPr>
            <w:tcW w:w="2159" w:type="pct"/>
            <w:tcBorders>
              <w:top w:val="single" w:sz="8" w:space="0" w:color="7F7F7F" w:themeColor="text1" w:themeTint="80"/>
              <w:left w:val="single" w:sz="8" w:space="0" w:color="7F7F7F" w:themeColor="text1" w:themeTint="80"/>
              <w:bottom w:val="single" w:sz="8" w:space="0" w:color="7F7F7F" w:themeColor="text1" w:themeTint="80"/>
              <w:right w:val="single" w:sz="4" w:space="0" w:color="auto"/>
            </w:tcBorders>
          </w:tcPr>
          <w:p w:rsidR="00910074" w:rsidRPr="006E547F" w:rsidRDefault="00910074" w:rsidP="00910074">
            <w:pPr>
              <w:spacing w:line="240" w:lineRule="auto"/>
              <w:rPr>
                <w:rFonts w:eastAsia="Times New Roman" w:cs="Times New Roman"/>
                <w:lang w:eastAsia="cs-CZ"/>
              </w:rPr>
            </w:pPr>
            <w:r w:rsidRPr="006E547F">
              <w:rPr>
                <w:rFonts w:eastAsia="Times New Roman" w:cs="Times New Roman"/>
                <w:b/>
                <w:lang w:eastAsia="cs-CZ"/>
              </w:rPr>
              <w:t xml:space="preserve">Neziskové a podobné organizace - program 127 66/127 67 </w:t>
            </w:r>
            <w:r w:rsidRPr="006E547F">
              <w:rPr>
                <w:rFonts w:eastAsia="Times New Roman" w:cs="Times New Roman"/>
                <w:lang w:eastAsia="cs-CZ"/>
              </w:rPr>
              <w:t>v tom:</w:t>
            </w:r>
          </w:p>
        </w:tc>
        <w:tc>
          <w:tcPr>
            <w:tcW w:w="735" w:type="pct"/>
            <w:tcBorders>
              <w:top w:val="single" w:sz="8" w:space="0" w:color="7F7F7F" w:themeColor="text1" w:themeTint="80"/>
              <w:left w:val="single" w:sz="4" w:space="0" w:color="auto"/>
              <w:bottom w:val="single" w:sz="8" w:space="0" w:color="7F7F7F" w:themeColor="text1" w:themeTint="80"/>
              <w:right w:val="single" w:sz="4" w:space="0" w:color="auto"/>
            </w:tcBorders>
          </w:tcPr>
          <w:p w:rsidR="00910074" w:rsidRPr="006E547F" w:rsidRDefault="00910074" w:rsidP="00910074">
            <w:pPr>
              <w:jc w:val="right"/>
              <w:rPr>
                <w:rFonts w:eastAsia="Times New Roman" w:cs="Times New Roman"/>
                <w:b/>
                <w:lang w:eastAsia="cs-CZ"/>
              </w:rPr>
            </w:pPr>
          </w:p>
          <w:p w:rsidR="00910074" w:rsidRPr="006E547F" w:rsidRDefault="00910074" w:rsidP="00910074">
            <w:pPr>
              <w:jc w:val="right"/>
              <w:rPr>
                <w:rFonts w:eastAsia="Times New Roman" w:cs="Times New Roman"/>
                <w:b/>
                <w:lang w:eastAsia="cs-CZ"/>
              </w:rPr>
            </w:pPr>
            <w:r w:rsidRPr="006E547F">
              <w:rPr>
                <w:rFonts w:eastAsia="Times New Roman" w:cs="Times New Roman"/>
                <w:b/>
                <w:lang w:eastAsia="cs-CZ"/>
              </w:rPr>
              <w:t xml:space="preserve"> 2 862</w:t>
            </w:r>
          </w:p>
        </w:tc>
        <w:tc>
          <w:tcPr>
            <w:tcW w:w="752" w:type="pct"/>
            <w:tcBorders>
              <w:top w:val="single" w:sz="8" w:space="0" w:color="7F7F7F" w:themeColor="text1" w:themeTint="80"/>
              <w:left w:val="single" w:sz="4" w:space="0" w:color="auto"/>
              <w:bottom w:val="single" w:sz="8" w:space="0" w:color="7F7F7F" w:themeColor="text1" w:themeTint="80"/>
              <w:right w:val="single" w:sz="4" w:space="0" w:color="auto"/>
            </w:tcBorders>
          </w:tcPr>
          <w:p w:rsidR="00910074" w:rsidRPr="006E547F" w:rsidRDefault="00910074" w:rsidP="00910074">
            <w:pPr>
              <w:jc w:val="right"/>
              <w:rPr>
                <w:rFonts w:eastAsia="Times New Roman" w:cs="Times New Roman"/>
                <w:b/>
                <w:lang w:eastAsia="cs-CZ"/>
              </w:rPr>
            </w:pPr>
          </w:p>
          <w:p w:rsidR="00910074" w:rsidRPr="006E547F" w:rsidRDefault="00910074" w:rsidP="00910074">
            <w:pPr>
              <w:jc w:val="right"/>
              <w:rPr>
                <w:rFonts w:eastAsia="Times New Roman" w:cs="Times New Roman"/>
                <w:b/>
                <w:lang w:eastAsia="cs-CZ"/>
              </w:rPr>
            </w:pPr>
            <w:r w:rsidRPr="006E547F">
              <w:rPr>
                <w:rFonts w:eastAsia="Times New Roman" w:cs="Times New Roman"/>
                <w:b/>
                <w:lang w:eastAsia="cs-CZ"/>
              </w:rPr>
              <w:t>0</w:t>
            </w:r>
          </w:p>
        </w:tc>
        <w:tc>
          <w:tcPr>
            <w:tcW w:w="764" w:type="pct"/>
            <w:tcBorders>
              <w:top w:val="single" w:sz="8" w:space="0" w:color="7F7F7F" w:themeColor="text1" w:themeTint="80"/>
              <w:left w:val="single" w:sz="4" w:space="0" w:color="auto"/>
              <w:bottom w:val="single" w:sz="8" w:space="0" w:color="7F7F7F" w:themeColor="text1" w:themeTint="80"/>
              <w:right w:val="single" w:sz="4" w:space="0" w:color="auto"/>
            </w:tcBorders>
          </w:tcPr>
          <w:p w:rsidR="00910074" w:rsidRPr="006E547F" w:rsidRDefault="00910074" w:rsidP="00910074">
            <w:pPr>
              <w:jc w:val="right"/>
              <w:rPr>
                <w:rFonts w:eastAsia="Times New Roman" w:cs="Times New Roman"/>
                <w:b/>
                <w:lang w:eastAsia="cs-CZ"/>
              </w:rPr>
            </w:pPr>
          </w:p>
          <w:p w:rsidR="00910074" w:rsidRPr="006E547F" w:rsidRDefault="00910074" w:rsidP="00910074">
            <w:pPr>
              <w:jc w:val="right"/>
              <w:rPr>
                <w:rFonts w:eastAsia="Times New Roman" w:cs="Times New Roman"/>
                <w:b/>
                <w:lang w:eastAsia="cs-CZ"/>
              </w:rPr>
            </w:pPr>
            <w:r w:rsidRPr="006E547F">
              <w:rPr>
                <w:rFonts w:eastAsia="Times New Roman" w:cs="Times New Roman"/>
                <w:b/>
                <w:lang w:eastAsia="cs-CZ"/>
              </w:rPr>
              <w:t>0</w:t>
            </w:r>
          </w:p>
        </w:tc>
        <w:tc>
          <w:tcPr>
            <w:tcW w:w="590" w:type="pct"/>
            <w:tcBorders>
              <w:top w:val="single" w:sz="8" w:space="0" w:color="7F7F7F" w:themeColor="text1" w:themeTint="80"/>
              <w:left w:val="single" w:sz="4" w:space="0" w:color="auto"/>
              <w:bottom w:val="single" w:sz="8" w:space="0" w:color="7F7F7F" w:themeColor="text1" w:themeTint="80"/>
              <w:right w:val="single" w:sz="8" w:space="0" w:color="7F7F7F" w:themeColor="text1" w:themeTint="80"/>
            </w:tcBorders>
          </w:tcPr>
          <w:p w:rsidR="00910074" w:rsidRPr="006E547F" w:rsidRDefault="00910074" w:rsidP="00910074">
            <w:pPr>
              <w:jc w:val="right"/>
              <w:rPr>
                <w:rFonts w:eastAsia="Times New Roman" w:cs="Times New Roman"/>
                <w:b/>
                <w:lang w:eastAsia="cs-CZ"/>
              </w:rPr>
            </w:pPr>
          </w:p>
          <w:p w:rsidR="00910074" w:rsidRPr="006E547F" w:rsidRDefault="00910074" w:rsidP="00910074">
            <w:pPr>
              <w:jc w:val="right"/>
              <w:rPr>
                <w:rFonts w:eastAsia="Times New Roman" w:cs="Times New Roman"/>
                <w:b/>
                <w:lang w:eastAsia="cs-CZ"/>
              </w:rPr>
            </w:pPr>
            <w:r w:rsidRPr="006E547F">
              <w:rPr>
                <w:rFonts w:eastAsia="Times New Roman" w:cs="Times New Roman"/>
                <w:b/>
                <w:lang w:eastAsia="cs-CZ"/>
              </w:rPr>
              <w:t>x</w:t>
            </w:r>
          </w:p>
        </w:tc>
      </w:tr>
      <w:tr w:rsidR="00910074" w:rsidRPr="006E547F" w:rsidTr="00910074">
        <w:tc>
          <w:tcPr>
            <w:tcW w:w="2159" w:type="pct"/>
            <w:tcBorders>
              <w:top w:val="single" w:sz="8" w:space="0" w:color="7F7F7F" w:themeColor="text1" w:themeTint="80"/>
              <w:left w:val="single" w:sz="8" w:space="0" w:color="7F7F7F" w:themeColor="text1" w:themeTint="80"/>
              <w:bottom w:val="nil"/>
              <w:right w:val="single" w:sz="4" w:space="0" w:color="auto"/>
            </w:tcBorders>
          </w:tcPr>
          <w:p w:rsidR="00910074" w:rsidRPr="006E547F" w:rsidRDefault="00910074" w:rsidP="00910074">
            <w:pPr>
              <w:spacing w:line="240" w:lineRule="auto"/>
              <w:rPr>
                <w:rFonts w:eastAsia="Times New Roman" w:cs="Times New Roman"/>
                <w:lang w:eastAsia="cs-CZ"/>
              </w:rPr>
            </w:pPr>
            <w:r w:rsidRPr="006E547F">
              <w:rPr>
                <w:rFonts w:eastAsia="Times New Roman" w:cs="Times New Roman"/>
                <w:lang w:eastAsia="cs-CZ"/>
              </w:rPr>
              <w:t>běžné výdaje celkem v tom:</w:t>
            </w:r>
          </w:p>
        </w:tc>
        <w:tc>
          <w:tcPr>
            <w:tcW w:w="735" w:type="pct"/>
            <w:tcBorders>
              <w:top w:val="single" w:sz="8" w:space="0" w:color="7F7F7F" w:themeColor="text1" w:themeTint="80"/>
              <w:left w:val="single" w:sz="4" w:space="0" w:color="auto"/>
              <w:bottom w:val="nil"/>
              <w:right w:val="single" w:sz="4" w:space="0" w:color="auto"/>
            </w:tcBorders>
          </w:tcPr>
          <w:p w:rsidR="00910074" w:rsidRPr="006E547F" w:rsidRDefault="00910074" w:rsidP="00910074">
            <w:pPr>
              <w:jc w:val="right"/>
              <w:rPr>
                <w:rFonts w:eastAsia="Times New Roman" w:cs="Times New Roman"/>
                <w:vertAlign w:val="superscript"/>
                <w:lang w:eastAsia="cs-CZ"/>
              </w:rPr>
            </w:pPr>
            <w:r w:rsidRPr="006E547F">
              <w:rPr>
                <w:rFonts w:eastAsia="Times New Roman" w:cs="Times New Roman"/>
                <w:lang w:eastAsia="cs-CZ"/>
              </w:rPr>
              <w:t xml:space="preserve"> 2 862</w:t>
            </w:r>
          </w:p>
        </w:tc>
        <w:tc>
          <w:tcPr>
            <w:tcW w:w="752" w:type="pct"/>
            <w:tcBorders>
              <w:top w:val="single" w:sz="8" w:space="0" w:color="7F7F7F" w:themeColor="text1" w:themeTint="80"/>
              <w:left w:val="single" w:sz="4" w:space="0" w:color="auto"/>
              <w:bottom w:val="nil"/>
              <w:right w:val="single" w:sz="4" w:space="0" w:color="auto"/>
            </w:tcBorders>
          </w:tcPr>
          <w:p w:rsidR="00910074" w:rsidRPr="006E547F" w:rsidRDefault="00910074" w:rsidP="00910074">
            <w:pPr>
              <w:jc w:val="right"/>
              <w:rPr>
                <w:rFonts w:eastAsia="Times New Roman" w:cs="Times New Roman"/>
                <w:lang w:eastAsia="cs-CZ"/>
              </w:rPr>
            </w:pPr>
            <w:r w:rsidRPr="006E547F">
              <w:rPr>
                <w:rFonts w:eastAsia="Times New Roman" w:cs="Times New Roman"/>
                <w:lang w:eastAsia="cs-CZ"/>
              </w:rPr>
              <w:t>0</w:t>
            </w:r>
          </w:p>
        </w:tc>
        <w:tc>
          <w:tcPr>
            <w:tcW w:w="764" w:type="pct"/>
            <w:tcBorders>
              <w:top w:val="single" w:sz="8" w:space="0" w:color="7F7F7F" w:themeColor="text1" w:themeTint="80"/>
              <w:left w:val="single" w:sz="4" w:space="0" w:color="auto"/>
              <w:bottom w:val="nil"/>
              <w:right w:val="single" w:sz="4" w:space="0" w:color="auto"/>
            </w:tcBorders>
          </w:tcPr>
          <w:p w:rsidR="00910074" w:rsidRPr="006E547F" w:rsidRDefault="00910074" w:rsidP="00910074">
            <w:pPr>
              <w:jc w:val="right"/>
              <w:rPr>
                <w:rFonts w:eastAsia="Times New Roman" w:cs="Times New Roman"/>
                <w:lang w:eastAsia="cs-CZ"/>
              </w:rPr>
            </w:pPr>
            <w:r w:rsidRPr="006E547F">
              <w:rPr>
                <w:rFonts w:eastAsia="Times New Roman" w:cs="Times New Roman"/>
                <w:lang w:eastAsia="cs-CZ"/>
              </w:rPr>
              <w:t>0</w:t>
            </w:r>
          </w:p>
        </w:tc>
        <w:tc>
          <w:tcPr>
            <w:tcW w:w="590" w:type="pct"/>
            <w:tcBorders>
              <w:top w:val="single" w:sz="8" w:space="0" w:color="7F7F7F" w:themeColor="text1" w:themeTint="80"/>
              <w:left w:val="single" w:sz="4" w:space="0" w:color="auto"/>
              <w:bottom w:val="nil"/>
              <w:right w:val="single" w:sz="8" w:space="0" w:color="7F7F7F" w:themeColor="text1" w:themeTint="80"/>
            </w:tcBorders>
          </w:tcPr>
          <w:p w:rsidR="00910074" w:rsidRPr="006E547F" w:rsidRDefault="00910074" w:rsidP="00910074">
            <w:pPr>
              <w:jc w:val="right"/>
              <w:rPr>
                <w:rFonts w:eastAsia="Times New Roman" w:cs="Times New Roman"/>
                <w:lang w:eastAsia="cs-CZ"/>
              </w:rPr>
            </w:pPr>
            <w:r w:rsidRPr="006E547F">
              <w:rPr>
                <w:rFonts w:eastAsia="Times New Roman" w:cs="Times New Roman"/>
                <w:lang w:eastAsia="cs-CZ"/>
              </w:rPr>
              <w:t>x</w:t>
            </w:r>
          </w:p>
        </w:tc>
      </w:tr>
      <w:tr w:rsidR="00910074" w:rsidRPr="006E547F" w:rsidTr="00910074">
        <w:tc>
          <w:tcPr>
            <w:tcW w:w="2159" w:type="pct"/>
            <w:tcBorders>
              <w:top w:val="nil"/>
              <w:left w:val="single" w:sz="8" w:space="0" w:color="7F7F7F" w:themeColor="text1" w:themeTint="80"/>
              <w:bottom w:val="nil"/>
              <w:right w:val="single" w:sz="4" w:space="0" w:color="auto"/>
            </w:tcBorders>
          </w:tcPr>
          <w:p w:rsidR="00910074" w:rsidRPr="006E547F" w:rsidRDefault="00910074" w:rsidP="00910074">
            <w:pPr>
              <w:spacing w:line="240" w:lineRule="auto"/>
              <w:rPr>
                <w:rFonts w:eastAsia="Times New Roman" w:cs="Times New Roman"/>
                <w:i/>
                <w:lang w:eastAsia="cs-CZ"/>
              </w:rPr>
            </w:pPr>
            <w:r w:rsidRPr="006E547F">
              <w:rPr>
                <w:rFonts w:eastAsia="Times New Roman" w:cs="Times New Roman"/>
                <w:i/>
                <w:lang w:eastAsia="cs-CZ"/>
              </w:rPr>
              <w:t xml:space="preserve">      prostředky SR</w:t>
            </w:r>
          </w:p>
        </w:tc>
        <w:tc>
          <w:tcPr>
            <w:tcW w:w="735" w:type="pct"/>
            <w:tcBorders>
              <w:top w:val="nil"/>
              <w:left w:val="single" w:sz="4" w:space="0" w:color="auto"/>
              <w:bottom w:val="nil"/>
              <w:right w:val="single" w:sz="4" w:space="0" w:color="auto"/>
            </w:tcBorders>
          </w:tcPr>
          <w:p w:rsidR="00910074" w:rsidRPr="006E547F" w:rsidRDefault="00910074" w:rsidP="00910074">
            <w:pPr>
              <w:jc w:val="right"/>
              <w:rPr>
                <w:rFonts w:eastAsia="Times New Roman" w:cs="Times New Roman"/>
                <w:i/>
                <w:lang w:eastAsia="cs-CZ"/>
              </w:rPr>
            </w:pPr>
            <w:r w:rsidRPr="006E547F">
              <w:rPr>
                <w:rFonts w:eastAsia="Times New Roman" w:cs="Times New Roman"/>
                <w:i/>
                <w:lang w:eastAsia="cs-CZ"/>
              </w:rPr>
              <w:t>2 862</w:t>
            </w:r>
          </w:p>
        </w:tc>
        <w:tc>
          <w:tcPr>
            <w:tcW w:w="752" w:type="pct"/>
            <w:tcBorders>
              <w:top w:val="nil"/>
              <w:left w:val="single" w:sz="4" w:space="0" w:color="auto"/>
              <w:bottom w:val="nil"/>
              <w:right w:val="single" w:sz="4" w:space="0" w:color="auto"/>
            </w:tcBorders>
          </w:tcPr>
          <w:p w:rsidR="00910074" w:rsidRPr="006E547F" w:rsidRDefault="00910074" w:rsidP="00910074">
            <w:pPr>
              <w:jc w:val="right"/>
              <w:rPr>
                <w:rFonts w:eastAsia="Times New Roman" w:cs="Times New Roman"/>
                <w:i/>
                <w:lang w:eastAsia="cs-CZ"/>
              </w:rPr>
            </w:pPr>
            <w:r w:rsidRPr="006E547F">
              <w:rPr>
                <w:rFonts w:eastAsia="Times New Roman" w:cs="Times New Roman"/>
                <w:i/>
                <w:lang w:eastAsia="cs-CZ"/>
              </w:rPr>
              <w:t>0</w:t>
            </w:r>
          </w:p>
        </w:tc>
        <w:tc>
          <w:tcPr>
            <w:tcW w:w="764" w:type="pct"/>
            <w:tcBorders>
              <w:top w:val="nil"/>
              <w:left w:val="single" w:sz="4" w:space="0" w:color="auto"/>
              <w:bottom w:val="nil"/>
              <w:right w:val="single" w:sz="4" w:space="0" w:color="auto"/>
            </w:tcBorders>
          </w:tcPr>
          <w:p w:rsidR="00910074" w:rsidRPr="006E547F" w:rsidRDefault="00910074" w:rsidP="00910074">
            <w:pPr>
              <w:jc w:val="right"/>
              <w:rPr>
                <w:rFonts w:eastAsia="Times New Roman" w:cs="Times New Roman"/>
                <w:i/>
                <w:lang w:eastAsia="cs-CZ"/>
              </w:rPr>
            </w:pPr>
            <w:r w:rsidRPr="006E547F">
              <w:rPr>
                <w:rFonts w:eastAsia="Times New Roman" w:cs="Times New Roman"/>
                <w:i/>
                <w:lang w:eastAsia="cs-CZ"/>
              </w:rPr>
              <w:t>0</w:t>
            </w:r>
          </w:p>
        </w:tc>
        <w:tc>
          <w:tcPr>
            <w:tcW w:w="590" w:type="pct"/>
            <w:tcBorders>
              <w:top w:val="nil"/>
              <w:left w:val="single" w:sz="4" w:space="0" w:color="auto"/>
              <w:bottom w:val="nil"/>
              <w:right w:val="single" w:sz="8" w:space="0" w:color="7F7F7F" w:themeColor="text1" w:themeTint="80"/>
            </w:tcBorders>
          </w:tcPr>
          <w:p w:rsidR="00910074" w:rsidRPr="006E547F" w:rsidRDefault="00910074" w:rsidP="00910074">
            <w:pPr>
              <w:jc w:val="right"/>
              <w:rPr>
                <w:rFonts w:eastAsia="Times New Roman" w:cs="Times New Roman"/>
                <w:i/>
                <w:lang w:eastAsia="cs-CZ"/>
              </w:rPr>
            </w:pPr>
            <w:r w:rsidRPr="006E547F">
              <w:rPr>
                <w:rFonts w:eastAsia="Times New Roman" w:cs="Times New Roman"/>
                <w:i/>
                <w:lang w:eastAsia="cs-CZ"/>
              </w:rPr>
              <w:t>x</w:t>
            </w:r>
          </w:p>
        </w:tc>
      </w:tr>
      <w:tr w:rsidR="00910074" w:rsidRPr="006E547F" w:rsidTr="00910074">
        <w:tc>
          <w:tcPr>
            <w:tcW w:w="2159" w:type="pct"/>
            <w:tcBorders>
              <w:top w:val="nil"/>
              <w:left w:val="single" w:sz="8" w:space="0" w:color="7F7F7F" w:themeColor="text1" w:themeTint="80"/>
              <w:bottom w:val="single" w:sz="8" w:space="0" w:color="7F7F7F" w:themeColor="text1" w:themeTint="80"/>
              <w:right w:val="single" w:sz="4" w:space="0" w:color="auto"/>
            </w:tcBorders>
          </w:tcPr>
          <w:p w:rsidR="00910074" w:rsidRPr="006E547F" w:rsidRDefault="00910074" w:rsidP="00910074">
            <w:pPr>
              <w:spacing w:line="240" w:lineRule="auto"/>
              <w:rPr>
                <w:rFonts w:eastAsia="Times New Roman" w:cs="Times New Roman"/>
                <w:i/>
                <w:lang w:eastAsia="cs-CZ"/>
              </w:rPr>
            </w:pPr>
            <w:r w:rsidRPr="006E547F">
              <w:rPr>
                <w:rFonts w:eastAsia="Times New Roman" w:cs="Times New Roman"/>
                <w:i/>
                <w:lang w:eastAsia="cs-CZ"/>
              </w:rPr>
              <w:t xml:space="preserve">      prostředky z fondů EU</w:t>
            </w:r>
          </w:p>
        </w:tc>
        <w:tc>
          <w:tcPr>
            <w:tcW w:w="735" w:type="pct"/>
            <w:tcBorders>
              <w:top w:val="nil"/>
              <w:left w:val="single" w:sz="4" w:space="0" w:color="auto"/>
              <w:bottom w:val="single" w:sz="8" w:space="0" w:color="7F7F7F" w:themeColor="text1" w:themeTint="80"/>
              <w:right w:val="single" w:sz="4" w:space="0" w:color="auto"/>
            </w:tcBorders>
          </w:tcPr>
          <w:p w:rsidR="00910074" w:rsidRPr="006E547F" w:rsidRDefault="00910074" w:rsidP="00910074">
            <w:pPr>
              <w:jc w:val="right"/>
              <w:rPr>
                <w:rFonts w:eastAsia="Times New Roman" w:cs="Times New Roman"/>
                <w:i/>
                <w:lang w:eastAsia="cs-CZ"/>
              </w:rPr>
            </w:pPr>
            <w:r w:rsidRPr="006E547F">
              <w:rPr>
                <w:rFonts w:eastAsia="Times New Roman" w:cs="Times New Roman"/>
                <w:i/>
                <w:lang w:eastAsia="cs-CZ"/>
              </w:rPr>
              <w:t>0</w:t>
            </w:r>
          </w:p>
        </w:tc>
        <w:tc>
          <w:tcPr>
            <w:tcW w:w="752" w:type="pct"/>
            <w:tcBorders>
              <w:top w:val="nil"/>
              <w:left w:val="single" w:sz="4" w:space="0" w:color="auto"/>
              <w:bottom w:val="single" w:sz="8" w:space="0" w:color="7F7F7F" w:themeColor="text1" w:themeTint="80"/>
              <w:right w:val="single" w:sz="4" w:space="0" w:color="auto"/>
            </w:tcBorders>
          </w:tcPr>
          <w:p w:rsidR="00910074" w:rsidRPr="006E547F" w:rsidRDefault="00910074" w:rsidP="00910074">
            <w:pPr>
              <w:jc w:val="right"/>
              <w:rPr>
                <w:rFonts w:eastAsia="Times New Roman" w:cs="Times New Roman"/>
                <w:i/>
                <w:lang w:eastAsia="cs-CZ"/>
              </w:rPr>
            </w:pPr>
            <w:r w:rsidRPr="006E547F">
              <w:rPr>
                <w:rFonts w:eastAsia="Times New Roman" w:cs="Times New Roman"/>
                <w:i/>
                <w:lang w:eastAsia="cs-CZ"/>
              </w:rPr>
              <w:t>0</w:t>
            </w:r>
          </w:p>
        </w:tc>
        <w:tc>
          <w:tcPr>
            <w:tcW w:w="764" w:type="pct"/>
            <w:tcBorders>
              <w:top w:val="nil"/>
              <w:left w:val="single" w:sz="4" w:space="0" w:color="auto"/>
              <w:bottom w:val="single" w:sz="8" w:space="0" w:color="7F7F7F" w:themeColor="text1" w:themeTint="80"/>
              <w:right w:val="single" w:sz="4" w:space="0" w:color="auto"/>
            </w:tcBorders>
          </w:tcPr>
          <w:p w:rsidR="00910074" w:rsidRPr="006E547F" w:rsidRDefault="00910074" w:rsidP="00910074">
            <w:pPr>
              <w:jc w:val="right"/>
              <w:rPr>
                <w:rFonts w:eastAsia="Times New Roman" w:cs="Times New Roman"/>
                <w:i/>
                <w:lang w:eastAsia="cs-CZ"/>
              </w:rPr>
            </w:pPr>
            <w:r w:rsidRPr="006E547F">
              <w:rPr>
                <w:rFonts w:eastAsia="Times New Roman" w:cs="Times New Roman"/>
                <w:i/>
                <w:lang w:eastAsia="cs-CZ"/>
              </w:rPr>
              <w:t>0</w:t>
            </w:r>
          </w:p>
        </w:tc>
        <w:tc>
          <w:tcPr>
            <w:tcW w:w="590" w:type="pct"/>
            <w:tcBorders>
              <w:top w:val="nil"/>
              <w:left w:val="single" w:sz="4" w:space="0" w:color="auto"/>
              <w:bottom w:val="single" w:sz="8" w:space="0" w:color="7F7F7F" w:themeColor="text1" w:themeTint="80"/>
              <w:right w:val="single" w:sz="8" w:space="0" w:color="7F7F7F" w:themeColor="text1" w:themeTint="80"/>
            </w:tcBorders>
          </w:tcPr>
          <w:p w:rsidR="00910074" w:rsidRPr="006E547F" w:rsidRDefault="00910074" w:rsidP="00910074">
            <w:pPr>
              <w:jc w:val="right"/>
              <w:rPr>
                <w:rFonts w:eastAsia="Times New Roman" w:cs="Times New Roman"/>
                <w:i/>
                <w:lang w:eastAsia="cs-CZ"/>
              </w:rPr>
            </w:pPr>
            <w:r w:rsidRPr="006E547F">
              <w:rPr>
                <w:rFonts w:eastAsia="Times New Roman" w:cs="Times New Roman"/>
                <w:i/>
                <w:lang w:eastAsia="cs-CZ"/>
              </w:rPr>
              <w:t>x</w:t>
            </w:r>
          </w:p>
        </w:tc>
      </w:tr>
    </w:tbl>
    <w:p w:rsidR="00BD28A7" w:rsidRPr="00860150" w:rsidRDefault="000E081D" w:rsidP="00D00A45">
      <w:pPr>
        <w:pStyle w:val="Nadpis2"/>
      </w:pPr>
      <w:bookmarkStart w:id="107" w:name="_Toc53750585"/>
      <w:r w:rsidRPr="00860150">
        <w:lastRenderedPageBreak/>
        <w:t>P</w:t>
      </w:r>
      <w:r w:rsidR="00BD28A7" w:rsidRPr="00860150">
        <w:t>rostředky fondů Evropské unie</w:t>
      </w:r>
      <w:bookmarkEnd w:id="106"/>
      <w:bookmarkEnd w:id="107"/>
    </w:p>
    <w:p w:rsidR="00860150" w:rsidRPr="00FA1AA6" w:rsidRDefault="00860150" w:rsidP="00860150">
      <w:pPr>
        <w:pStyle w:val="Styl1"/>
        <w:rPr>
          <w:b/>
          <w:color w:val="FF0000"/>
        </w:rPr>
      </w:pPr>
      <w:bookmarkStart w:id="108" w:name="_Toc462314412"/>
      <w:r w:rsidRPr="00FA1AA6">
        <w:t xml:space="preserve">Návrh rozpočtu kapitoly 327 MD na rok 2021 předpokládá objem prostředků fondů Evropské unie v celkové výši </w:t>
      </w:r>
      <w:r w:rsidR="00815536">
        <w:rPr>
          <w:b/>
        </w:rPr>
        <w:t>39</w:t>
      </w:r>
      <w:r>
        <w:rPr>
          <w:b/>
        </w:rPr>
        <w:t> 703 023</w:t>
      </w:r>
      <w:r w:rsidRPr="00FA1AA6">
        <w:rPr>
          <w:b/>
          <w:bCs/>
          <w:color w:val="FF0000"/>
        </w:rPr>
        <w:t xml:space="preserve"> </w:t>
      </w:r>
      <w:r w:rsidRPr="00FA1AA6">
        <w:rPr>
          <w:b/>
        </w:rPr>
        <w:t>tis. Kč.</w:t>
      </w:r>
      <w:r w:rsidRPr="00FA1AA6">
        <w:t xml:space="preserve"> V této částce jsou zahrnuty prostředky programového období </w:t>
      </w:r>
      <w:r w:rsidRPr="00FA1AA6">
        <w:rPr>
          <w:u w:val="single"/>
        </w:rPr>
        <w:t>2014-2020</w:t>
      </w:r>
      <w:r w:rsidRPr="00FA1AA6">
        <w:t xml:space="preserve"> (Operační program Doprava 2014 - 2020 – Kohezní fond a Strukturální fondy), </w:t>
      </w:r>
      <w:r>
        <w:t xml:space="preserve">fond obnovy - </w:t>
      </w:r>
      <w:r w:rsidRPr="00FA1AA6">
        <w:t>Facilita na podporu oživení a o</w:t>
      </w:r>
      <w:r w:rsidR="0049013C">
        <w:t>dolnosti a</w:t>
      </w:r>
      <w:r w:rsidR="00414940">
        <w:t xml:space="preserve"> rovněž</w:t>
      </w:r>
      <w:r w:rsidR="0049013C">
        <w:t xml:space="preserve"> komunitární programy</w:t>
      </w:r>
      <w:r w:rsidRPr="00001CCB">
        <w:t>.</w:t>
      </w:r>
      <w:r w:rsidRPr="00FA1AA6">
        <w:rPr>
          <w:color w:val="FF0000"/>
        </w:rPr>
        <w:t xml:space="preserve"> </w:t>
      </w:r>
      <w:r w:rsidRPr="00FA1AA6">
        <w:t xml:space="preserve">Spolufinancování z kapitoly 327 MD se předpokládá ve </w:t>
      </w:r>
      <w:r w:rsidRPr="00001CCB">
        <w:t xml:space="preserve">výši </w:t>
      </w:r>
      <w:r w:rsidRPr="00001CCB">
        <w:rPr>
          <w:b/>
        </w:rPr>
        <w:t>13 624 tis. Kč.</w:t>
      </w:r>
    </w:p>
    <w:p w:rsidR="00860150" w:rsidRDefault="00860150" w:rsidP="00860150">
      <w:pPr>
        <w:spacing w:after="120"/>
        <w:rPr>
          <w:rFonts w:eastAsia="Times New Roman" w:cs="Times New Roman"/>
          <w:b/>
          <w:sz w:val="20"/>
          <w:szCs w:val="20"/>
          <w:lang w:eastAsia="cs-CZ"/>
        </w:rPr>
      </w:pPr>
      <w:r w:rsidRPr="00001CCB">
        <w:rPr>
          <w:rFonts w:eastAsia="Times New Roman" w:cs="Times New Roman"/>
          <w:b/>
          <w:sz w:val="20"/>
          <w:szCs w:val="20"/>
          <w:lang w:eastAsia="cs-CZ"/>
        </w:rPr>
        <w:t xml:space="preserve">Tabulka č. </w:t>
      </w:r>
      <w:r w:rsidRPr="00001CCB">
        <w:rPr>
          <w:rFonts w:eastAsia="Times New Roman" w:cs="Times New Roman"/>
          <w:b/>
          <w:sz w:val="20"/>
          <w:szCs w:val="20"/>
          <w:lang w:eastAsia="cs-CZ"/>
        </w:rPr>
        <w:fldChar w:fldCharType="begin"/>
      </w:r>
      <w:r w:rsidRPr="00001CCB">
        <w:rPr>
          <w:rFonts w:eastAsia="Times New Roman" w:cs="Times New Roman"/>
          <w:b/>
          <w:sz w:val="20"/>
          <w:szCs w:val="20"/>
          <w:lang w:eastAsia="cs-CZ"/>
        </w:rPr>
        <w:instrText xml:space="preserve"> SEQ Tabulka \* ARABIC </w:instrText>
      </w:r>
      <w:r w:rsidRPr="00001CCB">
        <w:rPr>
          <w:rFonts w:eastAsia="Times New Roman" w:cs="Times New Roman"/>
          <w:b/>
          <w:sz w:val="20"/>
          <w:szCs w:val="20"/>
          <w:lang w:eastAsia="cs-CZ"/>
        </w:rPr>
        <w:fldChar w:fldCharType="separate"/>
      </w:r>
      <w:r w:rsidR="006076E7">
        <w:rPr>
          <w:rFonts w:eastAsia="Times New Roman" w:cs="Times New Roman"/>
          <w:b/>
          <w:noProof/>
          <w:sz w:val="20"/>
          <w:szCs w:val="20"/>
          <w:lang w:eastAsia="cs-CZ"/>
        </w:rPr>
        <w:t>44</w:t>
      </w:r>
      <w:r w:rsidRPr="00001CCB">
        <w:rPr>
          <w:rFonts w:eastAsia="Times New Roman" w:cs="Times New Roman"/>
          <w:b/>
          <w:sz w:val="20"/>
          <w:szCs w:val="20"/>
          <w:lang w:eastAsia="cs-CZ"/>
        </w:rPr>
        <w:fldChar w:fldCharType="end"/>
      </w:r>
      <w:r w:rsidRPr="00001CCB">
        <w:rPr>
          <w:rFonts w:eastAsia="Times New Roman" w:cs="Times New Roman"/>
          <w:b/>
          <w:sz w:val="20"/>
          <w:szCs w:val="20"/>
          <w:lang w:eastAsia="cs-CZ"/>
        </w:rPr>
        <w:t xml:space="preserve"> Přehled výdajů Evropské unie (v tis. Kč)</w:t>
      </w:r>
    </w:p>
    <w:tbl>
      <w:tblPr>
        <w:tblStyle w:val="Prosttabulka2"/>
        <w:tblW w:w="9067" w:type="dxa"/>
        <w:tblBorders>
          <w:left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390"/>
        <w:gridCol w:w="1417"/>
        <w:gridCol w:w="1559"/>
        <w:gridCol w:w="1701"/>
      </w:tblGrid>
      <w:tr w:rsidR="00860150" w:rsidRPr="00FA1AA6" w:rsidTr="001E7801">
        <w:trPr>
          <w:cnfStyle w:val="000000100000" w:firstRow="0" w:lastRow="0" w:firstColumn="0" w:lastColumn="0" w:oddVBand="0" w:evenVBand="0" w:oddHBand="1" w:evenHBand="0" w:firstRowFirstColumn="0" w:firstRowLastColumn="0" w:lastRowFirstColumn="0" w:lastRowLastColumn="0"/>
          <w:trHeight w:val="467"/>
        </w:trPr>
        <w:tc>
          <w:tcPr>
            <w:cnfStyle w:val="000010000000" w:firstRow="0" w:lastRow="0" w:firstColumn="0" w:lastColumn="0" w:oddVBand="1" w:evenVBand="0" w:oddHBand="0" w:evenHBand="0" w:firstRowFirstColumn="0" w:firstRowLastColumn="0" w:lastRowFirstColumn="0" w:lastRowLastColumn="0"/>
            <w:tcW w:w="4390" w:type="dxa"/>
            <w:shd w:val="thinReverseDiagStripe" w:color="D9D9D9" w:themeColor="background1" w:themeShade="D9" w:fill="auto"/>
          </w:tcPr>
          <w:p w:rsidR="00860150" w:rsidRPr="00001CCB" w:rsidRDefault="00860150" w:rsidP="001B037B">
            <w:pPr>
              <w:spacing w:before="120"/>
              <w:jc w:val="center"/>
              <w:rPr>
                <w:rFonts w:cs="Times New Roman"/>
                <w:b/>
                <w:bCs/>
              </w:rPr>
            </w:pPr>
            <w:r w:rsidRPr="00001CCB">
              <w:rPr>
                <w:rFonts w:cs="Times New Roman"/>
                <w:b/>
                <w:bCs/>
              </w:rPr>
              <w:t>Titul</w:t>
            </w:r>
          </w:p>
        </w:tc>
        <w:tc>
          <w:tcPr>
            <w:cnfStyle w:val="000001000000" w:firstRow="0" w:lastRow="0" w:firstColumn="0" w:lastColumn="0" w:oddVBand="0" w:evenVBand="1" w:oddHBand="0" w:evenHBand="0" w:firstRowFirstColumn="0" w:firstRowLastColumn="0" w:lastRowFirstColumn="0" w:lastRowLastColumn="0"/>
            <w:tcW w:w="1417" w:type="dxa"/>
            <w:shd w:val="thinReverseDiagStripe" w:color="D9D9D9" w:themeColor="background1" w:themeShade="D9" w:fill="auto"/>
          </w:tcPr>
          <w:p w:rsidR="00860150" w:rsidRPr="00001CCB" w:rsidRDefault="00860150" w:rsidP="001B037B">
            <w:pPr>
              <w:jc w:val="center"/>
              <w:rPr>
                <w:rFonts w:cs="Times New Roman"/>
                <w:b/>
                <w:bCs/>
              </w:rPr>
            </w:pPr>
            <w:r w:rsidRPr="00001CCB">
              <w:rPr>
                <w:rFonts w:cs="Times New Roman"/>
                <w:b/>
                <w:bCs/>
              </w:rPr>
              <w:t xml:space="preserve">Běžné </w:t>
            </w:r>
          </w:p>
          <w:p w:rsidR="00860150" w:rsidRPr="00001CCB" w:rsidRDefault="00860150" w:rsidP="001B037B">
            <w:pPr>
              <w:jc w:val="center"/>
              <w:rPr>
                <w:rFonts w:cs="Times New Roman"/>
                <w:b/>
                <w:bCs/>
              </w:rPr>
            </w:pPr>
            <w:r w:rsidRPr="00001CCB">
              <w:rPr>
                <w:rFonts w:cs="Times New Roman"/>
                <w:b/>
                <w:bCs/>
              </w:rPr>
              <w:t>výdaje</w:t>
            </w:r>
          </w:p>
        </w:tc>
        <w:tc>
          <w:tcPr>
            <w:cnfStyle w:val="000010000000" w:firstRow="0" w:lastRow="0" w:firstColumn="0" w:lastColumn="0" w:oddVBand="1" w:evenVBand="0" w:oddHBand="0" w:evenHBand="0" w:firstRowFirstColumn="0" w:firstRowLastColumn="0" w:lastRowFirstColumn="0" w:lastRowLastColumn="0"/>
            <w:tcW w:w="1559" w:type="dxa"/>
            <w:shd w:val="thinReverseDiagStripe" w:color="D9D9D9" w:themeColor="background1" w:themeShade="D9" w:fill="auto"/>
          </w:tcPr>
          <w:p w:rsidR="00860150" w:rsidRPr="00001CCB" w:rsidRDefault="00860150" w:rsidP="001B037B">
            <w:pPr>
              <w:ind w:left="180" w:hanging="180"/>
              <w:jc w:val="center"/>
              <w:rPr>
                <w:rFonts w:cs="Times New Roman"/>
                <w:b/>
                <w:bCs/>
              </w:rPr>
            </w:pPr>
            <w:r w:rsidRPr="00001CCB">
              <w:rPr>
                <w:rFonts w:cs="Times New Roman"/>
                <w:b/>
                <w:bCs/>
              </w:rPr>
              <w:t>Kapitálové výdaje</w:t>
            </w:r>
          </w:p>
        </w:tc>
        <w:tc>
          <w:tcPr>
            <w:cnfStyle w:val="000001000000" w:firstRow="0" w:lastRow="0" w:firstColumn="0" w:lastColumn="0" w:oddVBand="0" w:evenVBand="1" w:oddHBand="0" w:evenHBand="0" w:firstRowFirstColumn="0" w:firstRowLastColumn="0" w:lastRowFirstColumn="0" w:lastRowLastColumn="0"/>
            <w:tcW w:w="1701" w:type="dxa"/>
            <w:shd w:val="thinReverseDiagStripe" w:color="D9D9D9" w:themeColor="background1" w:themeShade="D9" w:fill="auto"/>
          </w:tcPr>
          <w:p w:rsidR="00860150" w:rsidRPr="00001CCB" w:rsidRDefault="00860150" w:rsidP="001B037B">
            <w:pPr>
              <w:spacing w:before="120"/>
              <w:jc w:val="center"/>
              <w:rPr>
                <w:rFonts w:cs="Times New Roman"/>
                <w:b/>
                <w:bCs/>
              </w:rPr>
            </w:pPr>
            <w:r w:rsidRPr="00001CCB">
              <w:rPr>
                <w:rFonts w:cs="Times New Roman"/>
                <w:b/>
                <w:bCs/>
              </w:rPr>
              <w:t>Celkem</w:t>
            </w:r>
          </w:p>
        </w:tc>
      </w:tr>
      <w:tr w:rsidR="00860150" w:rsidRPr="00FA1AA6" w:rsidTr="001E7801">
        <w:trPr>
          <w:trHeight w:val="452"/>
        </w:trPr>
        <w:tc>
          <w:tcPr>
            <w:cnfStyle w:val="000010000000" w:firstRow="0" w:lastRow="0" w:firstColumn="0" w:lastColumn="0" w:oddVBand="1" w:evenVBand="0" w:oddHBand="0" w:evenHBand="0" w:firstRowFirstColumn="0" w:firstRowLastColumn="0" w:lastRowFirstColumn="0" w:lastRowLastColumn="0"/>
            <w:tcW w:w="4390" w:type="dxa"/>
          </w:tcPr>
          <w:p w:rsidR="00860150" w:rsidRPr="00001CCB" w:rsidRDefault="00860150" w:rsidP="00C623B9">
            <w:pPr>
              <w:spacing w:before="100"/>
              <w:rPr>
                <w:rFonts w:cs="Times New Roman"/>
                <w:b/>
                <w:bCs/>
              </w:rPr>
            </w:pPr>
            <w:r>
              <w:rPr>
                <w:rFonts w:cs="Times New Roman"/>
                <w:b/>
                <w:bCs/>
              </w:rPr>
              <w:t>Facilita na podporu oživení a odolnosti</w:t>
            </w:r>
          </w:p>
        </w:tc>
        <w:tc>
          <w:tcPr>
            <w:cnfStyle w:val="000001000000" w:firstRow="0" w:lastRow="0" w:firstColumn="0" w:lastColumn="0" w:oddVBand="0" w:evenVBand="1" w:oddHBand="0" w:evenHBand="0" w:firstRowFirstColumn="0" w:firstRowLastColumn="0" w:lastRowFirstColumn="0" w:lastRowLastColumn="0"/>
            <w:tcW w:w="1417" w:type="dxa"/>
          </w:tcPr>
          <w:p w:rsidR="00860150" w:rsidRPr="00001CCB" w:rsidRDefault="00860150" w:rsidP="00C623B9">
            <w:pPr>
              <w:spacing w:before="100"/>
              <w:jc w:val="right"/>
              <w:rPr>
                <w:rFonts w:cs="Times New Roman"/>
                <w:b/>
                <w:bCs/>
              </w:rPr>
            </w:pPr>
            <w:r>
              <w:rPr>
                <w:rFonts w:cs="Times New Roman"/>
                <w:b/>
                <w:bCs/>
              </w:rPr>
              <w:t>0</w:t>
            </w:r>
          </w:p>
        </w:tc>
        <w:tc>
          <w:tcPr>
            <w:cnfStyle w:val="000010000000" w:firstRow="0" w:lastRow="0" w:firstColumn="0" w:lastColumn="0" w:oddVBand="1" w:evenVBand="0" w:oddHBand="0" w:evenHBand="0" w:firstRowFirstColumn="0" w:firstRowLastColumn="0" w:lastRowFirstColumn="0" w:lastRowLastColumn="0"/>
            <w:tcW w:w="1559" w:type="dxa"/>
          </w:tcPr>
          <w:p w:rsidR="00860150" w:rsidRPr="00001CCB" w:rsidRDefault="00860150" w:rsidP="00C623B9">
            <w:pPr>
              <w:spacing w:before="100"/>
              <w:jc w:val="right"/>
              <w:rPr>
                <w:rFonts w:cs="Times New Roman"/>
                <w:b/>
                <w:bCs/>
              </w:rPr>
            </w:pPr>
            <w:r>
              <w:rPr>
                <w:rFonts w:cs="Times New Roman"/>
                <w:b/>
                <w:bCs/>
              </w:rPr>
              <w:t>15 000 000</w:t>
            </w:r>
          </w:p>
        </w:tc>
        <w:tc>
          <w:tcPr>
            <w:cnfStyle w:val="000001000000" w:firstRow="0" w:lastRow="0" w:firstColumn="0" w:lastColumn="0" w:oddVBand="0" w:evenVBand="1" w:oddHBand="0" w:evenHBand="0" w:firstRowFirstColumn="0" w:firstRowLastColumn="0" w:lastRowFirstColumn="0" w:lastRowLastColumn="0"/>
            <w:tcW w:w="1701" w:type="dxa"/>
          </w:tcPr>
          <w:p w:rsidR="00860150" w:rsidRPr="00001CCB" w:rsidRDefault="00860150" w:rsidP="00C623B9">
            <w:pPr>
              <w:tabs>
                <w:tab w:val="left" w:pos="0"/>
              </w:tabs>
              <w:spacing w:before="100"/>
              <w:jc w:val="right"/>
              <w:rPr>
                <w:rFonts w:cs="Times New Roman"/>
                <w:b/>
                <w:bCs/>
              </w:rPr>
            </w:pPr>
            <w:r>
              <w:rPr>
                <w:rFonts w:cs="Times New Roman"/>
                <w:b/>
                <w:bCs/>
              </w:rPr>
              <w:t>15 000 000</w:t>
            </w:r>
          </w:p>
        </w:tc>
      </w:tr>
      <w:tr w:rsidR="00815536" w:rsidRPr="00FA1AA6" w:rsidTr="00E91407">
        <w:trPr>
          <w:cnfStyle w:val="000000100000" w:firstRow="0" w:lastRow="0" w:firstColumn="0" w:lastColumn="0" w:oddVBand="0" w:evenVBand="0" w:oddHBand="1" w:evenHBand="0" w:firstRowFirstColumn="0" w:firstRowLastColumn="0" w:lastRowFirstColumn="0" w:lastRowLastColumn="0"/>
          <w:trHeight w:val="452"/>
        </w:trPr>
        <w:tc>
          <w:tcPr>
            <w:cnfStyle w:val="000010000000" w:firstRow="0" w:lastRow="0" w:firstColumn="0" w:lastColumn="0" w:oddVBand="1" w:evenVBand="0" w:oddHBand="0" w:evenHBand="0" w:firstRowFirstColumn="0" w:firstRowLastColumn="0" w:lastRowFirstColumn="0" w:lastRowLastColumn="0"/>
            <w:tcW w:w="4390" w:type="dxa"/>
          </w:tcPr>
          <w:p w:rsidR="00815536" w:rsidRPr="00815536" w:rsidRDefault="00815536" w:rsidP="00E91407">
            <w:pPr>
              <w:spacing w:before="60"/>
              <w:rPr>
                <w:rFonts w:cs="Times New Roman"/>
                <w:bCs/>
              </w:rPr>
            </w:pPr>
            <w:r w:rsidRPr="00815536">
              <w:rPr>
                <w:rFonts w:cs="Times New Roman"/>
                <w:b/>
                <w:bCs/>
              </w:rPr>
              <w:t>Společné programy ČR a EU</w:t>
            </w:r>
            <w:r w:rsidR="00E95E33">
              <w:rPr>
                <w:rFonts w:cs="Times New Roman"/>
                <w:bCs/>
              </w:rPr>
              <w:t xml:space="preserve"> (programové</w:t>
            </w:r>
            <w:r w:rsidRPr="00815536">
              <w:rPr>
                <w:rFonts w:cs="Times New Roman"/>
                <w:bCs/>
              </w:rPr>
              <w:t xml:space="preserve"> období 2014-2020) v tom:</w:t>
            </w:r>
          </w:p>
        </w:tc>
        <w:tc>
          <w:tcPr>
            <w:cnfStyle w:val="000001000000" w:firstRow="0" w:lastRow="0" w:firstColumn="0" w:lastColumn="0" w:oddVBand="0" w:evenVBand="1" w:oddHBand="0" w:evenHBand="0" w:firstRowFirstColumn="0" w:firstRowLastColumn="0" w:lastRowFirstColumn="0" w:lastRowLastColumn="0"/>
            <w:tcW w:w="1417" w:type="dxa"/>
            <w:vAlign w:val="center"/>
          </w:tcPr>
          <w:p w:rsidR="00815536" w:rsidRPr="00815536" w:rsidRDefault="00815536" w:rsidP="00A20D0E">
            <w:pPr>
              <w:spacing w:before="60"/>
              <w:jc w:val="right"/>
              <w:rPr>
                <w:rFonts w:cs="Times New Roman"/>
                <w:b/>
                <w:bCs/>
              </w:rPr>
            </w:pPr>
            <w:r w:rsidRPr="00815536">
              <w:rPr>
                <w:rFonts w:cs="Times New Roman"/>
                <w:b/>
                <w:bCs/>
              </w:rPr>
              <w:t>162 69</w:t>
            </w:r>
            <w:r w:rsidR="00A20D0E">
              <w:rPr>
                <w:rFonts w:cs="Times New Roman"/>
                <w:b/>
                <w:bCs/>
              </w:rPr>
              <w:t>9</w:t>
            </w:r>
          </w:p>
        </w:tc>
        <w:tc>
          <w:tcPr>
            <w:cnfStyle w:val="000010000000" w:firstRow="0" w:lastRow="0" w:firstColumn="0" w:lastColumn="0" w:oddVBand="1" w:evenVBand="0" w:oddHBand="0" w:evenHBand="0" w:firstRowFirstColumn="0" w:firstRowLastColumn="0" w:lastRowFirstColumn="0" w:lastRowLastColumn="0"/>
            <w:tcW w:w="1559" w:type="dxa"/>
            <w:vAlign w:val="center"/>
          </w:tcPr>
          <w:p w:rsidR="00815536" w:rsidRPr="00815536" w:rsidRDefault="00815536" w:rsidP="00E91407">
            <w:pPr>
              <w:spacing w:before="60"/>
              <w:jc w:val="right"/>
              <w:rPr>
                <w:rFonts w:cs="Times New Roman"/>
                <w:b/>
                <w:bCs/>
              </w:rPr>
            </w:pPr>
            <w:r w:rsidRPr="00815536">
              <w:rPr>
                <w:rFonts w:cs="Times New Roman"/>
                <w:b/>
                <w:bCs/>
              </w:rPr>
              <w:t>24 540 324</w:t>
            </w:r>
          </w:p>
        </w:tc>
        <w:tc>
          <w:tcPr>
            <w:cnfStyle w:val="000001000000" w:firstRow="0" w:lastRow="0" w:firstColumn="0" w:lastColumn="0" w:oddVBand="0" w:evenVBand="1" w:oddHBand="0" w:evenHBand="0" w:firstRowFirstColumn="0" w:firstRowLastColumn="0" w:lastRowFirstColumn="0" w:lastRowLastColumn="0"/>
            <w:tcW w:w="1701" w:type="dxa"/>
            <w:vAlign w:val="center"/>
          </w:tcPr>
          <w:p w:rsidR="00815536" w:rsidRPr="00815536" w:rsidRDefault="00815536" w:rsidP="00E91407">
            <w:pPr>
              <w:tabs>
                <w:tab w:val="left" w:pos="0"/>
              </w:tabs>
              <w:spacing w:before="60"/>
              <w:jc w:val="right"/>
              <w:rPr>
                <w:rFonts w:cs="Times New Roman"/>
                <w:b/>
                <w:bCs/>
              </w:rPr>
            </w:pPr>
            <w:r w:rsidRPr="00815536">
              <w:rPr>
                <w:rFonts w:cs="Times New Roman"/>
                <w:b/>
                <w:bCs/>
              </w:rPr>
              <w:t>24 703 023</w:t>
            </w:r>
          </w:p>
        </w:tc>
      </w:tr>
      <w:tr w:rsidR="00860150" w:rsidRPr="00FA1AA6" w:rsidTr="001E7801">
        <w:trPr>
          <w:trHeight w:val="226"/>
        </w:trPr>
        <w:tc>
          <w:tcPr>
            <w:cnfStyle w:val="000010000000" w:firstRow="0" w:lastRow="0" w:firstColumn="0" w:lastColumn="0" w:oddVBand="1" w:evenVBand="0" w:oddHBand="0" w:evenHBand="0" w:firstRowFirstColumn="0" w:firstRowLastColumn="0" w:lastRowFirstColumn="0" w:lastRowLastColumn="0"/>
            <w:tcW w:w="4390" w:type="dxa"/>
          </w:tcPr>
          <w:p w:rsidR="00860150" w:rsidRPr="00001CCB" w:rsidRDefault="00860150" w:rsidP="001B037B">
            <w:pPr>
              <w:tabs>
                <w:tab w:val="left" w:pos="330"/>
                <w:tab w:val="left" w:pos="513"/>
                <w:tab w:val="left" w:pos="720"/>
              </w:tabs>
              <w:rPr>
                <w:rFonts w:cs="Times New Roman"/>
                <w:bCs/>
              </w:rPr>
            </w:pPr>
            <w:r w:rsidRPr="00001CCB">
              <w:rPr>
                <w:rFonts w:cs="Times New Roman"/>
              </w:rPr>
              <w:t>Operační program Doprava 2014+</w:t>
            </w:r>
            <w:r w:rsidR="00694D31">
              <w:rPr>
                <w:rFonts w:cs="Times New Roman"/>
              </w:rPr>
              <w:t xml:space="preserve"> </w:t>
            </w:r>
            <w:r w:rsidRPr="00001CCB">
              <w:rPr>
                <w:rFonts w:cs="Times New Roman"/>
              </w:rPr>
              <w:t>v tom:</w:t>
            </w:r>
          </w:p>
        </w:tc>
        <w:tc>
          <w:tcPr>
            <w:cnfStyle w:val="000001000000" w:firstRow="0" w:lastRow="0" w:firstColumn="0" w:lastColumn="0" w:oddVBand="0" w:evenVBand="1" w:oddHBand="0" w:evenHBand="0" w:firstRowFirstColumn="0" w:firstRowLastColumn="0" w:lastRowFirstColumn="0" w:lastRowLastColumn="0"/>
            <w:tcW w:w="1417" w:type="dxa"/>
          </w:tcPr>
          <w:p w:rsidR="00860150" w:rsidRPr="00001CCB" w:rsidRDefault="00860150" w:rsidP="001B037B">
            <w:pPr>
              <w:jc w:val="right"/>
              <w:rPr>
                <w:rFonts w:cs="Times New Roman"/>
              </w:rPr>
            </w:pPr>
            <w:r>
              <w:rPr>
                <w:rFonts w:cs="Times New Roman"/>
              </w:rPr>
              <w:t>125 051</w:t>
            </w:r>
          </w:p>
        </w:tc>
        <w:tc>
          <w:tcPr>
            <w:cnfStyle w:val="000010000000" w:firstRow="0" w:lastRow="0" w:firstColumn="0" w:lastColumn="0" w:oddVBand="1" w:evenVBand="0" w:oddHBand="0" w:evenHBand="0" w:firstRowFirstColumn="0" w:firstRowLastColumn="0" w:lastRowFirstColumn="0" w:lastRowLastColumn="0"/>
            <w:tcW w:w="1559" w:type="dxa"/>
          </w:tcPr>
          <w:p w:rsidR="00860150" w:rsidRPr="00001CCB" w:rsidRDefault="00860150" w:rsidP="001B037B">
            <w:pPr>
              <w:jc w:val="right"/>
              <w:rPr>
                <w:rFonts w:cs="Times New Roman"/>
              </w:rPr>
            </w:pPr>
            <w:r>
              <w:rPr>
                <w:rFonts w:cs="Times New Roman"/>
              </w:rPr>
              <w:t>19 154 576</w:t>
            </w:r>
          </w:p>
        </w:tc>
        <w:tc>
          <w:tcPr>
            <w:cnfStyle w:val="000001000000" w:firstRow="0" w:lastRow="0" w:firstColumn="0" w:lastColumn="0" w:oddVBand="0" w:evenVBand="1" w:oddHBand="0" w:evenHBand="0" w:firstRowFirstColumn="0" w:firstRowLastColumn="0" w:lastRowFirstColumn="0" w:lastRowLastColumn="0"/>
            <w:tcW w:w="1701" w:type="dxa"/>
          </w:tcPr>
          <w:p w:rsidR="00860150" w:rsidRPr="00001CCB" w:rsidRDefault="00860150" w:rsidP="001B037B">
            <w:pPr>
              <w:jc w:val="right"/>
              <w:rPr>
                <w:rFonts w:cs="Times New Roman"/>
              </w:rPr>
            </w:pPr>
            <w:r>
              <w:rPr>
                <w:rFonts w:cs="Times New Roman"/>
              </w:rPr>
              <w:t>19 279 627</w:t>
            </w:r>
          </w:p>
        </w:tc>
      </w:tr>
      <w:tr w:rsidR="00860150" w:rsidRPr="00FA1AA6" w:rsidTr="001E7801">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390" w:type="dxa"/>
          </w:tcPr>
          <w:p w:rsidR="00860150" w:rsidRPr="00001CCB" w:rsidRDefault="00860150" w:rsidP="001B037B">
            <w:pPr>
              <w:rPr>
                <w:rFonts w:cs="Times New Roman"/>
                <w:i/>
              </w:rPr>
            </w:pPr>
            <w:r w:rsidRPr="00001CCB">
              <w:rPr>
                <w:rFonts w:cs="Times New Roman"/>
                <w:i/>
              </w:rPr>
              <w:t xml:space="preserve">       Kohezní fond (CF)</w:t>
            </w:r>
          </w:p>
        </w:tc>
        <w:tc>
          <w:tcPr>
            <w:cnfStyle w:val="000001000000" w:firstRow="0" w:lastRow="0" w:firstColumn="0" w:lastColumn="0" w:oddVBand="0" w:evenVBand="1" w:oddHBand="0" w:evenHBand="0" w:firstRowFirstColumn="0" w:firstRowLastColumn="0" w:lastRowFirstColumn="0" w:lastRowLastColumn="0"/>
            <w:tcW w:w="1417" w:type="dxa"/>
          </w:tcPr>
          <w:p w:rsidR="00860150" w:rsidRPr="00001CCB" w:rsidRDefault="00860150" w:rsidP="001B037B">
            <w:pPr>
              <w:jc w:val="right"/>
              <w:rPr>
                <w:rFonts w:cs="Times New Roman"/>
                <w:bCs/>
                <w:i/>
              </w:rPr>
            </w:pPr>
            <w:r>
              <w:rPr>
                <w:rFonts w:cs="Times New Roman"/>
                <w:bCs/>
                <w:i/>
              </w:rPr>
              <w:t>125 051</w:t>
            </w:r>
          </w:p>
        </w:tc>
        <w:tc>
          <w:tcPr>
            <w:cnfStyle w:val="000010000000" w:firstRow="0" w:lastRow="0" w:firstColumn="0" w:lastColumn="0" w:oddVBand="1" w:evenVBand="0" w:oddHBand="0" w:evenHBand="0" w:firstRowFirstColumn="0" w:firstRowLastColumn="0" w:lastRowFirstColumn="0" w:lastRowLastColumn="0"/>
            <w:tcW w:w="1559" w:type="dxa"/>
          </w:tcPr>
          <w:p w:rsidR="00860150" w:rsidRPr="00001CCB" w:rsidRDefault="00860150" w:rsidP="001B037B">
            <w:pPr>
              <w:jc w:val="right"/>
              <w:rPr>
                <w:rFonts w:cs="Times New Roman"/>
                <w:i/>
              </w:rPr>
            </w:pPr>
            <w:r>
              <w:rPr>
                <w:rFonts w:cs="Times New Roman"/>
                <w:i/>
              </w:rPr>
              <w:t>13 802 886</w:t>
            </w:r>
          </w:p>
        </w:tc>
        <w:tc>
          <w:tcPr>
            <w:cnfStyle w:val="000001000000" w:firstRow="0" w:lastRow="0" w:firstColumn="0" w:lastColumn="0" w:oddVBand="0" w:evenVBand="1" w:oddHBand="0" w:evenHBand="0" w:firstRowFirstColumn="0" w:firstRowLastColumn="0" w:lastRowFirstColumn="0" w:lastRowLastColumn="0"/>
            <w:tcW w:w="1701" w:type="dxa"/>
          </w:tcPr>
          <w:p w:rsidR="00860150" w:rsidRPr="00001CCB" w:rsidRDefault="00860150" w:rsidP="001B037B">
            <w:pPr>
              <w:jc w:val="right"/>
              <w:rPr>
                <w:rFonts w:cs="Times New Roman"/>
                <w:i/>
              </w:rPr>
            </w:pPr>
            <w:r>
              <w:rPr>
                <w:rFonts w:cs="Times New Roman"/>
                <w:i/>
              </w:rPr>
              <w:t>13 927 937</w:t>
            </w:r>
          </w:p>
        </w:tc>
      </w:tr>
      <w:tr w:rsidR="00860150" w:rsidRPr="00FA1AA6" w:rsidTr="001E7801">
        <w:trPr>
          <w:trHeight w:val="226"/>
        </w:trPr>
        <w:tc>
          <w:tcPr>
            <w:cnfStyle w:val="000010000000" w:firstRow="0" w:lastRow="0" w:firstColumn="0" w:lastColumn="0" w:oddVBand="1" w:evenVBand="0" w:oddHBand="0" w:evenHBand="0" w:firstRowFirstColumn="0" w:firstRowLastColumn="0" w:lastRowFirstColumn="0" w:lastRowLastColumn="0"/>
            <w:tcW w:w="4390" w:type="dxa"/>
          </w:tcPr>
          <w:p w:rsidR="00860150" w:rsidRPr="00001CCB" w:rsidRDefault="00860150" w:rsidP="001B037B">
            <w:pPr>
              <w:rPr>
                <w:rFonts w:cs="Times New Roman"/>
                <w:i/>
              </w:rPr>
            </w:pPr>
            <w:r w:rsidRPr="00001CCB">
              <w:rPr>
                <w:rFonts w:cs="Times New Roman"/>
                <w:i/>
              </w:rPr>
              <w:t xml:space="preserve">      Strukturální fondy (ERDF)</w:t>
            </w:r>
          </w:p>
        </w:tc>
        <w:tc>
          <w:tcPr>
            <w:cnfStyle w:val="000001000000" w:firstRow="0" w:lastRow="0" w:firstColumn="0" w:lastColumn="0" w:oddVBand="0" w:evenVBand="1" w:oddHBand="0" w:evenHBand="0" w:firstRowFirstColumn="0" w:firstRowLastColumn="0" w:lastRowFirstColumn="0" w:lastRowLastColumn="0"/>
            <w:tcW w:w="1417" w:type="dxa"/>
          </w:tcPr>
          <w:p w:rsidR="00860150" w:rsidRPr="00001CCB" w:rsidRDefault="00860150" w:rsidP="001B037B">
            <w:pPr>
              <w:ind w:left="180" w:hanging="180"/>
              <w:jc w:val="right"/>
              <w:rPr>
                <w:rFonts w:cs="Times New Roman"/>
                <w:i/>
              </w:rPr>
            </w:pPr>
            <w:r w:rsidRPr="00001CCB">
              <w:rPr>
                <w:rFonts w:cs="Times New Roman"/>
                <w:i/>
              </w:rPr>
              <w:t>0</w:t>
            </w:r>
          </w:p>
        </w:tc>
        <w:tc>
          <w:tcPr>
            <w:cnfStyle w:val="000010000000" w:firstRow="0" w:lastRow="0" w:firstColumn="0" w:lastColumn="0" w:oddVBand="1" w:evenVBand="0" w:oddHBand="0" w:evenHBand="0" w:firstRowFirstColumn="0" w:firstRowLastColumn="0" w:lastRowFirstColumn="0" w:lastRowLastColumn="0"/>
            <w:tcW w:w="1559" w:type="dxa"/>
          </w:tcPr>
          <w:p w:rsidR="00860150" w:rsidRPr="00001CCB" w:rsidRDefault="00860150" w:rsidP="001B037B">
            <w:pPr>
              <w:jc w:val="right"/>
              <w:rPr>
                <w:rFonts w:cs="Times New Roman"/>
                <w:i/>
              </w:rPr>
            </w:pPr>
            <w:r w:rsidRPr="00001CCB">
              <w:rPr>
                <w:rFonts w:cs="Times New Roman"/>
                <w:i/>
              </w:rPr>
              <w:t>5 351 690</w:t>
            </w:r>
          </w:p>
        </w:tc>
        <w:tc>
          <w:tcPr>
            <w:cnfStyle w:val="000001000000" w:firstRow="0" w:lastRow="0" w:firstColumn="0" w:lastColumn="0" w:oddVBand="0" w:evenVBand="1" w:oddHBand="0" w:evenHBand="0" w:firstRowFirstColumn="0" w:firstRowLastColumn="0" w:lastRowFirstColumn="0" w:lastRowLastColumn="0"/>
            <w:tcW w:w="1701" w:type="dxa"/>
          </w:tcPr>
          <w:p w:rsidR="00860150" w:rsidRPr="00001CCB" w:rsidRDefault="00860150" w:rsidP="001B037B">
            <w:pPr>
              <w:jc w:val="right"/>
              <w:rPr>
                <w:rFonts w:cs="Times New Roman"/>
                <w:i/>
              </w:rPr>
            </w:pPr>
            <w:r>
              <w:rPr>
                <w:rFonts w:cs="Times New Roman"/>
                <w:i/>
              </w:rPr>
              <w:t>5 351 690</w:t>
            </w:r>
          </w:p>
        </w:tc>
      </w:tr>
      <w:tr w:rsidR="00860150" w:rsidRPr="00FA1AA6" w:rsidTr="001E7801">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390" w:type="dxa"/>
          </w:tcPr>
          <w:p w:rsidR="00860150" w:rsidRPr="00001CCB" w:rsidRDefault="00860150" w:rsidP="001B037B">
            <w:pPr>
              <w:rPr>
                <w:rFonts w:cs="Times New Roman"/>
              </w:rPr>
            </w:pPr>
            <w:r w:rsidRPr="00001CCB">
              <w:rPr>
                <w:rFonts w:cs="Times New Roman"/>
              </w:rPr>
              <w:t>Operační program Zaměstnanost</w:t>
            </w:r>
          </w:p>
        </w:tc>
        <w:tc>
          <w:tcPr>
            <w:cnfStyle w:val="000001000000" w:firstRow="0" w:lastRow="0" w:firstColumn="0" w:lastColumn="0" w:oddVBand="0" w:evenVBand="1" w:oddHBand="0" w:evenHBand="0" w:firstRowFirstColumn="0" w:firstRowLastColumn="0" w:lastRowFirstColumn="0" w:lastRowLastColumn="0"/>
            <w:tcW w:w="1417" w:type="dxa"/>
          </w:tcPr>
          <w:p w:rsidR="00860150" w:rsidRPr="00001CCB" w:rsidRDefault="00860150" w:rsidP="001B037B">
            <w:pPr>
              <w:jc w:val="right"/>
              <w:rPr>
                <w:rFonts w:cs="Times New Roman"/>
              </w:rPr>
            </w:pPr>
            <w:r w:rsidRPr="00001CCB">
              <w:rPr>
                <w:rFonts w:cs="Times New Roman"/>
              </w:rPr>
              <w:t>0</w:t>
            </w:r>
          </w:p>
        </w:tc>
        <w:tc>
          <w:tcPr>
            <w:cnfStyle w:val="000010000000" w:firstRow="0" w:lastRow="0" w:firstColumn="0" w:lastColumn="0" w:oddVBand="1" w:evenVBand="0" w:oddHBand="0" w:evenHBand="0" w:firstRowFirstColumn="0" w:firstRowLastColumn="0" w:lastRowFirstColumn="0" w:lastRowLastColumn="0"/>
            <w:tcW w:w="1559" w:type="dxa"/>
          </w:tcPr>
          <w:p w:rsidR="00860150" w:rsidRPr="00001CCB" w:rsidRDefault="00860150" w:rsidP="001B037B">
            <w:pPr>
              <w:jc w:val="right"/>
              <w:rPr>
                <w:rFonts w:cs="Times New Roman"/>
                <w:bCs/>
              </w:rPr>
            </w:pPr>
            <w:r w:rsidRPr="00001CCB">
              <w:rPr>
                <w:rFonts w:cs="Times New Roman"/>
                <w:bCs/>
              </w:rPr>
              <w:t>0</w:t>
            </w:r>
          </w:p>
        </w:tc>
        <w:tc>
          <w:tcPr>
            <w:cnfStyle w:val="000001000000" w:firstRow="0" w:lastRow="0" w:firstColumn="0" w:lastColumn="0" w:oddVBand="0" w:evenVBand="1" w:oddHBand="0" w:evenHBand="0" w:firstRowFirstColumn="0" w:firstRowLastColumn="0" w:lastRowFirstColumn="0" w:lastRowLastColumn="0"/>
            <w:tcW w:w="1701" w:type="dxa"/>
          </w:tcPr>
          <w:p w:rsidR="00860150" w:rsidRPr="00001CCB" w:rsidRDefault="00860150" w:rsidP="001B037B">
            <w:pPr>
              <w:jc w:val="right"/>
              <w:rPr>
                <w:rFonts w:cs="Times New Roman"/>
              </w:rPr>
            </w:pPr>
            <w:r w:rsidRPr="00001CCB">
              <w:rPr>
                <w:rFonts w:cs="Times New Roman"/>
              </w:rPr>
              <w:t>0</w:t>
            </w:r>
          </w:p>
        </w:tc>
      </w:tr>
      <w:tr w:rsidR="00860150" w:rsidRPr="00FA1AA6" w:rsidTr="001E7801">
        <w:trPr>
          <w:trHeight w:val="226"/>
        </w:trPr>
        <w:tc>
          <w:tcPr>
            <w:cnfStyle w:val="000010000000" w:firstRow="0" w:lastRow="0" w:firstColumn="0" w:lastColumn="0" w:oddVBand="1" w:evenVBand="0" w:oddHBand="0" w:evenHBand="0" w:firstRowFirstColumn="0" w:firstRowLastColumn="0" w:lastRowFirstColumn="0" w:lastRowLastColumn="0"/>
            <w:tcW w:w="4390" w:type="dxa"/>
          </w:tcPr>
          <w:p w:rsidR="00860150" w:rsidRPr="00001CCB" w:rsidRDefault="00860150" w:rsidP="001B037B">
            <w:pPr>
              <w:rPr>
                <w:rFonts w:cs="Times New Roman"/>
              </w:rPr>
            </w:pPr>
            <w:r w:rsidRPr="00001CCB">
              <w:rPr>
                <w:rFonts w:cs="Times New Roman"/>
              </w:rPr>
              <w:t>Komunitární programy</w:t>
            </w:r>
          </w:p>
        </w:tc>
        <w:tc>
          <w:tcPr>
            <w:cnfStyle w:val="000001000000" w:firstRow="0" w:lastRow="0" w:firstColumn="0" w:lastColumn="0" w:oddVBand="0" w:evenVBand="1" w:oddHBand="0" w:evenHBand="0" w:firstRowFirstColumn="0" w:firstRowLastColumn="0" w:lastRowFirstColumn="0" w:lastRowLastColumn="0"/>
            <w:tcW w:w="1417" w:type="dxa"/>
          </w:tcPr>
          <w:p w:rsidR="00860150" w:rsidRPr="00001CCB" w:rsidRDefault="00860150" w:rsidP="001B037B">
            <w:pPr>
              <w:jc w:val="right"/>
              <w:rPr>
                <w:rFonts w:cs="Times New Roman"/>
                <w:bCs/>
              </w:rPr>
            </w:pPr>
            <w:r>
              <w:rPr>
                <w:rFonts w:cs="Times New Roman"/>
              </w:rPr>
              <w:t>37 648</w:t>
            </w:r>
          </w:p>
        </w:tc>
        <w:tc>
          <w:tcPr>
            <w:cnfStyle w:val="000010000000" w:firstRow="0" w:lastRow="0" w:firstColumn="0" w:lastColumn="0" w:oddVBand="1" w:evenVBand="0" w:oddHBand="0" w:evenHBand="0" w:firstRowFirstColumn="0" w:firstRowLastColumn="0" w:lastRowFirstColumn="0" w:lastRowLastColumn="0"/>
            <w:tcW w:w="1559" w:type="dxa"/>
          </w:tcPr>
          <w:p w:rsidR="00860150" w:rsidRPr="00001CCB" w:rsidRDefault="00860150" w:rsidP="001B037B">
            <w:pPr>
              <w:jc w:val="right"/>
              <w:rPr>
                <w:rFonts w:cs="Times New Roman"/>
                <w:bCs/>
              </w:rPr>
            </w:pPr>
            <w:r w:rsidRPr="00001CCB">
              <w:rPr>
                <w:rFonts w:cs="Times New Roman"/>
                <w:bCs/>
              </w:rPr>
              <w:t>5 385 748</w:t>
            </w:r>
          </w:p>
        </w:tc>
        <w:tc>
          <w:tcPr>
            <w:cnfStyle w:val="000001000000" w:firstRow="0" w:lastRow="0" w:firstColumn="0" w:lastColumn="0" w:oddVBand="0" w:evenVBand="1" w:oddHBand="0" w:evenHBand="0" w:firstRowFirstColumn="0" w:firstRowLastColumn="0" w:lastRowFirstColumn="0" w:lastRowLastColumn="0"/>
            <w:tcW w:w="1701" w:type="dxa"/>
          </w:tcPr>
          <w:p w:rsidR="00860150" w:rsidRPr="00001CCB" w:rsidRDefault="00860150" w:rsidP="001B037B">
            <w:pPr>
              <w:jc w:val="right"/>
              <w:rPr>
                <w:rFonts w:cs="Times New Roman"/>
              </w:rPr>
            </w:pPr>
            <w:r w:rsidRPr="00001CCB">
              <w:rPr>
                <w:rFonts w:cs="Times New Roman"/>
              </w:rPr>
              <w:t> </w:t>
            </w:r>
            <w:r>
              <w:rPr>
                <w:rFonts w:cs="Times New Roman"/>
              </w:rPr>
              <w:t>5 423 396</w:t>
            </w:r>
          </w:p>
        </w:tc>
      </w:tr>
      <w:tr w:rsidR="00815536" w:rsidRPr="00FA1AA6" w:rsidTr="001E7801">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390" w:type="dxa"/>
          </w:tcPr>
          <w:p w:rsidR="00815536" w:rsidRPr="00815536" w:rsidRDefault="00815536" w:rsidP="00E91407">
            <w:pPr>
              <w:spacing w:before="60"/>
              <w:rPr>
                <w:rFonts w:cs="Times New Roman"/>
                <w:b/>
              </w:rPr>
            </w:pPr>
            <w:r w:rsidRPr="00815536">
              <w:rPr>
                <w:rFonts w:cs="Times New Roman"/>
                <w:b/>
              </w:rPr>
              <w:t>Celkem</w:t>
            </w:r>
          </w:p>
        </w:tc>
        <w:tc>
          <w:tcPr>
            <w:cnfStyle w:val="000001000000" w:firstRow="0" w:lastRow="0" w:firstColumn="0" w:lastColumn="0" w:oddVBand="0" w:evenVBand="1" w:oddHBand="0" w:evenHBand="0" w:firstRowFirstColumn="0" w:firstRowLastColumn="0" w:lastRowFirstColumn="0" w:lastRowLastColumn="0"/>
            <w:tcW w:w="1417" w:type="dxa"/>
          </w:tcPr>
          <w:p w:rsidR="00815536" w:rsidRPr="00815536" w:rsidRDefault="00815536" w:rsidP="00A20D0E">
            <w:pPr>
              <w:spacing w:before="60"/>
              <w:jc w:val="right"/>
              <w:rPr>
                <w:rFonts w:cs="Times New Roman"/>
                <w:b/>
              </w:rPr>
            </w:pPr>
            <w:r w:rsidRPr="00815536">
              <w:rPr>
                <w:rFonts w:cs="Times New Roman"/>
                <w:b/>
              </w:rPr>
              <w:t>162 69</w:t>
            </w:r>
            <w:r w:rsidR="00A20D0E">
              <w:rPr>
                <w:rFonts w:cs="Times New Roman"/>
                <w:b/>
              </w:rPr>
              <w:t>9</w:t>
            </w:r>
          </w:p>
        </w:tc>
        <w:tc>
          <w:tcPr>
            <w:cnfStyle w:val="000010000000" w:firstRow="0" w:lastRow="0" w:firstColumn="0" w:lastColumn="0" w:oddVBand="1" w:evenVBand="0" w:oddHBand="0" w:evenHBand="0" w:firstRowFirstColumn="0" w:firstRowLastColumn="0" w:lastRowFirstColumn="0" w:lastRowLastColumn="0"/>
            <w:tcW w:w="1559" w:type="dxa"/>
          </w:tcPr>
          <w:p w:rsidR="00815536" w:rsidRPr="00815536" w:rsidRDefault="00815536" w:rsidP="00E91407">
            <w:pPr>
              <w:spacing w:before="60"/>
              <w:jc w:val="right"/>
              <w:rPr>
                <w:rFonts w:cs="Times New Roman"/>
                <w:b/>
                <w:bCs/>
              </w:rPr>
            </w:pPr>
            <w:r w:rsidRPr="00815536">
              <w:rPr>
                <w:rFonts w:cs="Times New Roman"/>
                <w:b/>
                <w:bCs/>
              </w:rPr>
              <w:t>39 540 324</w:t>
            </w:r>
          </w:p>
        </w:tc>
        <w:tc>
          <w:tcPr>
            <w:cnfStyle w:val="000001000000" w:firstRow="0" w:lastRow="0" w:firstColumn="0" w:lastColumn="0" w:oddVBand="0" w:evenVBand="1" w:oddHBand="0" w:evenHBand="0" w:firstRowFirstColumn="0" w:firstRowLastColumn="0" w:lastRowFirstColumn="0" w:lastRowLastColumn="0"/>
            <w:tcW w:w="1701" w:type="dxa"/>
          </w:tcPr>
          <w:p w:rsidR="00815536" w:rsidRPr="00815536" w:rsidRDefault="00815536" w:rsidP="00E91407">
            <w:pPr>
              <w:spacing w:before="60"/>
              <w:jc w:val="right"/>
              <w:rPr>
                <w:rFonts w:cs="Times New Roman"/>
                <w:b/>
              </w:rPr>
            </w:pPr>
            <w:r w:rsidRPr="00815536">
              <w:rPr>
                <w:rFonts w:cs="Times New Roman"/>
                <w:b/>
              </w:rPr>
              <w:t>39 703 023</w:t>
            </w:r>
          </w:p>
        </w:tc>
      </w:tr>
    </w:tbl>
    <w:p w:rsidR="00860150" w:rsidRPr="00D76976" w:rsidRDefault="00860150" w:rsidP="00860150">
      <w:pPr>
        <w:pStyle w:val="Nadpis3"/>
      </w:pPr>
      <w:bookmarkStart w:id="109" w:name="_Toc53750586"/>
      <w:r w:rsidRPr="00D76976">
        <w:t>Facilita</w:t>
      </w:r>
      <w:r>
        <w:rPr>
          <w:rFonts w:cs="Times New Roman"/>
          <w:b w:val="0"/>
          <w:sz w:val="20"/>
          <w:szCs w:val="20"/>
        </w:rPr>
        <w:t xml:space="preserve"> </w:t>
      </w:r>
      <w:r w:rsidRPr="00D76976">
        <w:t>na podporu oživení a odolnosti</w:t>
      </w:r>
      <w:bookmarkEnd w:id="109"/>
    </w:p>
    <w:p w:rsidR="00527D9F" w:rsidRDefault="00527D9F" w:rsidP="00527D9F">
      <w:pPr>
        <w:pStyle w:val="Styl1"/>
        <w:rPr>
          <w:b/>
          <w:bCs/>
          <w:iCs w:val="0"/>
        </w:rPr>
      </w:pPr>
      <w:bookmarkStart w:id="110" w:name="_Toc462314409"/>
      <w:bookmarkStart w:id="111" w:name="_Toc21609484"/>
      <w:r w:rsidRPr="00527D9F">
        <w:t>Facilita na podporu oživení a odolnosti (Recovery and Resilience Facility - RRF) je nový nástroj EU, který vznikl v návaznosti na koronavirovou krizi v roce 2020. Jedná se o klíčový nástroj obnovy, která zahrnuje prostředky na obnovu ekonomiky a na zelenou a digitální transformaci. Podmínkou pro čerpání prostředků z RRF je schválení Národního plánu obnovy Evropskou komisí, který by měl reflektovat jak výzvy specifické pro daný stát, tak i celounijní výzvy.</w:t>
      </w:r>
    </w:p>
    <w:p w:rsidR="00527D9F" w:rsidRDefault="00527D9F" w:rsidP="00527D9F">
      <w:pPr>
        <w:pStyle w:val="Styl1"/>
      </w:pPr>
      <w:r w:rsidRPr="00527D9F">
        <w:t xml:space="preserve">Vzhledem k tomu, že se jedná o nový program tohoto druhu, nejsou dosud nastaveny finanční toky. Předpokládá se, že financování bude probíhat v podobném režimu, jako je běžné </w:t>
      </w:r>
      <w:r w:rsidR="000D634C">
        <w:br/>
      </w:r>
      <w:r w:rsidRPr="00527D9F">
        <w:t>u komunitárních programů. V roce 2021 je narozpočtováno v kapitole 327 Ministerstvo dopravy 15 mld. Kč, které budou poskytnuty formou dotace SFDI.</w:t>
      </w:r>
    </w:p>
    <w:p w:rsidR="00E65E0F" w:rsidRPr="000B5984" w:rsidRDefault="00E65E0F" w:rsidP="00E65E0F">
      <w:pPr>
        <w:pStyle w:val="Titulek"/>
        <w:keepNext/>
        <w:rPr>
          <w:noProof/>
        </w:rPr>
      </w:pPr>
      <w:r w:rsidRPr="00E65E0F">
        <w:t xml:space="preserve">Tabulka č. </w:t>
      </w:r>
      <w:r w:rsidRPr="00E65E0F">
        <w:rPr>
          <w:noProof/>
        </w:rPr>
        <w:fldChar w:fldCharType="begin"/>
      </w:r>
      <w:r w:rsidRPr="00E65E0F">
        <w:rPr>
          <w:noProof/>
        </w:rPr>
        <w:instrText xml:space="preserve"> SEQ Tabulka \* ARABIC </w:instrText>
      </w:r>
      <w:r w:rsidRPr="00E65E0F">
        <w:rPr>
          <w:noProof/>
        </w:rPr>
        <w:fldChar w:fldCharType="separate"/>
      </w:r>
      <w:r w:rsidR="006076E7">
        <w:rPr>
          <w:noProof/>
        </w:rPr>
        <w:t>45</w:t>
      </w:r>
      <w:r w:rsidRPr="00E65E0F">
        <w:rPr>
          <w:noProof/>
        </w:rPr>
        <w:fldChar w:fldCharType="end"/>
      </w:r>
      <w:r w:rsidRPr="00E65E0F">
        <w:rPr>
          <w:noProof/>
        </w:rPr>
        <w:t xml:space="preserve"> Facilita na podporu oživení a odolnosti (v tis. Kč)</w:t>
      </w:r>
    </w:p>
    <w:tbl>
      <w:tblPr>
        <w:tblW w:w="4976"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704"/>
        <w:gridCol w:w="1434"/>
        <w:gridCol w:w="1434"/>
        <w:gridCol w:w="1436"/>
      </w:tblGrid>
      <w:tr w:rsidR="00527D9F" w:rsidRPr="00444241" w:rsidTr="00910074">
        <w:trPr>
          <w:jc w:val="center"/>
        </w:trPr>
        <w:tc>
          <w:tcPr>
            <w:tcW w:w="261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27D9F" w:rsidRPr="00527D9F" w:rsidRDefault="00527D9F" w:rsidP="00910074">
            <w:pPr>
              <w:spacing w:before="40" w:after="40"/>
              <w:rPr>
                <w:rFonts w:eastAsia="Times New Roman" w:cs="Times New Roman"/>
                <w:b/>
                <w:lang w:eastAsia="cs-CZ"/>
              </w:rPr>
            </w:pPr>
            <w:r w:rsidRPr="00527D9F">
              <w:rPr>
                <w:rFonts w:eastAsia="Times New Roman" w:cs="Times New Roman"/>
                <w:b/>
                <w:lang w:eastAsia="cs-CZ"/>
              </w:rPr>
              <w:t>Název programu (projektu)</w:t>
            </w:r>
          </w:p>
        </w:tc>
        <w:tc>
          <w:tcPr>
            <w:tcW w:w="79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27D9F" w:rsidRPr="00527D9F" w:rsidRDefault="00527D9F" w:rsidP="00910074">
            <w:pPr>
              <w:spacing w:before="40" w:after="40"/>
              <w:jc w:val="center"/>
              <w:rPr>
                <w:rFonts w:eastAsia="Times New Roman" w:cs="Times New Roman"/>
                <w:b/>
                <w:lang w:eastAsia="cs-CZ"/>
              </w:rPr>
            </w:pPr>
            <w:r w:rsidRPr="00527D9F">
              <w:rPr>
                <w:rFonts w:eastAsia="Times New Roman" w:cs="Times New Roman"/>
                <w:b/>
                <w:lang w:eastAsia="cs-CZ"/>
              </w:rPr>
              <w:t>EU</w:t>
            </w:r>
          </w:p>
        </w:tc>
        <w:tc>
          <w:tcPr>
            <w:tcW w:w="79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27D9F" w:rsidRPr="00527D9F" w:rsidRDefault="00527D9F" w:rsidP="00910074">
            <w:pPr>
              <w:spacing w:before="40" w:after="40"/>
              <w:jc w:val="center"/>
              <w:rPr>
                <w:rFonts w:eastAsia="Times New Roman" w:cs="Times New Roman"/>
                <w:b/>
                <w:lang w:eastAsia="cs-CZ"/>
              </w:rPr>
            </w:pPr>
            <w:r w:rsidRPr="00527D9F">
              <w:rPr>
                <w:rFonts w:eastAsia="Times New Roman" w:cs="Times New Roman"/>
                <w:b/>
                <w:lang w:eastAsia="cs-CZ"/>
              </w:rPr>
              <w:t>SR</w:t>
            </w:r>
          </w:p>
        </w:tc>
        <w:tc>
          <w:tcPr>
            <w:tcW w:w="79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27D9F" w:rsidRPr="00527D9F" w:rsidRDefault="00527D9F" w:rsidP="00910074">
            <w:pPr>
              <w:spacing w:before="40" w:after="40"/>
              <w:jc w:val="center"/>
              <w:rPr>
                <w:rFonts w:eastAsia="Times New Roman" w:cs="Times New Roman"/>
                <w:b/>
                <w:lang w:eastAsia="cs-CZ"/>
              </w:rPr>
            </w:pPr>
            <w:r w:rsidRPr="00527D9F">
              <w:rPr>
                <w:rFonts w:eastAsia="Times New Roman" w:cs="Times New Roman"/>
                <w:b/>
                <w:lang w:eastAsia="cs-CZ"/>
              </w:rPr>
              <w:t>Celkem</w:t>
            </w:r>
          </w:p>
        </w:tc>
      </w:tr>
      <w:tr w:rsidR="00527D9F" w:rsidRPr="00444241" w:rsidTr="00910074">
        <w:trPr>
          <w:jc w:val="center"/>
        </w:trPr>
        <w:tc>
          <w:tcPr>
            <w:tcW w:w="2611" w:type="pct"/>
            <w:tcBorders>
              <w:top w:val="single" w:sz="4" w:space="0" w:color="7F7F7F" w:themeColor="text1" w:themeTint="80"/>
              <w:bottom w:val="single" w:sz="4" w:space="0" w:color="7F7F7F" w:themeColor="text1" w:themeTint="80"/>
            </w:tcBorders>
            <w:shd w:val="clear" w:color="auto" w:fill="auto"/>
          </w:tcPr>
          <w:p w:rsidR="00527D9F" w:rsidRPr="00527D9F" w:rsidRDefault="00527D9F" w:rsidP="00910074">
            <w:pPr>
              <w:spacing w:before="40" w:after="40"/>
              <w:rPr>
                <w:rFonts w:eastAsia="Times New Roman" w:cs="Times New Roman"/>
                <w:b/>
                <w:lang w:eastAsia="cs-CZ"/>
              </w:rPr>
            </w:pPr>
            <w:r w:rsidRPr="00527D9F">
              <w:rPr>
                <w:rFonts w:eastAsia="Times New Roman" w:cs="Times New Roman"/>
                <w:b/>
                <w:lang w:eastAsia="cs-CZ"/>
              </w:rPr>
              <w:t xml:space="preserve">RRF (SFDI) </w:t>
            </w:r>
          </w:p>
        </w:tc>
        <w:tc>
          <w:tcPr>
            <w:tcW w:w="796" w:type="pct"/>
            <w:tcBorders>
              <w:top w:val="single" w:sz="4" w:space="0" w:color="7F7F7F" w:themeColor="text1" w:themeTint="80"/>
              <w:bottom w:val="single" w:sz="4" w:space="0" w:color="7F7F7F" w:themeColor="text1" w:themeTint="80"/>
            </w:tcBorders>
            <w:shd w:val="clear" w:color="auto" w:fill="auto"/>
            <w:vAlign w:val="center"/>
          </w:tcPr>
          <w:p w:rsidR="00527D9F" w:rsidRPr="00527D9F" w:rsidRDefault="00527D9F" w:rsidP="00910074">
            <w:pPr>
              <w:spacing w:before="40" w:after="40"/>
              <w:jc w:val="right"/>
              <w:rPr>
                <w:rFonts w:eastAsia="Times New Roman" w:cs="Times New Roman"/>
                <w:b/>
                <w:lang w:eastAsia="cs-CZ"/>
              </w:rPr>
            </w:pPr>
            <w:r w:rsidRPr="00527D9F">
              <w:rPr>
                <w:rFonts w:eastAsia="Times New Roman" w:cs="Times New Roman"/>
                <w:b/>
                <w:lang w:eastAsia="cs-CZ"/>
              </w:rPr>
              <w:t>15 000 000</w:t>
            </w:r>
          </w:p>
        </w:tc>
        <w:tc>
          <w:tcPr>
            <w:tcW w:w="796" w:type="pct"/>
            <w:tcBorders>
              <w:top w:val="single" w:sz="4" w:space="0" w:color="7F7F7F" w:themeColor="text1" w:themeTint="80"/>
              <w:bottom w:val="single" w:sz="4" w:space="0" w:color="7F7F7F" w:themeColor="text1" w:themeTint="80"/>
            </w:tcBorders>
            <w:shd w:val="clear" w:color="auto" w:fill="auto"/>
            <w:vAlign w:val="center"/>
          </w:tcPr>
          <w:p w:rsidR="00527D9F" w:rsidRPr="00527D9F" w:rsidRDefault="00527D9F" w:rsidP="00910074">
            <w:pPr>
              <w:spacing w:before="40" w:after="40"/>
              <w:ind w:firstLine="539"/>
              <w:jc w:val="right"/>
              <w:rPr>
                <w:rFonts w:eastAsia="Times New Roman" w:cs="Times New Roman"/>
                <w:b/>
                <w:lang w:eastAsia="cs-CZ"/>
              </w:rPr>
            </w:pPr>
            <w:r w:rsidRPr="00527D9F">
              <w:rPr>
                <w:rFonts w:eastAsia="Times New Roman" w:cs="Times New Roman"/>
                <w:b/>
                <w:lang w:eastAsia="cs-CZ"/>
              </w:rPr>
              <w:t>0</w:t>
            </w:r>
          </w:p>
        </w:tc>
        <w:tc>
          <w:tcPr>
            <w:tcW w:w="797" w:type="pct"/>
            <w:tcBorders>
              <w:top w:val="single" w:sz="4" w:space="0" w:color="7F7F7F" w:themeColor="text1" w:themeTint="80"/>
              <w:bottom w:val="single" w:sz="4" w:space="0" w:color="7F7F7F" w:themeColor="text1" w:themeTint="80"/>
            </w:tcBorders>
            <w:shd w:val="clear" w:color="auto" w:fill="auto"/>
            <w:vAlign w:val="center"/>
          </w:tcPr>
          <w:p w:rsidR="00527D9F" w:rsidRPr="00527D9F" w:rsidRDefault="00527D9F" w:rsidP="00910074">
            <w:pPr>
              <w:spacing w:before="40" w:after="40"/>
              <w:jc w:val="right"/>
              <w:rPr>
                <w:rFonts w:eastAsia="Times New Roman" w:cs="Times New Roman"/>
                <w:b/>
                <w:lang w:eastAsia="cs-CZ"/>
              </w:rPr>
            </w:pPr>
            <w:r w:rsidRPr="00527D9F">
              <w:rPr>
                <w:rFonts w:eastAsia="Times New Roman" w:cs="Times New Roman"/>
                <w:b/>
                <w:lang w:eastAsia="cs-CZ"/>
              </w:rPr>
              <w:t>15 000 000</w:t>
            </w:r>
          </w:p>
        </w:tc>
      </w:tr>
      <w:tr w:rsidR="00527D9F" w:rsidRPr="00FA1AA6" w:rsidTr="00910074">
        <w:trPr>
          <w:jc w:val="center"/>
        </w:trPr>
        <w:tc>
          <w:tcPr>
            <w:tcW w:w="2611" w:type="pct"/>
            <w:tcBorders>
              <w:top w:val="single" w:sz="4" w:space="0" w:color="7F7F7F" w:themeColor="text1" w:themeTint="80"/>
            </w:tcBorders>
            <w:shd w:val="clear" w:color="auto" w:fill="auto"/>
          </w:tcPr>
          <w:p w:rsidR="00527D9F" w:rsidRPr="00527D9F" w:rsidRDefault="00527D9F" w:rsidP="00910074">
            <w:pPr>
              <w:spacing w:before="40" w:after="40"/>
              <w:ind w:left="313"/>
              <w:rPr>
                <w:rFonts w:eastAsia="Times New Roman" w:cs="Times New Roman"/>
                <w:i/>
                <w:lang w:eastAsia="cs-CZ"/>
              </w:rPr>
            </w:pPr>
            <w:r w:rsidRPr="00527D9F">
              <w:rPr>
                <w:rFonts w:eastAsia="Times New Roman" w:cs="Times New Roman"/>
                <w:i/>
                <w:lang w:eastAsia="cs-CZ"/>
              </w:rPr>
              <w:t>v tom: program 127 77 Pod. fin. dopravy</w:t>
            </w:r>
          </w:p>
        </w:tc>
        <w:tc>
          <w:tcPr>
            <w:tcW w:w="796" w:type="pct"/>
            <w:tcBorders>
              <w:top w:val="single" w:sz="4" w:space="0" w:color="7F7F7F" w:themeColor="text1" w:themeTint="80"/>
            </w:tcBorders>
            <w:shd w:val="clear" w:color="auto" w:fill="auto"/>
            <w:vAlign w:val="center"/>
          </w:tcPr>
          <w:p w:rsidR="00527D9F" w:rsidRPr="00527D9F" w:rsidRDefault="00527D9F" w:rsidP="00910074">
            <w:pPr>
              <w:spacing w:before="40" w:after="40"/>
              <w:jc w:val="right"/>
              <w:rPr>
                <w:rFonts w:eastAsia="Times New Roman" w:cs="Times New Roman"/>
                <w:i/>
                <w:lang w:eastAsia="cs-CZ"/>
              </w:rPr>
            </w:pPr>
            <w:r w:rsidRPr="00527D9F">
              <w:rPr>
                <w:rFonts w:eastAsia="Times New Roman" w:cs="Times New Roman"/>
                <w:i/>
                <w:lang w:eastAsia="cs-CZ"/>
              </w:rPr>
              <w:t>15 000 000</w:t>
            </w:r>
          </w:p>
        </w:tc>
        <w:tc>
          <w:tcPr>
            <w:tcW w:w="796" w:type="pct"/>
            <w:tcBorders>
              <w:top w:val="single" w:sz="4" w:space="0" w:color="7F7F7F" w:themeColor="text1" w:themeTint="80"/>
            </w:tcBorders>
            <w:shd w:val="clear" w:color="auto" w:fill="auto"/>
            <w:vAlign w:val="center"/>
          </w:tcPr>
          <w:p w:rsidR="00527D9F" w:rsidRPr="00527D9F" w:rsidRDefault="00527D9F" w:rsidP="00910074">
            <w:pPr>
              <w:spacing w:before="40" w:after="40"/>
              <w:ind w:firstLine="539"/>
              <w:jc w:val="right"/>
              <w:rPr>
                <w:rFonts w:eastAsia="Times New Roman" w:cs="Times New Roman"/>
                <w:i/>
                <w:lang w:eastAsia="cs-CZ"/>
              </w:rPr>
            </w:pPr>
            <w:r w:rsidRPr="00527D9F">
              <w:rPr>
                <w:rFonts w:eastAsia="Times New Roman" w:cs="Times New Roman"/>
                <w:i/>
                <w:lang w:eastAsia="cs-CZ"/>
              </w:rPr>
              <w:t>0</w:t>
            </w:r>
          </w:p>
        </w:tc>
        <w:tc>
          <w:tcPr>
            <w:tcW w:w="797" w:type="pct"/>
            <w:tcBorders>
              <w:top w:val="single" w:sz="4" w:space="0" w:color="7F7F7F" w:themeColor="text1" w:themeTint="80"/>
            </w:tcBorders>
            <w:shd w:val="clear" w:color="auto" w:fill="auto"/>
            <w:vAlign w:val="center"/>
          </w:tcPr>
          <w:p w:rsidR="00527D9F" w:rsidRPr="00527D9F" w:rsidRDefault="00527D9F" w:rsidP="00910074">
            <w:pPr>
              <w:spacing w:before="40" w:after="40"/>
              <w:jc w:val="right"/>
              <w:rPr>
                <w:rFonts w:eastAsia="Times New Roman" w:cs="Times New Roman"/>
                <w:i/>
                <w:lang w:eastAsia="cs-CZ"/>
              </w:rPr>
            </w:pPr>
            <w:r w:rsidRPr="00527D9F">
              <w:rPr>
                <w:rFonts w:eastAsia="Times New Roman" w:cs="Times New Roman"/>
                <w:i/>
                <w:lang w:eastAsia="cs-CZ"/>
              </w:rPr>
              <w:t>15 000 000</w:t>
            </w:r>
          </w:p>
        </w:tc>
      </w:tr>
    </w:tbl>
    <w:p w:rsidR="00860150" w:rsidRPr="000B6D17" w:rsidRDefault="00860150" w:rsidP="00860150">
      <w:pPr>
        <w:pStyle w:val="Nadpis3"/>
      </w:pPr>
      <w:bookmarkStart w:id="112" w:name="_Toc53750587"/>
      <w:r w:rsidRPr="000B6D17">
        <w:lastRenderedPageBreak/>
        <w:t>Operační program Doprava – programové období 2014 – 2020</w:t>
      </w:r>
      <w:bookmarkEnd w:id="110"/>
      <w:bookmarkEnd w:id="111"/>
      <w:bookmarkEnd w:id="112"/>
    </w:p>
    <w:p w:rsidR="00860150" w:rsidRPr="000B6D17" w:rsidRDefault="00860150" w:rsidP="00860150">
      <w:pPr>
        <w:pStyle w:val="Styl1"/>
      </w:pPr>
      <w:r w:rsidRPr="000B6D17">
        <w:t xml:space="preserve">Operační program Doprava 2014-2020 byl schválen usnesením vlády č. 558 ze dne </w:t>
      </w:r>
      <w:r w:rsidRPr="000B6D17">
        <w:br/>
        <w:t xml:space="preserve">9. července 2014. Řídícím orgánem Operačního programu Doprava 2014-2020 bylo usnesením vlády č. 867 ze dne 28. listopadu 2012 pověřeno Ministerstvo dopravy – Odbor fondů EU. Roli Zprostředkujícího subjektu plní Státní fond dopravní infrastruktury. Operační program Doprava 2014-2020 vychází z materiálu Dopravní politika ČR pro období 2014-2020 s výhledem </w:t>
      </w:r>
      <w:r w:rsidRPr="000B6D17">
        <w:br/>
        <w:t xml:space="preserve">do roku </w:t>
      </w:r>
      <w:smartTag w:uri="urn:schemas-microsoft-com:office:smarttags" w:element="metricconverter">
        <w:smartTagPr>
          <w:attr w:name="ProductID" w:val="2050 a"/>
        </w:smartTagPr>
        <w:r w:rsidRPr="000B6D17">
          <w:t>2050 a</w:t>
        </w:r>
      </w:smartTag>
      <w:r w:rsidRPr="000B6D17">
        <w:t xml:space="preserve"> jejich návazné strategické dokumenty, především Dopravní sektorové strategie, </w:t>
      </w:r>
      <w:r w:rsidRPr="000B6D17">
        <w:br/>
        <w:t xml:space="preserve">2. fáze (Střednědobý plán rozvoje dopravní infrastruktury s dlouhodobým výhledem do roku 2050). Ke schválení Operačního programu Doprava ze strany Evropské komise došlo dne </w:t>
      </w:r>
      <w:r w:rsidRPr="000B6D17">
        <w:br/>
        <w:t xml:space="preserve">11. května 2015, přičemž ve druhé polovině roku 2015 byly vyhlášeny první výzvy k předkládání projektů a mohl být zahájen proces hodnocení projektů a jejich následná realizace. Financování prvních projektů začalo v roce 2016. </w:t>
      </w:r>
    </w:p>
    <w:p w:rsidR="00860150" w:rsidRPr="000B6D17" w:rsidRDefault="00860150" w:rsidP="00860150">
      <w:pPr>
        <w:pStyle w:val="Styl1"/>
        <w:rPr>
          <w:b/>
        </w:rPr>
      </w:pPr>
      <w:r w:rsidRPr="000B6D17">
        <w:t>Alokace Operačního programu Doprava 2014-2020 v EUR činí 4 559 769 999 EUR (z toho FS 3 657 452 860 EUR, ERDF 902 317 139 EUR). Rámcová smlouva byla uzavřená u 211 projektů v objemu EU prostředků 107,6 mld. Kč, což představuje 90 % celkové alokace programu. V rámci již proběhlých certifikací, byly za OPD vyžádány z Evropské komise prostředky EU ve výši 51,4 mld. Kč (43 % celkové alokace programu), což řadí tento program k jednomu z nejlépe čerpajících programů.</w:t>
      </w:r>
    </w:p>
    <w:p w:rsidR="00860150" w:rsidRPr="000B6D17" w:rsidRDefault="00860150" w:rsidP="000D634C">
      <w:pPr>
        <w:pStyle w:val="Nadpis8"/>
      </w:pPr>
      <w:r w:rsidRPr="000B6D17">
        <w:t>Operační program Doprava 2014-2020 obsahuje následující prioritní osy:</w:t>
      </w:r>
    </w:p>
    <w:p w:rsidR="00860150" w:rsidRPr="000D634C" w:rsidRDefault="00860150" w:rsidP="000D634C">
      <w:pPr>
        <w:pStyle w:val="Nadpis9"/>
        <w:rPr>
          <w:i/>
          <w:lang w:eastAsia="cs-CZ"/>
        </w:rPr>
      </w:pPr>
      <w:r w:rsidRPr="000D634C">
        <w:rPr>
          <w:i/>
          <w:lang w:eastAsia="cs-CZ"/>
        </w:rPr>
        <w:t>Prioritní osa 1 – Infrastruktura pro železniční a další udržitelnou dopravu</w:t>
      </w:r>
    </w:p>
    <w:p w:rsidR="00860150" w:rsidRPr="000D634C" w:rsidRDefault="00860150" w:rsidP="00B967C7">
      <w:pPr>
        <w:pStyle w:val="Styl1"/>
        <w:rPr>
          <w:i/>
        </w:rPr>
      </w:pPr>
      <w:r w:rsidRPr="000D634C">
        <w:rPr>
          <w:i/>
        </w:rPr>
        <w:t>Specifický cíl 1.1 - Zlepšení infrastruktury pro vyšší konkurenceschopnost a větší využití železniční dopravy</w:t>
      </w:r>
      <w:r w:rsidRPr="000D634C" w:rsidDel="00F06086">
        <w:rPr>
          <w:i/>
        </w:rPr>
        <w:t xml:space="preserve"> </w:t>
      </w:r>
    </w:p>
    <w:p w:rsidR="00860150" w:rsidRPr="000D634C" w:rsidRDefault="00860150" w:rsidP="000D634C">
      <w:pPr>
        <w:pStyle w:val="Styl1"/>
        <w:rPr>
          <w:i/>
        </w:rPr>
      </w:pPr>
      <w:r w:rsidRPr="000D634C">
        <w:rPr>
          <w:i/>
        </w:rPr>
        <w:t>Specifický cíl 1.3 - Vytvoření podmínek pro větší využití multimodální dopravy</w:t>
      </w:r>
      <w:r w:rsidRPr="000D634C" w:rsidDel="00684652">
        <w:rPr>
          <w:i/>
        </w:rPr>
        <w:t xml:space="preserve"> </w:t>
      </w:r>
    </w:p>
    <w:p w:rsidR="00860150" w:rsidRPr="000D634C" w:rsidRDefault="00860150" w:rsidP="000D634C">
      <w:pPr>
        <w:pStyle w:val="Styl1"/>
        <w:rPr>
          <w:i/>
        </w:rPr>
      </w:pPr>
      <w:r w:rsidRPr="000D634C">
        <w:rPr>
          <w:i/>
        </w:rPr>
        <w:t xml:space="preserve">Specifický cíl 1.4 - Vytvoření podmínek pro zvýšení využívání veřejné hromadné dopravy </w:t>
      </w:r>
      <w:r w:rsidRPr="000D634C">
        <w:rPr>
          <w:i/>
        </w:rPr>
        <w:br/>
        <w:t>ve městech v elektrické trakci</w:t>
      </w:r>
      <w:r w:rsidRPr="000D634C" w:rsidDel="00684652">
        <w:rPr>
          <w:i/>
        </w:rPr>
        <w:t xml:space="preserve"> </w:t>
      </w:r>
    </w:p>
    <w:p w:rsidR="00860150" w:rsidRPr="000D634C" w:rsidRDefault="00860150" w:rsidP="000D634C">
      <w:pPr>
        <w:pStyle w:val="Styl1"/>
        <w:rPr>
          <w:i/>
        </w:rPr>
      </w:pPr>
      <w:r w:rsidRPr="000D634C">
        <w:rPr>
          <w:i/>
        </w:rPr>
        <w:t>Specifický cíl 1.5 - Vytvoření podmínek pro širší využití železniční a vodní dopravy prostřednictvím modernizace dopravního parku</w:t>
      </w:r>
    </w:p>
    <w:p w:rsidR="00860150" w:rsidRPr="000D634C" w:rsidRDefault="00860150" w:rsidP="000D634C">
      <w:pPr>
        <w:pStyle w:val="Nadpis9"/>
        <w:rPr>
          <w:i/>
          <w:lang w:eastAsia="cs-CZ"/>
        </w:rPr>
      </w:pPr>
      <w:r w:rsidRPr="000D634C">
        <w:rPr>
          <w:i/>
          <w:lang w:eastAsia="cs-CZ"/>
        </w:rPr>
        <w:t>Prioritní osa 2 - Silniční infrastruktura na síti TEN-T a veřejná infrastruktura pro čistou mobilitu</w:t>
      </w:r>
    </w:p>
    <w:p w:rsidR="00860150" w:rsidRPr="000D634C" w:rsidRDefault="00860150" w:rsidP="000D634C">
      <w:pPr>
        <w:pStyle w:val="Styl1"/>
        <w:rPr>
          <w:i/>
        </w:rPr>
      </w:pPr>
      <w:r w:rsidRPr="000D634C">
        <w:rPr>
          <w:i/>
        </w:rPr>
        <w:t xml:space="preserve">Specifický cíl 2.1 - Zlepšení propojení center a regionů a zvýšení bezpečnosti </w:t>
      </w:r>
      <w:r w:rsidRPr="000D634C">
        <w:rPr>
          <w:i/>
        </w:rPr>
        <w:br/>
        <w:t>a efektivnosti silniční dopravy prostřednictvím výstavby, obnovy a modernizace dálnic, rychlostních silnic a silnic sítě TEN-T včetně rozvoje systémů ITS</w:t>
      </w:r>
    </w:p>
    <w:p w:rsidR="00860150" w:rsidRPr="000D634C" w:rsidRDefault="00860150" w:rsidP="000D634C">
      <w:pPr>
        <w:pStyle w:val="Styl1"/>
        <w:rPr>
          <w:i/>
        </w:rPr>
      </w:pPr>
      <w:r w:rsidRPr="000D634C">
        <w:rPr>
          <w:i/>
        </w:rPr>
        <w:t>Specifický cíl 2.2 - Vytvoření podmínek pro širší využití vozidel na alternativní pohon na silniční síti</w:t>
      </w:r>
    </w:p>
    <w:p w:rsidR="00860150" w:rsidRPr="000D634C" w:rsidRDefault="00860150" w:rsidP="000D634C">
      <w:pPr>
        <w:pStyle w:val="Styl1"/>
        <w:rPr>
          <w:i/>
        </w:rPr>
      </w:pPr>
      <w:r w:rsidRPr="000D634C">
        <w:rPr>
          <w:i/>
        </w:rPr>
        <w:t>Specifický cíl 2.3 - Zlepšení řízení dopravního provozu a zvyšování bezpečnosti dopravního provozu</w:t>
      </w:r>
    </w:p>
    <w:p w:rsidR="00860150" w:rsidRPr="000D634C" w:rsidRDefault="00860150" w:rsidP="000D634C">
      <w:pPr>
        <w:pStyle w:val="Nadpis9"/>
        <w:rPr>
          <w:i/>
          <w:lang w:eastAsia="cs-CZ"/>
        </w:rPr>
      </w:pPr>
      <w:r w:rsidRPr="000D634C">
        <w:rPr>
          <w:i/>
          <w:lang w:eastAsia="cs-CZ"/>
        </w:rPr>
        <w:lastRenderedPageBreak/>
        <w:t>Prioritní osa 3 - Silniční infrastruktura mimo síť TEN-T</w:t>
      </w:r>
    </w:p>
    <w:p w:rsidR="00860150" w:rsidRPr="000D634C" w:rsidRDefault="00860150" w:rsidP="000D634C">
      <w:pPr>
        <w:pStyle w:val="Styl1"/>
        <w:rPr>
          <w:i/>
        </w:rPr>
      </w:pPr>
      <w:r w:rsidRPr="000D634C">
        <w:rPr>
          <w:i/>
        </w:rPr>
        <w:t xml:space="preserve">Specifický cíl 3.1 - Zlepšení dostupnosti regionů, zvýšení bezpečnosti a plynulosti a snížení dopadů dopravy na veřejné zdraví prostřednictvím výstavby, obnovy a zlepšení parametrů dálnic, rychlostních silnic a silnic I. třídy mimo síť TEN-T </w:t>
      </w:r>
    </w:p>
    <w:p w:rsidR="00860150" w:rsidRPr="000D634C" w:rsidRDefault="00860150" w:rsidP="000D634C">
      <w:pPr>
        <w:pStyle w:val="Nadpis9"/>
        <w:rPr>
          <w:i/>
          <w:lang w:eastAsia="cs-CZ"/>
        </w:rPr>
      </w:pPr>
      <w:r w:rsidRPr="000D634C">
        <w:rPr>
          <w:i/>
          <w:lang w:eastAsia="cs-CZ"/>
        </w:rPr>
        <w:t xml:space="preserve">Prioritní osa 4 - Technická pomoc </w:t>
      </w:r>
    </w:p>
    <w:p w:rsidR="00860150" w:rsidRPr="000B6D17" w:rsidRDefault="00860150" w:rsidP="00860150">
      <w:pPr>
        <w:keepNext/>
        <w:spacing w:before="120" w:after="120"/>
        <w:outlineLvl w:val="3"/>
        <w:rPr>
          <w:rFonts w:cs="Times New Roman"/>
          <w:i/>
          <w:szCs w:val="24"/>
        </w:rPr>
      </w:pPr>
      <w:r w:rsidRPr="000B6D17">
        <w:rPr>
          <w:rFonts w:cs="Times New Roman"/>
          <w:i/>
          <w:szCs w:val="24"/>
        </w:rPr>
        <w:t>Specifický cíl 4.1  - Podpora a zajištění implementace OP Doprava</w:t>
      </w:r>
    </w:p>
    <w:p w:rsidR="00860150" w:rsidRPr="000D634C" w:rsidRDefault="00860150" w:rsidP="000D634C">
      <w:pPr>
        <w:pStyle w:val="Styl1"/>
        <w:rPr>
          <w:i/>
        </w:rPr>
      </w:pPr>
      <w:r w:rsidRPr="000D634C">
        <w:rPr>
          <w:i/>
        </w:rPr>
        <w:t xml:space="preserve">Zaměření specifického cíle je soustředěno především k zajištění těchto oblastí v rámci implementace Operačního programu Doprava 2014 - 2020: řízení a kontrola programu, technické zabezpečení činnosti, podpora absorpční kapacity, publicita, evaluace, vzdělávání. </w:t>
      </w:r>
      <w:r w:rsidRPr="000D634C">
        <w:rPr>
          <w:i/>
        </w:rPr>
        <w:br/>
        <w:t>Z prostředků specifického cíle budou také hrazeny aktivity spojené s dokončením programového období 2007 – 2013.</w:t>
      </w:r>
    </w:p>
    <w:p w:rsidR="00860150" w:rsidRPr="000B6D17" w:rsidRDefault="00860150" w:rsidP="00860150">
      <w:pPr>
        <w:spacing w:before="240" w:after="80"/>
        <w:rPr>
          <w:rFonts w:eastAsia="Times New Roman" w:cs="Times New Roman"/>
          <w:szCs w:val="24"/>
          <w:u w:val="single"/>
          <w:lang w:eastAsia="cs-CZ"/>
        </w:rPr>
      </w:pPr>
      <w:r w:rsidRPr="000B6D17">
        <w:rPr>
          <w:rFonts w:eastAsia="Times New Roman" w:cs="Times New Roman"/>
          <w:szCs w:val="24"/>
          <w:u w:val="single"/>
          <w:lang w:eastAsia="cs-CZ"/>
        </w:rPr>
        <w:t>Rozdělení prostředků fondů EU a SR pro Operační program Doprava 2014-2020 na rok 2021</w:t>
      </w:r>
    </w:p>
    <w:p w:rsidR="00860150" w:rsidRPr="000B6D17" w:rsidRDefault="00860150" w:rsidP="00860150">
      <w:pPr>
        <w:pStyle w:val="Titulek"/>
        <w:keepNext/>
      </w:pPr>
      <w:r w:rsidRPr="000B6D17">
        <w:t xml:space="preserve">Tabulka č. </w:t>
      </w:r>
      <w:r w:rsidRPr="000B6D17">
        <w:rPr>
          <w:noProof/>
        </w:rPr>
        <w:fldChar w:fldCharType="begin"/>
      </w:r>
      <w:r w:rsidRPr="000B6D17">
        <w:rPr>
          <w:noProof/>
        </w:rPr>
        <w:instrText xml:space="preserve"> SEQ Tabulka \* ARABIC </w:instrText>
      </w:r>
      <w:r w:rsidRPr="000B6D17">
        <w:rPr>
          <w:noProof/>
        </w:rPr>
        <w:fldChar w:fldCharType="separate"/>
      </w:r>
      <w:r w:rsidR="006076E7">
        <w:rPr>
          <w:noProof/>
        </w:rPr>
        <w:t>46</w:t>
      </w:r>
      <w:r w:rsidRPr="000B6D17">
        <w:rPr>
          <w:noProof/>
        </w:rPr>
        <w:fldChar w:fldCharType="end"/>
      </w:r>
      <w:r w:rsidRPr="000B6D17">
        <w:rPr>
          <w:noProof/>
        </w:rPr>
        <w:t xml:space="preserve"> Členění Operačního programu Doprava 2014-2021 (v tis. Kč)</w:t>
      </w:r>
    </w:p>
    <w:tbl>
      <w:tblPr>
        <w:tblW w:w="500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5086"/>
        <w:gridCol w:w="1388"/>
        <w:gridCol w:w="1174"/>
        <w:gridCol w:w="1414"/>
      </w:tblGrid>
      <w:tr w:rsidR="00860150" w:rsidRPr="00FA1AA6" w:rsidTr="00B967C7">
        <w:trPr>
          <w:trHeight w:val="467"/>
        </w:trPr>
        <w:tc>
          <w:tcPr>
            <w:tcW w:w="280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60150" w:rsidRPr="00A956CC" w:rsidRDefault="00860150" w:rsidP="001B037B">
            <w:pPr>
              <w:spacing w:before="120"/>
              <w:rPr>
                <w:rFonts w:eastAsia="Times New Roman" w:cs="Times New Roman"/>
                <w:b/>
                <w:lang w:eastAsia="cs-CZ"/>
              </w:rPr>
            </w:pPr>
            <w:r w:rsidRPr="00A956CC">
              <w:rPr>
                <w:rFonts w:eastAsia="Times New Roman" w:cs="Times New Roman"/>
                <w:b/>
                <w:lang w:eastAsia="cs-CZ"/>
              </w:rPr>
              <w:t xml:space="preserve">Číslo (Fond) a název prioritní osy </w:t>
            </w:r>
          </w:p>
        </w:tc>
        <w:tc>
          <w:tcPr>
            <w:tcW w:w="76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60150" w:rsidRPr="00A956CC" w:rsidRDefault="00860150" w:rsidP="001B037B">
            <w:pPr>
              <w:spacing w:before="120"/>
              <w:jc w:val="center"/>
              <w:rPr>
                <w:rFonts w:eastAsia="Times New Roman" w:cs="Times New Roman"/>
                <w:b/>
                <w:lang w:eastAsia="cs-CZ"/>
              </w:rPr>
            </w:pPr>
            <w:r w:rsidRPr="00A956CC">
              <w:rPr>
                <w:rFonts w:eastAsia="Times New Roman" w:cs="Times New Roman"/>
                <w:b/>
                <w:lang w:eastAsia="cs-CZ"/>
              </w:rPr>
              <w:t>EU</w:t>
            </w:r>
          </w:p>
        </w:tc>
        <w:tc>
          <w:tcPr>
            <w:tcW w:w="64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60150" w:rsidRPr="00A956CC" w:rsidRDefault="00860150" w:rsidP="001B037B">
            <w:pPr>
              <w:spacing w:before="120"/>
              <w:jc w:val="center"/>
              <w:rPr>
                <w:rFonts w:eastAsia="Times New Roman" w:cs="Times New Roman"/>
                <w:b/>
                <w:lang w:eastAsia="cs-CZ"/>
              </w:rPr>
            </w:pPr>
            <w:r w:rsidRPr="00A956CC">
              <w:rPr>
                <w:rFonts w:eastAsia="Times New Roman" w:cs="Times New Roman"/>
                <w:b/>
                <w:lang w:eastAsia="cs-CZ"/>
              </w:rPr>
              <w:t>SR</w:t>
            </w:r>
          </w:p>
        </w:tc>
        <w:tc>
          <w:tcPr>
            <w:tcW w:w="78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60150" w:rsidRPr="00A956CC" w:rsidRDefault="00860150" w:rsidP="001B037B">
            <w:pPr>
              <w:spacing w:before="120"/>
              <w:jc w:val="center"/>
              <w:rPr>
                <w:rFonts w:eastAsia="Times New Roman" w:cs="Times New Roman"/>
                <w:b/>
                <w:lang w:eastAsia="cs-CZ"/>
              </w:rPr>
            </w:pPr>
            <w:r w:rsidRPr="00A956CC">
              <w:rPr>
                <w:rFonts w:eastAsia="Times New Roman" w:cs="Times New Roman"/>
                <w:b/>
                <w:lang w:eastAsia="cs-CZ"/>
              </w:rPr>
              <w:t>Celkem</w:t>
            </w:r>
          </w:p>
        </w:tc>
      </w:tr>
      <w:tr w:rsidR="00860150" w:rsidRPr="00FA1AA6" w:rsidTr="00B967C7">
        <w:trPr>
          <w:trHeight w:val="661"/>
        </w:trPr>
        <w:tc>
          <w:tcPr>
            <w:tcW w:w="2806" w:type="pct"/>
            <w:tcBorders>
              <w:top w:val="single" w:sz="4" w:space="0" w:color="7F7F7F" w:themeColor="text1" w:themeTint="80"/>
            </w:tcBorders>
            <w:shd w:val="clear" w:color="auto" w:fill="auto"/>
          </w:tcPr>
          <w:p w:rsidR="00860150" w:rsidRPr="00A956CC" w:rsidRDefault="00860150" w:rsidP="001B037B">
            <w:pPr>
              <w:rPr>
                <w:rFonts w:eastAsia="Times New Roman" w:cs="Times New Roman"/>
                <w:color w:val="FF0000"/>
                <w:lang w:eastAsia="cs-CZ"/>
              </w:rPr>
            </w:pPr>
            <w:r w:rsidRPr="00A956CC">
              <w:rPr>
                <w:rFonts w:eastAsia="Times New Roman" w:cs="Times New Roman"/>
                <w:b/>
                <w:lang w:eastAsia="cs-CZ"/>
              </w:rPr>
              <w:t xml:space="preserve">1 (CF) – Infrastruktura pro železniční a další udržitelnou dopravu </w:t>
            </w:r>
            <w:r w:rsidRPr="00A956CC">
              <w:rPr>
                <w:rFonts w:eastAsia="Times New Roman" w:cs="Times New Roman"/>
                <w:lang w:eastAsia="cs-CZ"/>
              </w:rPr>
              <w:t>v tom:</w:t>
            </w:r>
          </w:p>
        </w:tc>
        <w:tc>
          <w:tcPr>
            <w:tcW w:w="766" w:type="pct"/>
            <w:tcBorders>
              <w:top w:val="single" w:sz="4" w:space="0" w:color="7F7F7F" w:themeColor="text1" w:themeTint="80"/>
            </w:tcBorders>
            <w:shd w:val="clear" w:color="auto" w:fill="auto"/>
          </w:tcPr>
          <w:p w:rsidR="00860150" w:rsidRPr="00A956CC" w:rsidRDefault="00860150" w:rsidP="001B037B">
            <w:pPr>
              <w:spacing w:before="120"/>
              <w:jc w:val="right"/>
              <w:rPr>
                <w:rFonts w:eastAsia="Times New Roman" w:cs="Times New Roman"/>
                <w:b/>
                <w:lang w:eastAsia="cs-CZ"/>
              </w:rPr>
            </w:pPr>
            <w:r w:rsidRPr="00A956CC">
              <w:rPr>
                <w:rFonts w:eastAsia="Times New Roman" w:cs="Times New Roman"/>
                <w:b/>
                <w:lang w:eastAsia="cs-CZ"/>
              </w:rPr>
              <w:t>10 242 052</w:t>
            </w:r>
          </w:p>
        </w:tc>
        <w:tc>
          <w:tcPr>
            <w:tcW w:w="648" w:type="pct"/>
            <w:tcBorders>
              <w:top w:val="single" w:sz="4" w:space="0" w:color="7F7F7F" w:themeColor="text1" w:themeTint="80"/>
            </w:tcBorders>
            <w:shd w:val="clear" w:color="auto" w:fill="auto"/>
          </w:tcPr>
          <w:p w:rsidR="00860150" w:rsidRPr="00A956CC" w:rsidRDefault="00860150" w:rsidP="001B037B">
            <w:pPr>
              <w:spacing w:before="120"/>
              <w:jc w:val="right"/>
              <w:rPr>
                <w:rFonts w:eastAsia="Times New Roman" w:cs="Times New Roman"/>
                <w:b/>
                <w:lang w:eastAsia="cs-CZ"/>
              </w:rPr>
            </w:pPr>
            <w:r w:rsidRPr="00A956CC">
              <w:rPr>
                <w:rFonts w:eastAsia="Times New Roman" w:cs="Times New Roman"/>
                <w:b/>
                <w:lang w:eastAsia="cs-CZ"/>
              </w:rPr>
              <w:t>0</w:t>
            </w:r>
          </w:p>
        </w:tc>
        <w:tc>
          <w:tcPr>
            <w:tcW w:w="781" w:type="pct"/>
            <w:tcBorders>
              <w:top w:val="single" w:sz="4" w:space="0" w:color="7F7F7F" w:themeColor="text1" w:themeTint="80"/>
            </w:tcBorders>
            <w:shd w:val="clear" w:color="auto" w:fill="auto"/>
          </w:tcPr>
          <w:p w:rsidR="00860150" w:rsidRPr="00A956CC" w:rsidRDefault="00860150" w:rsidP="001B037B">
            <w:pPr>
              <w:spacing w:before="120"/>
              <w:jc w:val="right"/>
              <w:rPr>
                <w:rFonts w:eastAsia="Times New Roman" w:cs="Times New Roman"/>
                <w:b/>
                <w:color w:val="FF0000"/>
                <w:lang w:eastAsia="cs-CZ"/>
              </w:rPr>
            </w:pPr>
            <w:r w:rsidRPr="00A956CC">
              <w:rPr>
                <w:rFonts w:eastAsia="Times New Roman" w:cs="Times New Roman"/>
                <w:b/>
                <w:lang w:eastAsia="cs-CZ"/>
              </w:rPr>
              <w:t>10 242 052</w:t>
            </w:r>
          </w:p>
        </w:tc>
      </w:tr>
      <w:tr w:rsidR="00860150" w:rsidRPr="00FA1AA6" w:rsidTr="00B967C7">
        <w:trPr>
          <w:trHeight w:val="112"/>
        </w:trPr>
        <w:tc>
          <w:tcPr>
            <w:tcW w:w="2806" w:type="pct"/>
            <w:tcBorders>
              <w:bottom w:val="nil"/>
            </w:tcBorders>
            <w:shd w:val="clear" w:color="auto" w:fill="auto"/>
          </w:tcPr>
          <w:p w:rsidR="00860150" w:rsidRPr="00A956CC" w:rsidRDefault="00860150" w:rsidP="001B037B">
            <w:pPr>
              <w:rPr>
                <w:rFonts w:eastAsia="Times New Roman" w:cs="Times New Roman"/>
                <w:lang w:eastAsia="cs-CZ"/>
              </w:rPr>
            </w:pPr>
            <w:r w:rsidRPr="00A956CC">
              <w:rPr>
                <w:rFonts w:eastAsia="Times New Roman" w:cs="Times New Roman"/>
                <w:lang w:eastAsia="cs-CZ"/>
              </w:rPr>
              <w:t>Státní fond dopravní infrastruktury v tom:</w:t>
            </w:r>
          </w:p>
        </w:tc>
        <w:tc>
          <w:tcPr>
            <w:tcW w:w="766" w:type="pct"/>
            <w:tcBorders>
              <w:bottom w:val="nil"/>
            </w:tcBorders>
            <w:shd w:val="clear" w:color="auto" w:fill="auto"/>
          </w:tcPr>
          <w:p w:rsidR="00860150" w:rsidRPr="00A956CC" w:rsidRDefault="00860150" w:rsidP="001B037B">
            <w:pPr>
              <w:jc w:val="right"/>
              <w:rPr>
                <w:rFonts w:eastAsia="Times New Roman" w:cs="Times New Roman"/>
                <w:lang w:eastAsia="cs-CZ"/>
              </w:rPr>
            </w:pPr>
            <w:r w:rsidRPr="00A956CC">
              <w:rPr>
                <w:rFonts w:eastAsia="Times New Roman" w:cs="Times New Roman"/>
                <w:lang w:eastAsia="cs-CZ"/>
              </w:rPr>
              <w:t>8 557 931</w:t>
            </w:r>
          </w:p>
        </w:tc>
        <w:tc>
          <w:tcPr>
            <w:tcW w:w="648" w:type="pct"/>
            <w:tcBorders>
              <w:bottom w:val="nil"/>
            </w:tcBorders>
            <w:shd w:val="clear" w:color="auto" w:fill="auto"/>
          </w:tcPr>
          <w:p w:rsidR="00860150" w:rsidRPr="00A956CC" w:rsidRDefault="00860150" w:rsidP="001B037B">
            <w:pPr>
              <w:jc w:val="right"/>
              <w:rPr>
                <w:rFonts w:eastAsia="Times New Roman" w:cs="Times New Roman"/>
                <w:lang w:eastAsia="cs-CZ"/>
              </w:rPr>
            </w:pPr>
            <w:r w:rsidRPr="00A956CC">
              <w:rPr>
                <w:rFonts w:eastAsia="Times New Roman" w:cs="Times New Roman"/>
                <w:lang w:eastAsia="cs-CZ"/>
              </w:rPr>
              <w:t>0</w:t>
            </w:r>
          </w:p>
        </w:tc>
        <w:tc>
          <w:tcPr>
            <w:tcW w:w="781" w:type="pct"/>
            <w:tcBorders>
              <w:bottom w:val="nil"/>
            </w:tcBorders>
            <w:shd w:val="clear" w:color="auto" w:fill="auto"/>
          </w:tcPr>
          <w:p w:rsidR="00860150" w:rsidRPr="00A956CC" w:rsidRDefault="00860150" w:rsidP="001B037B">
            <w:pPr>
              <w:jc w:val="right"/>
              <w:rPr>
                <w:rFonts w:eastAsia="Times New Roman" w:cs="Times New Roman"/>
                <w:lang w:eastAsia="cs-CZ"/>
              </w:rPr>
            </w:pPr>
            <w:r w:rsidRPr="00A956CC">
              <w:rPr>
                <w:rFonts w:eastAsia="Times New Roman" w:cs="Times New Roman"/>
                <w:lang w:eastAsia="cs-CZ"/>
              </w:rPr>
              <w:t>8 557 931</w:t>
            </w:r>
          </w:p>
        </w:tc>
      </w:tr>
      <w:tr w:rsidR="00860150" w:rsidRPr="00FA1AA6" w:rsidTr="00B967C7">
        <w:tc>
          <w:tcPr>
            <w:tcW w:w="2806" w:type="pct"/>
            <w:tcBorders>
              <w:top w:val="nil"/>
              <w:bottom w:val="single" w:sz="4" w:space="0" w:color="7F7F7F" w:themeColor="text1" w:themeTint="80"/>
            </w:tcBorders>
            <w:shd w:val="clear" w:color="auto" w:fill="auto"/>
          </w:tcPr>
          <w:p w:rsidR="00860150" w:rsidRPr="00A956CC" w:rsidRDefault="00860150" w:rsidP="001B037B">
            <w:pPr>
              <w:rPr>
                <w:rFonts w:eastAsia="Times New Roman" w:cs="Times New Roman"/>
                <w:i/>
                <w:lang w:eastAsia="cs-CZ"/>
              </w:rPr>
            </w:pPr>
            <w:r w:rsidRPr="00A956CC">
              <w:rPr>
                <w:rFonts w:eastAsia="Times New Roman" w:cs="Times New Roman"/>
                <w:i/>
                <w:lang w:eastAsia="cs-CZ"/>
              </w:rPr>
              <w:t>127 77 Podpora financování dopravy</w:t>
            </w:r>
          </w:p>
        </w:tc>
        <w:tc>
          <w:tcPr>
            <w:tcW w:w="766" w:type="pct"/>
            <w:tcBorders>
              <w:top w:val="nil"/>
              <w:bottom w:val="single" w:sz="4" w:space="0" w:color="7F7F7F" w:themeColor="text1" w:themeTint="80"/>
            </w:tcBorders>
            <w:shd w:val="clear" w:color="auto" w:fill="auto"/>
          </w:tcPr>
          <w:p w:rsidR="00860150" w:rsidRPr="00A956CC" w:rsidRDefault="00860150" w:rsidP="001B037B">
            <w:pPr>
              <w:jc w:val="right"/>
              <w:rPr>
                <w:rFonts w:eastAsia="Times New Roman" w:cs="Times New Roman"/>
                <w:i/>
                <w:lang w:eastAsia="cs-CZ"/>
              </w:rPr>
            </w:pPr>
            <w:r w:rsidRPr="00A956CC">
              <w:rPr>
                <w:rFonts w:eastAsia="Times New Roman" w:cs="Times New Roman"/>
                <w:i/>
                <w:lang w:eastAsia="cs-CZ"/>
              </w:rPr>
              <w:t>8 557 931</w:t>
            </w:r>
          </w:p>
        </w:tc>
        <w:tc>
          <w:tcPr>
            <w:tcW w:w="648" w:type="pct"/>
            <w:tcBorders>
              <w:top w:val="nil"/>
              <w:bottom w:val="single" w:sz="4" w:space="0" w:color="7F7F7F" w:themeColor="text1" w:themeTint="80"/>
            </w:tcBorders>
            <w:shd w:val="clear" w:color="auto" w:fill="auto"/>
          </w:tcPr>
          <w:p w:rsidR="00860150" w:rsidRPr="00A956CC" w:rsidRDefault="00860150" w:rsidP="001B037B">
            <w:pPr>
              <w:jc w:val="right"/>
              <w:rPr>
                <w:rFonts w:eastAsia="Times New Roman" w:cs="Times New Roman"/>
                <w:i/>
                <w:lang w:eastAsia="cs-CZ"/>
              </w:rPr>
            </w:pPr>
            <w:r w:rsidRPr="00A956CC">
              <w:rPr>
                <w:rFonts w:eastAsia="Times New Roman" w:cs="Times New Roman"/>
                <w:i/>
                <w:lang w:eastAsia="cs-CZ"/>
              </w:rPr>
              <w:t>0</w:t>
            </w:r>
          </w:p>
        </w:tc>
        <w:tc>
          <w:tcPr>
            <w:tcW w:w="781" w:type="pct"/>
            <w:tcBorders>
              <w:top w:val="nil"/>
              <w:bottom w:val="single" w:sz="4" w:space="0" w:color="7F7F7F" w:themeColor="text1" w:themeTint="80"/>
            </w:tcBorders>
            <w:shd w:val="clear" w:color="auto" w:fill="auto"/>
          </w:tcPr>
          <w:p w:rsidR="00860150" w:rsidRPr="00A956CC" w:rsidRDefault="00860150" w:rsidP="001B037B">
            <w:pPr>
              <w:jc w:val="right"/>
              <w:rPr>
                <w:rFonts w:eastAsia="Times New Roman" w:cs="Times New Roman"/>
                <w:i/>
                <w:lang w:eastAsia="cs-CZ"/>
              </w:rPr>
            </w:pPr>
            <w:r w:rsidRPr="00A956CC">
              <w:rPr>
                <w:rFonts w:eastAsia="Times New Roman" w:cs="Times New Roman"/>
                <w:i/>
                <w:lang w:eastAsia="cs-CZ"/>
              </w:rPr>
              <w:t>8 557 931</w:t>
            </w:r>
          </w:p>
        </w:tc>
      </w:tr>
      <w:tr w:rsidR="00860150" w:rsidRPr="00FA1AA6" w:rsidTr="00B967C7">
        <w:tc>
          <w:tcPr>
            <w:tcW w:w="2806" w:type="pct"/>
            <w:tcBorders>
              <w:top w:val="nil"/>
              <w:bottom w:val="nil"/>
            </w:tcBorders>
            <w:shd w:val="clear" w:color="auto" w:fill="auto"/>
          </w:tcPr>
          <w:p w:rsidR="00860150" w:rsidRPr="00A956CC" w:rsidRDefault="00860150" w:rsidP="001B037B">
            <w:pPr>
              <w:rPr>
                <w:rFonts w:eastAsia="Times New Roman" w:cs="Times New Roman"/>
                <w:color w:val="FF0000"/>
                <w:lang w:eastAsia="cs-CZ"/>
              </w:rPr>
            </w:pPr>
            <w:r w:rsidRPr="00A956CC">
              <w:rPr>
                <w:rFonts w:eastAsia="Times New Roman" w:cs="Times New Roman"/>
                <w:lang w:eastAsia="cs-CZ"/>
              </w:rPr>
              <w:t>Podnikatelské subjekty v tom:</w:t>
            </w:r>
          </w:p>
        </w:tc>
        <w:tc>
          <w:tcPr>
            <w:tcW w:w="766" w:type="pct"/>
            <w:tcBorders>
              <w:top w:val="nil"/>
              <w:bottom w:val="nil"/>
            </w:tcBorders>
            <w:shd w:val="clear" w:color="auto" w:fill="auto"/>
          </w:tcPr>
          <w:p w:rsidR="00860150" w:rsidRPr="00A956CC" w:rsidRDefault="00860150" w:rsidP="001B037B">
            <w:pPr>
              <w:jc w:val="right"/>
              <w:rPr>
                <w:rFonts w:eastAsia="Times New Roman" w:cs="Times New Roman"/>
                <w:lang w:eastAsia="cs-CZ"/>
              </w:rPr>
            </w:pPr>
            <w:r w:rsidRPr="00A956CC">
              <w:rPr>
                <w:rFonts w:eastAsia="Times New Roman" w:cs="Times New Roman"/>
                <w:lang w:eastAsia="cs-CZ"/>
              </w:rPr>
              <w:t xml:space="preserve">1 684 121 </w:t>
            </w:r>
          </w:p>
        </w:tc>
        <w:tc>
          <w:tcPr>
            <w:tcW w:w="648" w:type="pct"/>
            <w:tcBorders>
              <w:top w:val="nil"/>
              <w:bottom w:val="nil"/>
            </w:tcBorders>
            <w:shd w:val="clear" w:color="auto" w:fill="auto"/>
          </w:tcPr>
          <w:p w:rsidR="00860150" w:rsidRPr="00A956CC" w:rsidRDefault="00860150" w:rsidP="001B037B">
            <w:pPr>
              <w:jc w:val="right"/>
              <w:rPr>
                <w:rFonts w:eastAsia="Times New Roman" w:cs="Times New Roman"/>
                <w:lang w:eastAsia="cs-CZ"/>
              </w:rPr>
            </w:pPr>
            <w:r w:rsidRPr="00A956CC">
              <w:rPr>
                <w:rFonts w:eastAsia="Times New Roman" w:cs="Times New Roman"/>
                <w:lang w:eastAsia="cs-CZ"/>
              </w:rPr>
              <w:t>0</w:t>
            </w:r>
          </w:p>
        </w:tc>
        <w:tc>
          <w:tcPr>
            <w:tcW w:w="781" w:type="pct"/>
            <w:tcBorders>
              <w:top w:val="nil"/>
              <w:bottom w:val="nil"/>
            </w:tcBorders>
            <w:shd w:val="clear" w:color="auto" w:fill="auto"/>
          </w:tcPr>
          <w:p w:rsidR="00860150" w:rsidRPr="00A956CC" w:rsidRDefault="00860150" w:rsidP="001B037B">
            <w:pPr>
              <w:jc w:val="right"/>
              <w:rPr>
                <w:rFonts w:eastAsia="Times New Roman" w:cs="Times New Roman"/>
                <w:color w:val="FF0000"/>
                <w:lang w:eastAsia="cs-CZ"/>
              </w:rPr>
            </w:pPr>
            <w:r w:rsidRPr="00A956CC">
              <w:rPr>
                <w:rFonts w:eastAsia="Times New Roman" w:cs="Times New Roman"/>
                <w:lang w:eastAsia="cs-CZ"/>
              </w:rPr>
              <w:t xml:space="preserve">1 684 121 </w:t>
            </w:r>
          </w:p>
        </w:tc>
      </w:tr>
      <w:tr w:rsidR="00860150" w:rsidRPr="00FA1AA6" w:rsidTr="00B967C7">
        <w:tc>
          <w:tcPr>
            <w:tcW w:w="2806" w:type="pct"/>
            <w:tcBorders>
              <w:top w:val="nil"/>
              <w:bottom w:val="nil"/>
            </w:tcBorders>
            <w:shd w:val="clear" w:color="auto" w:fill="auto"/>
          </w:tcPr>
          <w:p w:rsidR="00860150" w:rsidRPr="00A956CC" w:rsidRDefault="00860150" w:rsidP="001B037B">
            <w:pPr>
              <w:rPr>
                <w:rFonts w:eastAsia="Times New Roman" w:cs="Times New Roman"/>
                <w:i/>
                <w:color w:val="FF0000"/>
                <w:lang w:eastAsia="cs-CZ"/>
              </w:rPr>
            </w:pPr>
            <w:r w:rsidRPr="00A956CC">
              <w:rPr>
                <w:rFonts w:eastAsia="Times New Roman" w:cs="Times New Roman"/>
                <w:i/>
                <w:lang w:eastAsia="cs-CZ"/>
              </w:rPr>
              <w:t>127 77 Podpora financování dopravy</w:t>
            </w:r>
          </w:p>
        </w:tc>
        <w:tc>
          <w:tcPr>
            <w:tcW w:w="766" w:type="pct"/>
            <w:tcBorders>
              <w:top w:val="nil"/>
              <w:bottom w:val="nil"/>
            </w:tcBorders>
            <w:shd w:val="clear" w:color="auto" w:fill="auto"/>
          </w:tcPr>
          <w:p w:rsidR="00860150" w:rsidRPr="00A956CC" w:rsidRDefault="00860150" w:rsidP="001B037B">
            <w:pPr>
              <w:jc w:val="right"/>
              <w:rPr>
                <w:rFonts w:eastAsia="Times New Roman" w:cs="Times New Roman"/>
                <w:i/>
                <w:lang w:eastAsia="cs-CZ"/>
              </w:rPr>
            </w:pPr>
            <w:r w:rsidRPr="00A956CC">
              <w:rPr>
                <w:rFonts w:eastAsia="Times New Roman" w:cs="Times New Roman"/>
                <w:i/>
                <w:lang w:eastAsia="cs-CZ"/>
              </w:rPr>
              <w:t>521 211</w:t>
            </w:r>
          </w:p>
        </w:tc>
        <w:tc>
          <w:tcPr>
            <w:tcW w:w="648" w:type="pct"/>
            <w:tcBorders>
              <w:top w:val="nil"/>
              <w:bottom w:val="nil"/>
            </w:tcBorders>
            <w:shd w:val="clear" w:color="auto" w:fill="auto"/>
          </w:tcPr>
          <w:p w:rsidR="00860150" w:rsidRPr="00A956CC" w:rsidRDefault="00860150" w:rsidP="001B037B">
            <w:pPr>
              <w:jc w:val="right"/>
              <w:rPr>
                <w:rFonts w:eastAsia="Times New Roman" w:cs="Times New Roman"/>
                <w:i/>
                <w:lang w:eastAsia="cs-CZ"/>
              </w:rPr>
            </w:pPr>
            <w:r w:rsidRPr="00A956CC">
              <w:rPr>
                <w:rFonts w:eastAsia="Times New Roman" w:cs="Times New Roman"/>
                <w:i/>
                <w:lang w:eastAsia="cs-CZ"/>
              </w:rPr>
              <w:t>0</w:t>
            </w:r>
          </w:p>
        </w:tc>
        <w:tc>
          <w:tcPr>
            <w:tcW w:w="781" w:type="pct"/>
            <w:tcBorders>
              <w:top w:val="nil"/>
              <w:bottom w:val="nil"/>
            </w:tcBorders>
            <w:shd w:val="clear" w:color="auto" w:fill="auto"/>
          </w:tcPr>
          <w:p w:rsidR="00860150" w:rsidRPr="00A956CC" w:rsidRDefault="00860150" w:rsidP="001B037B">
            <w:pPr>
              <w:jc w:val="right"/>
              <w:rPr>
                <w:rFonts w:eastAsia="Times New Roman" w:cs="Times New Roman"/>
                <w:i/>
                <w:color w:val="FF0000"/>
                <w:lang w:eastAsia="cs-CZ"/>
              </w:rPr>
            </w:pPr>
            <w:r w:rsidRPr="00A956CC">
              <w:rPr>
                <w:rFonts w:eastAsia="Times New Roman" w:cs="Times New Roman"/>
                <w:i/>
                <w:lang w:eastAsia="cs-CZ"/>
              </w:rPr>
              <w:t>521 211</w:t>
            </w:r>
          </w:p>
        </w:tc>
      </w:tr>
      <w:tr w:rsidR="00860150" w:rsidRPr="00FA1AA6" w:rsidTr="00B967C7">
        <w:tc>
          <w:tcPr>
            <w:tcW w:w="2806" w:type="pct"/>
            <w:tcBorders>
              <w:top w:val="nil"/>
              <w:bottom w:val="single" w:sz="4" w:space="0" w:color="7F7F7F" w:themeColor="text1" w:themeTint="80"/>
            </w:tcBorders>
            <w:shd w:val="clear" w:color="auto" w:fill="auto"/>
          </w:tcPr>
          <w:p w:rsidR="00860150" w:rsidRPr="00A956CC" w:rsidRDefault="00860150" w:rsidP="001B037B">
            <w:pPr>
              <w:rPr>
                <w:rFonts w:eastAsia="Times New Roman" w:cs="Times New Roman"/>
                <w:i/>
                <w:lang w:eastAsia="cs-CZ"/>
              </w:rPr>
            </w:pPr>
            <w:r w:rsidRPr="00A956CC">
              <w:rPr>
                <w:rFonts w:eastAsia="Times New Roman" w:cs="Times New Roman"/>
                <w:i/>
                <w:lang w:eastAsia="cs-CZ"/>
              </w:rPr>
              <w:t>127 65 Pořízení a modernizace žel. kolej. vozidel</w:t>
            </w:r>
          </w:p>
        </w:tc>
        <w:tc>
          <w:tcPr>
            <w:tcW w:w="766" w:type="pct"/>
            <w:tcBorders>
              <w:top w:val="nil"/>
              <w:bottom w:val="single" w:sz="4" w:space="0" w:color="7F7F7F" w:themeColor="text1" w:themeTint="80"/>
            </w:tcBorders>
            <w:shd w:val="clear" w:color="auto" w:fill="auto"/>
          </w:tcPr>
          <w:p w:rsidR="00860150" w:rsidRPr="00A956CC" w:rsidRDefault="00860150" w:rsidP="001B037B">
            <w:pPr>
              <w:jc w:val="right"/>
              <w:rPr>
                <w:rFonts w:eastAsia="Times New Roman" w:cs="Times New Roman"/>
                <w:i/>
                <w:lang w:eastAsia="cs-CZ"/>
              </w:rPr>
            </w:pPr>
            <w:r w:rsidRPr="00A956CC">
              <w:rPr>
                <w:rFonts w:eastAsia="Times New Roman" w:cs="Times New Roman"/>
                <w:i/>
                <w:lang w:eastAsia="cs-CZ"/>
              </w:rPr>
              <w:t>1 162 910</w:t>
            </w:r>
          </w:p>
        </w:tc>
        <w:tc>
          <w:tcPr>
            <w:tcW w:w="648" w:type="pct"/>
            <w:tcBorders>
              <w:top w:val="nil"/>
              <w:bottom w:val="single" w:sz="4" w:space="0" w:color="7F7F7F" w:themeColor="text1" w:themeTint="80"/>
            </w:tcBorders>
            <w:shd w:val="clear" w:color="auto" w:fill="auto"/>
          </w:tcPr>
          <w:p w:rsidR="00860150" w:rsidRPr="00A956CC" w:rsidRDefault="00860150" w:rsidP="001B037B">
            <w:pPr>
              <w:jc w:val="right"/>
              <w:rPr>
                <w:rFonts w:eastAsia="Times New Roman" w:cs="Times New Roman"/>
                <w:i/>
                <w:color w:val="FF0000"/>
                <w:lang w:eastAsia="cs-CZ"/>
              </w:rPr>
            </w:pPr>
            <w:r w:rsidRPr="00A956CC">
              <w:rPr>
                <w:rFonts w:eastAsia="Times New Roman" w:cs="Times New Roman"/>
                <w:i/>
                <w:lang w:eastAsia="cs-CZ"/>
              </w:rPr>
              <w:t>0</w:t>
            </w:r>
          </w:p>
        </w:tc>
        <w:tc>
          <w:tcPr>
            <w:tcW w:w="781" w:type="pct"/>
            <w:tcBorders>
              <w:top w:val="nil"/>
              <w:bottom w:val="single" w:sz="4" w:space="0" w:color="7F7F7F" w:themeColor="text1" w:themeTint="80"/>
            </w:tcBorders>
            <w:shd w:val="clear" w:color="auto" w:fill="auto"/>
          </w:tcPr>
          <w:p w:rsidR="00860150" w:rsidRPr="00A956CC" w:rsidRDefault="00860150" w:rsidP="001B037B">
            <w:pPr>
              <w:jc w:val="right"/>
              <w:rPr>
                <w:rFonts w:eastAsia="Times New Roman" w:cs="Times New Roman"/>
                <w:i/>
                <w:color w:val="FF0000"/>
                <w:lang w:eastAsia="cs-CZ"/>
              </w:rPr>
            </w:pPr>
            <w:r w:rsidRPr="00A956CC">
              <w:rPr>
                <w:rFonts w:eastAsia="Times New Roman" w:cs="Times New Roman"/>
                <w:i/>
                <w:lang w:eastAsia="cs-CZ"/>
              </w:rPr>
              <w:t>1 162 910</w:t>
            </w:r>
          </w:p>
        </w:tc>
      </w:tr>
      <w:tr w:rsidR="00860150" w:rsidRPr="00FA1AA6" w:rsidTr="00B967C7">
        <w:tc>
          <w:tcPr>
            <w:tcW w:w="2806" w:type="pct"/>
            <w:tcBorders>
              <w:top w:val="single" w:sz="4" w:space="0" w:color="7F7F7F" w:themeColor="text1" w:themeTint="80"/>
            </w:tcBorders>
            <w:shd w:val="clear" w:color="auto" w:fill="auto"/>
          </w:tcPr>
          <w:p w:rsidR="00860150" w:rsidRPr="00A956CC" w:rsidRDefault="00860150" w:rsidP="001B037B">
            <w:pPr>
              <w:rPr>
                <w:rFonts w:eastAsia="Times New Roman" w:cs="Times New Roman"/>
                <w:color w:val="FF0000"/>
                <w:lang w:eastAsia="cs-CZ"/>
              </w:rPr>
            </w:pPr>
            <w:r w:rsidRPr="00A956CC">
              <w:rPr>
                <w:rFonts w:eastAsia="Times New Roman" w:cs="Times New Roman"/>
                <w:b/>
                <w:lang w:eastAsia="cs-CZ"/>
              </w:rPr>
              <w:t xml:space="preserve">2 (CF) – Silniční infrastruktura na síti TEN-T                 a veřejná infrastruktura pro čistou mobilitu </w:t>
            </w:r>
            <w:r w:rsidRPr="00A956CC">
              <w:rPr>
                <w:rFonts w:eastAsia="Times New Roman" w:cs="Times New Roman"/>
                <w:b/>
                <w:lang w:eastAsia="cs-CZ"/>
              </w:rPr>
              <w:br/>
              <w:t xml:space="preserve">a řízení silničního provozu </w:t>
            </w:r>
            <w:r w:rsidRPr="00A956CC">
              <w:rPr>
                <w:rFonts w:eastAsia="Times New Roman" w:cs="Times New Roman"/>
                <w:lang w:eastAsia="cs-CZ"/>
              </w:rPr>
              <w:t>v tom:</w:t>
            </w:r>
          </w:p>
        </w:tc>
        <w:tc>
          <w:tcPr>
            <w:tcW w:w="766" w:type="pct"/>
            <w:tcBorders>
              <w:top w:val="single" w:sz="4" w:space="0" w:color="7F7F7F" w:themeColor="text1" w:themeTint="80"/>
            </w:tcBorders>
            <w:shd w:val="clear" w:color="auto" w:fill="auto"/>
          </w:tcPr>
          <w:p w:rsidR="00860150" w:rsidRPr="00A956CC" w:rsidRDefault="00860150" w:rsidP="001B037B">
            <w:pPr>
              <w:spacing w:before="240"/>
              <w:jc w:val="right"/>
              <w:rPr>
                <w:rFonts w:eastAsia="Times New Roman" w:cs="Times New Roman"/>
                <w:b/>
                <w:lang w:eastAsia="cs-CZ"/>
              </w:rPr>
            </w:pPr>
            <w:r w:rsidRPr="00A956CC">
              <w:rPr>
                <w:rFonts w:eastAsia="Times New Roman" w:cs="Times New Roman"/>
                <w:b/>
                <w:lang w:eastAsia="cs-CZ"/>
              </w:rPr>
              <w:t>3 556 813</w:t>
            </w:r>
          </w:p>
        </w:tc>
        <w:tc>
          <w:tcPr>
            <w:tcW w:w="648" w:type="pct"/>
            <w:tcBorders>
              <w:top w:val="single" w:sz="4" w:space="0" w:color="7F7F7F" w:themeColor="text1" w:themeTint="80"/>
            </w:tcBorders>
            <w:shd w:val="clear" w:color="auto" w:fill="auto"/>
          </w:tcPr>
          <w:p w:rsidR="00860150" w:rsidRPr="00A956CC" w:rsidRDefault="00860150" w:rsidP="001B037B">
            <w:pPr>
              <w:spacing w:before="240"/>
              <w:jc w:val="right"/>
              <w:rPr>
                <w:rFonts w:eastAsia="Times New Roman" w:cs="Times New Roman"/>
                <w:b/>
                <w:lang w:eastAsia="cs-CZ"/>
              </w:rPr>
            </w:pPr>
            <w:r w:rsidRPr="00A956CC">
              <w:rPr>
                <w:rFonts w:eastAsia="Times New Roman" w:cs="Times New Roman"/>
                <w:b/>
                <w:lang w:eastAsia="cs-CZ"/>
              </w:rPr>
              <w:t>0</w:t>
            </w:r>
          </w:p>
        </w:tc>
        <w:tc>
          <w:tcPr>
            <w:tcW w:w="781" w:type="pct"/>
            <w:tcBorders>
              <w:top w:val="single" w:sz="4" w:space="0" w:color="7F7F7F" w:themeColor="text1" w:themeTint="80"/>
            </w:tcBorders>
            <w:shd w:val="clear" w:color="auto" w:fill="auto"/>
          </w:tcPr>
          <w:p w:rsidR="00860150" w:rsidRPr="00A956CC" w:rsidRDefault="00860150" w:rsidP="001B037B">
            <w:pPr>
              <w:spacing w:before="240"/>
              <w:jc w:val="right"/>
              <w:rPr>
                <w:rFonts w:eastAsia="Times New Roman" w:cs="Times New Roman"/>
                <w:b/>
                <w:lang w:eastAsia="cs-CZ"/>
              </w:rPr>
            </w:pPr>
            <w:r w:rsidRPr="00A956CC">
              <w:rPr>
                <w:rFonts w:eastAsia="Times New Roman" w:cs="Times New Roman"/>
                <w:b/>
                <w:lang w:eastAsia="cs-CZ"/>
              </w:rPr>
              <w:t>3 556 813</w:t>
            </w:r>
          </w:p>
        </w:tc>
      </w:tr>
      <w:tr w:rsidR="00860150" w:rsidRPr="00FA1AA6" w:rsidTr="00B967C7">
        <w:tc>
          <w:tcPr>
            <w:tcW w:w="2806" w:type="pct"/>
            <w:tcBorders>
              <w:bottom w:val="nil"/>
            </w:tcBorders>
            <w:shd w:val="clear" w:color="auto" w:fill="auto"/>
          </w:tcPr>
          <w:p w:rsidR="00860150" w:rsidRPr="00A956CC" w:rsidRDefault="00860150" w:rsidP="001B037B">
            <w:pPr>
              <w:rPr>
                <w:rFonts w:eastAsia="Times New Roman" w:cs="Times New Roman"/>
                <w:lang w:eastAsia="cs-CZ"/>
              </w:rPr>
            </w:pPr>
            <w:r w:rsidRPr="00A956CC">
              <w:rPr>
                <w:rFonts w:eastAsia="Times New Roman" w:cs="Times New Roman"/>
                <w:lang w:eastAsia="cs-CZ"/>
              </w:rPr>
              <w:t>Státní fond dopravní infrastruktury v tom:</w:t>
            </w:r>
          </w:p>
        </w:tc>
        <w:tc>
          <w:tcPr>
            <w:tcW w:w="766" w:type="pct"/>
            <w:tcBorders>
              <w:bottom w:val="nil"/>
            </w:tcBorders>
            <w:shd w:val="clear" w:color="auto" w:fill="auto"/>
          </w:tcPr>
          <w:p w:rsidR="00860150" w:rsidRPr="00A956CC" w:rsidRDefault="00860150" w:rsidP="001B037B">
            <w:pPr>
              <w:jc w:val="right"/>
              <w:rPr>
                <w:rFonts w:eastAsia="Times New Roman" w:cs="Times New Roman"/>
                <w:color w:val="FF0000"/>
                <w:lang w:eastAsia="cs-CZ"/>
              </w:rPr>
            </w:pPr>
            <w:r w:rsidRPr="00A956CC">
              <w:rPr>
                <w:rFonts w:eastAsia="Times New Roman" w:cs="Times New Roman"/>
                <w:lang w:eastAsia="cs-CZ"/>
              </w:rPr>
              <w:t>2 656 813</w:t>
            </w:r>
          </w:p>
        </w:tc>
        <w:tc>
          <w:tcPr>
            <w:tcW w:w="648" w:type="pct"/>
            <w:tcBorders>
              <w:bottom w:val="nil"/>
            </w:tcBorders>
            <w:shd w:val="clear" w:color="auto" w:fill="auto"/>
          </w:tcPr>
          <w:p w:rsidR="00860150" w:rsidRPr="00A956CC" w:rsidRDefault="00860150" w:rsidP="001B037B">
            <w:pPr>
              <w:jc w:val="right"/>
              <w:rPr>
                <w:rFonts w:eastAsia="Times New Roman" w:cs="Times New Roman"/>
                <w:lang w:eastAsia="cs-CZ"/>
              </w:rPr>
            </w:pPr>
            <w:r w:rsidRPr="00A956CC">
              <w:rPr>
                <w:rFonts w:eastAsia="Times New Roman" w:cs="Times New Roman"/>
                <w:lang w:eastAsia="cs-CZ"/>
              </w:rPr>
              <w:t>0</w:t>
            </w:r>
          </w:p>
        </w:tc>
        <w:tc>
          <w:tcPr>
            <w:tcW w:w="781" w:type="pct"/>
            <w:tcBorders>
              <w:bottom w:val="nil"/>
            </w:tcBorders>
            <w:shd w:val="clear" w:color="auto" w:fill="auto"/>
          </w:tcPr>
          <w:p w:rsidR="00860150" w:rsidRPr="00A956CC" w:rsidRDefault="00860150" w:rsidP="001B037B">
            <w:pPr>
              <w:jc w:val="right"/>
              <w:rPr>
                <w:rFonts w:eastAsia="Times New Roman" w:cs="Times New Roman"/>
                <w:lang w:eastAsia="cs-CZ"/>
              </w:rPr>
            </w:pPr>
            <w:r w:rsidRPr="00A956CC">
              <w:rPr>
                <w:rFonts w:eastAsia="Times New Roman" w:cs="Times New Roman"/>
                <w:lang w:eastAsia="cs-CZ"/>
              </w:rPr>
              <w:t>2 656 813</w:t>
            </w:r>
          </w:p>
        </w:tc>
      </w:tr>
      <w:tr w:rsidR="00860150" w:rsidRPr="00FA1AA6" w:rsidTr="00B967C7">
        <w:tc>
          <w:tcPr>
            <w:tcW w:w="2806" w:type="pct"/>
            <w:tcBorders>
              <w:top w:val="nil"/>
              <w:bottom w:val="single" w:sz="4" w:space="0" w:color="7F7F7F" w:themeColor="text1" w:themeTint="80"/>
            </w:tcBorders>
            <w:shd w:val="clear" w:color="auto" w:fill="auto"/>
          </w:tcPr>
          <w:p w:rsidR="00860150" w:rsidRPr="00A956CC" w:rsidRDefault="00860150" w:rsidP="001B037B">
            <w:pPr>
              <w:rPr>
                <w:rFonts w:eastAsia="Times New Roman" w:cs="Times New Roman"/>
                <w:i/>
                <w:lang w:eastAsia="cs-CZ"/>
              </w:rPr>
            </w:pPr>
            <w:r w:rsidRPr="00A956CC">
              <w:rPr>
                <w:rFonts w:eastAsia="Times New Roman" w:cs="Times New Roman"/>
                <w:i/>
                <w:lang w:eastAsia="cs-CZ"/>
              </w:rPr>
              <w:t>127 77 Podpora financování dopravy</w:t>
            </w:r>
          </w:p>
        </w:tc>
        <w:tc>
          <w:tcPr>
            <w:tcW w:w="766" w:type="pct"/>
            <w:tcBorders>
              <w:top w:val="nil"/>
              <w:bottom w:val="single" w:sz="4" w:space="0" w:color="7F7F7F" w:themeColor="text1" w:themeTint="80"/>
            </w:tcBorders>
            <w:shd w:val="clear" w:color="auto" w:fill="auto"/>
          </w:tcPr>
          <w:p w:rsidR="00860150" w:rsidRPr="00A956CC" w:rsidRDefault="00860150" w:rsidP="001B037B">
            <w:pPr>
              <w:jc w:val="right"/>
              <w:rPr>
                <w:rFonts w:eastAsia="Times New Roman" w:cs="Times New Roman"/>
                <w:i/>
                <w:color w:val="FF0000"/>
                <w:lang w:eastAsia="cs-CZ"/>
              </w:rPr>
            </w:pPr>
            <w:r w:rsidRPr="00A956CC">
              <w:rPr>
                <w:rFonts w:eastAsia="Times New Roman" w:cs="Times New Roman"/>
                <w:i/>
                <w:lang w:eastAsia="cs-CZ"/>
              </w:rPr>
              <w:t>2 656 813</w:t>
            </w:r>
          </w:p>
        </w:tc>
        <w:tc>
          <w:tcPr>
            <w:tcW w:w="648" w:type="pct"/>
            <w:tcBorders>
              <w:top w:val="nil"/>
              <w:bottom w:val="single" w:sz="4" w:space="0" w:color="7F7F7F" w:themeColor="text1" w:themeTint="80"/>
            </w:tcBorders>
            <w:shd w:val="clear" w:color="auto" w:fill="auto"/>
          </w:tcPr>
          <w:p w:rsidR="00860150" w:rsidRPr="00A956CC" w:rsidRDefault="00860150" w:rsidP="001B037B">
            <w:pPr>
              <w:jc w:val="right"/>
              <w:rPr>
                <w:rFonts w:eastAsia="Times New Roman" w:cs="Times New Roman"/>
                <w:i/>
                <w:lang w:eastAsia="cs-CZ"/>
              </w:rPr>
            </w:pPr>
            <w:r w:rsidRPr="00A956CC">
              <w:rPr>
                <w:rFonts w:eastAsia="Times New Roman" w:cs="Times New Roman"/>
                <w:i/>
                <w:lang w:eastAsia="cs-CZ"/>
              </w:rPr>
              <w:t>0</w:t>
            </w:r>
          </w:p>
        </w:tc>
        <w:tc>
          <w:tcPr>
            <w:tcW w:w="781" w:type="pct"/>
            <w:tcBorders>
              <w:top w:val="nil"/>
              <w:bottom w:val="single" w:sz="4" w:space="0" w:color="7F7F7F" w:themeColor="text1" w:themeTint="80"/>
            </w:tcBorders>
            <w:shd w:val="clear" w:color="auto" w:fill="auto"/>
          </w:tcPr>
          <w:p w:rsidR="00860150" w:rsidRPr="00A956CC" w:rsidRDefault="00860150" w:rsidP="001B037B">
            <w:pPr>
              <w:jc w:val="right"/>
              <w:rPr>
                <w:rFonts w:eastAsia="Times New Roman" w:cs="Times New Roman"/>
                <w:i/>
                <w:lang w:eastAsia="cs-CZ"/>
              </w:rPr>
            </w:pPr>
            <w:r w:rsidRPr="00A956CC">
              <w:rPr>
                <w:rFonts w:eastAsia="Times New Roman" w:cs="Times New Roman"/>
                <w:i/>
                <w:lang w:eastAsia="cs-CZ"/>
              </w:rPr>
              <w:t>2 656 813</w:t>
            </w:r>
          </w:p>
        </w:tc>
      </w:tr>
      <w:tr w:rsidR="00860150" w:rsidRPr="00FA1AA6" w:rsidTr="00B967C7">
        <w:tc>
          <w:tcPr>
            <w:tcW w:w="2806" w:type="pct"/>
            <w:tcBorders>
              <w:top w:val="nil"/>
              <w:bottom w:val="nil"/>
            </w:tcBorders>
            <w:shd w:val="clear" w:color="auto" w:fill="auto"/>
          </w:tcPr>
          <w:p w:rsidR="00860150" w:rsidRPr="00A956CC" w:rsidRDefault="00860150" w:rsidP="001B037B">
            <w:pPr>
              <w:rPr>
                <w:rFonts w:eastAsia="Times New Roman" w:cs="Times New Roman"/>
                <w:lang w:eastAsia="cs-CZ"/>
              </w:rPr>
            </w:pPr>
            <w:r w:rsidRPr="00A956CC">
              <w:rPr>
                <w:rFonts w:eastAsia="Times New Roman" w:cs="Times New Roman"/>
                <w:lang w:eastAsia="cs-CZ"/>
              </w:rPr>
              <w:t xml:space="preserve">Podnikatelské subjekty v tom: </w:t>
            </w:r>
          </w:p>
        </w:tc>
        <w:tc>
          <w:tcPr>
            <w:tcW w:w="766" w:type="pct"/>
            <w:tcBorders>
              <w:top w:val="nil"/>
              <w:bottom w:val="nil"/>
            </w:tcBorders>
            <w:shd w:val="clear" w:color="auto" w:fill="auto"/>
          </w:tcPr>
          <w:p w:rsidR="00860150" w:rsidRPr="00A956CC" w:rsidRDefault="00860150" w:rsidP="001B037B">
            <w:pPr>
              <w:jc w:val="right"/>
              <w:rPr>
                <w:rFonts w:eastAsia="Times New Roman" w:cs="Times New Roman"/>
                <w:lang w:eastAsia="cs-CZ"/>
              </w:rPr>
            </w:pPr>
            <w:r w:rsidRPr="00A956CC">
              <w:rPr>
                <w:rFonts w:eastAsia="Times New Roman" w:cs="Times New Roman"/>
                <w:lang w:eastAsia="cs-CZ"/>
              </w:rPr>
              <w:t>900 000</w:t>
            </w:r>
          </w:p>
        </w:tc>
        <w:tc>
          <w:tcPr>
            <w:tcW w:w="648" w:type="pct"/>
            <w:tcBorders>
              <w:top w:val="nil"/>
              <w:bottom w:val="nil"/>
            </w:tcBorders>
            <w:shd w:val="clear" w:color="auto" w:fill="auto"/>
          </w:tcPr>
          <w:p w:rsidR="00860150" w:rsidRPr="00A956CC" w:rsidRDefault="00860150" w:rsidP="001B037B">
            <w:pPr>
              <w:jc w:val="right"/>
              <w:rPr>
                <w:rFonts w:eastAsia="Times New Roman" w:cs="Times New Roman"/>
                <w:lang w:eastAsia="cs-CZ"/>
              </w:rPr>
            </w:pPr>
            <w:r w:rsidRPr="00A956CC">
              <w:rPr>
                <w:rFonts w:eastAsia="Times New Roman" w:cs="Times New Roman"/>
                <w:lang w:eastAsia="cs-CZ"/>
              </w:rPr>
              <w:t>0</w:t>
            </w:r>
          </w:p>
        </w:tc>
        <w:tc>
          <w:tcPr>
            <w:tcW w:w="781" w:type="pct"/>
            <w:tcBorders>
              <w:top w:val="nil"/>
              <w:bottom w:val="nil"/>
            </w:tcBorders>
            <w:shd w:val="clear" w:color="auto" w:fill="auto"/>
          </w:tcPr>
          <w:p w:rsidR="00860150" w:rsidRPr="00A956CC" w:rsidRDefault="00860150" w:rsidP="001B037B">
            <w:pPr>
              <w:jc w:val="right"/>
              <w:rPr>
                <w:rFonts w:eastAsia="Times New Roman" w:cs="Times New Roman"/>
                <w:lang w:eastAsia="cs-CZ"/>
              </w:rPr>
            </w:pPr>
            <w:r w:rsidRPr="00A956CC">
              <w:rPr>
                <w:rFonts w:eastAsia="Times New Roman" w:cs="Times New Roman"/>
                <w:lang w:eastAsia="cs-CZ"/>
              </w:rPr>
              <w:t>900 000</w:t>
            </w:r>
          </w:p>
        </w:tc>
      </w:tr>
      <w:tr w:rsidR="00860150" w:rsidRPr="00FA1AA6" w:rsidTr="00B967C7">
        <w:tc>
          <w:tcPr>
            <w:tcW w:w="2806" w:type="pct"/>
            <w:tcBorders>
              <w:top w:val="nil"/>
              <w:bottom w:val="single" w:sz="4" w:space="0" w:color="7F7F7F" w:themeColor="text1" w:themeTint="80"/>
            </w:tcBorders>
            <w:shd w:val="clear" w:color="auto" w:fill="auto"/>
          </w:tcPr>
          <w:p w:rsidR="00860150" w:rsidRPr="00A956CC" w:rsidRDefault="00860150" w:rsidP="001B037B">
            <w:pPr>
              <w:rPr>
                <w:rFonts w:eastAsia="Times New Roman" w:cs="Times New Roman"/>
                <w:i/>
                <w:lang w:eastAsia="cs-CZ"/>
              </w:rPr>
            </w:pPr>
            <w:r w:rsidRPr="00A956CC">
              <w:rPr>
                <w:rFonts w:eastAsia="Times New Roman" w:cs="Times New Roman"/>
                <w:i/>
                <w:lang w:eastAsia="cs-CZ"/>
              </w:rPr>
              <w:t>127 77 Podpora financování dopravy</w:t>
            </w:r>
          </w:p>
        </w:tc>
        <w:tc>
          <w:tcPr>
            <w:tcW w:w="766" w:type="pct"/>
            <w:tcBorders>
              <w:top w:val="nil"/>
              <w:bottom w:val="single" w:sz="4" w:space="0" w:color="7F7F7F" w:themeColor="text1" w:themeTint="80"/>
            </w:tcBorders>
            <w:shd w:val="clear" w:color="auto" w:fill="auto"/>
          </w:tcPr>
          <w:p w:rsidR="00860150" w:rsidRPr="00A956CC" w:rsidRDefault="00860150" w:rsidP="001B037B">
            <w:pPr>
              <w:jc w:val="right"/>
              <w:rPr>
                <w:rFonts w:eastAsia="Times New Roman" w:cs="Times New Roman"/>
                <w:i/>
                <w:lang w:eastAsia="cs-CZ"/>
              </w:rPr>
            </w:pPr>
            <w:r w:rsidRPr="00A956CC">
              <w:rPr>
                <w:rFonts w:eastAsia="Times New Roman" w:cs="Times New Roman"/>
                <w:i/>
                <w:lang w:eastAsia="cs-CZ"/>
              </w:rPr>
              <w:t>900 000</w:t>
            </w:r>
          </w:p>
        </w:tc>
        <w:tc>
          <w:tcPr>
            <w:tcW w:w="648" w:type="pct"/>
            <w:tcBorders>
              <w:top w:val="nil"/>
              <w:bottom w:val="single" w:sz="4" w:space="0" w:color="7F7F7F" w:themeColor="text1" w:themeTint="80"/>
            </w:tcBorders>
            <w:shd w:val="clear" w:color="auto" w:fill="auto"/>
          </w:tcPr>
          <w:p w:rsidR="00860150" w:rsidRPr="00A956CC" w:rsidRDefault="00860150" w:rsidP="001B037B">
            <w:pPr>
              <w:jc w:val="right"/>
              <w:rPr>
                <w:rFonts w:eastAsia="Times New Roman" w:cs="Times New Roman"/>
                <w:i/>
                <w:lang w:eastAsia="cs-CZ"/>
              </w:rPr>
            </w:pPr>
            <w:r w:rsidRPr="00A956CC">
              <w:rPr>
                <w:rFonts w:eastAsia="Times New Roman" w:cs="Times New Roman"/>
                <w:i/>
                <w:lang w:eastAsia="cs-CZ"/>
              </w:rPr>
              <w:t>0</w:t>
            </w:r>
          </w:p>
        </w:tc>
        <w:tc>
          <w:tcPr>
            <w:tcW w:w="781" w:type="pct"/>
            <w:tcBorders>
              <w:top w:val="nil"/>
              <w:bottom w:val="single" w:sz="4" w:space="0" w:color="7F7F7F" w:themeColor="text1" w:themeTint="80"/>
            </w:tcBorders>
            <w:shd w:val="clear" w:color="auto" w:fill="auto"/>
          </w:tcPr>
          <w:p w:rsidR="00860150" w:rsidRPr="00A956CC" w:rsidRDefault="00860150" w:rsidP="001B037B">
            <w:pPr>
              <w:jc w:val="right"/>
              <w:rPr>
                <w:rFonts w:eastAsia="Times New Roman" w:cs="Times New Roman"/>
                <w:i/>
                <w:lang w:eastAsia="cs-CZ"/>
              </w:rPr>
            </w:pPr>
            <w:r w:rsidRPr="00A956CC">
              <w:rPr>
                <w:rFonts w:eastAsia="Times New Roman" w:cs="Times New Roman"/>
                <w:i/>
                <w:lang w:eastAsia="cs-CZ"/>
              </w:rPr>
              <w:t>900 000</w:t>
            </w:r>
          </w:p>
        </w:tc>
      </w:tr>
      <w:tr w:rsidR="00860150" w:rsidRPr="00FA1AA6" w:rsidTr="00B967C7">
        <w:tc>
          <w:tcPr>
            <w:tcW w:w="2806" w:type="pct"/>
            <w:tcBorders>
              <w:top w:val="single" w:sz="4" w:space="0" w:color="7F7F7F" w:themeColor="text1" w:themeTint="80"/>
            </w:tcBorders>
            <w:shd w:val="clear" w:color="auto" w:fill="auto"/>
          </w:tcPr>
          <w:p w:rsidR="00860150" w:rsidRPr="00A956CC" w:rsidRDefault="00860150" w:rsidP="001B037B">
            <w:pPr>
              <w:rPr>
                <w:rFonts w:eastAsia="Times New Roman" w:cs="Times New Roman"/>
                <w:color w:val="FF0000"/>
                <w:lang w:eastAsia="cs-CZ"/>
              </w:rPr>
            </w:pPr>
            <w:r w:rsidRPr="00A956CC">
              <w:rPr>
                <w:rFonts w:eastAsia="Times New Roman" w:cs="Times New Roman"/>
                <w:b/>
                <w:lang w:eastAsia="cs-CZ"/>
              </w:rPr>
              <w:t xml:space="preserve">3 (ERDF) – Silniční infrastruktura mimo síť </w:t>
            </w:r>
            <w:r w:rsidRPr="00A956CC">
              <w:rPr>
                <w:rFonts w:eastAsia="Times New Roman" w:cs="Times New Roman"/>
                <w:b/>
                <w:lang w:eastAsia="cs-CZ"/>
              </w:rPr>
              <w:br/>
              <w:t xml:space="preserve">TEN-T </w:t>
            </w:r>
            <w:r w:rsidRPr="00A956CC">
              <w:rPr>
                <w:rFonts w:eastAsia="Times New Roman" w:cs="Times New Roman"/>
                <w:lang w:eastAsia="cs-CZ"/>
              </w:rPr>
              <w:t>v tom:</w:t>
            </w:r>
          </w:p>
        </w:tc>
        <w:tc>
          <w:tcPr>
            <w:tcW w:w="766" w:type="pct"/>
            <w:tcBorders>
              <w:top w:val="single" w:sz="4" w:space="0" w:color="7F7F7F" w:themeColor="text1" w:themeTint="80"/>
            </w:tcBorders>
            <w:shd w:val="clear" w:color="auto" w:fill="auto"/>
          </w:tcPr>
          <w:p w:rsidR="00860150" w:rsidRPr="00A956CC" w:rsidRDefault="00860150" w:rsidP="001B037B">
            <w:pPr>
              <w:jc w:val="right"/>
              <w:rPr>
                <w:rFonts w:eastAsia="Times New Roman" w:cs="Times New Roman"/>
                <w:b/>
                <w:lang w:eastAsia="cs-CZ"/>
              </w:rPr>
            </w:pPr>
          </w:p>
          <w:p w:rsidR="00860150" w:rsidRPr="00A956CC" w:rsidRDefault="00860150" w:rsidP="001B037B">
            <w:pPr>
              <w:jc w:val="right"/>
              <w:rPr>
                <w:rFonts w:eastAsia="Times New Roman" w:cs="Times New Roman"/>
                <w:b/>
                <w:lang w:eastAsia="cs-CZ"/>
              </w:rPr>
            </w:pPr>
            <w:r w:rsidRPr="00A956CC">
              <w:rPr>
                <w:rFonts w:eastAsia="Times New Roman" w:cs="Times New Roman"/>
                <w:b/>
                <w:lang w:eastAsia="cs-CZ"/>
              </w:rPr>
              <w:t>5 351 690</w:t>
            </w:r>
          </w:p>
        </w:tc>
        <w:tc>
          <w:tcPr>
            <w:tcW w:w="648" w:type="pct"/>
            <w:tcBorders>
              <w:top w:val="single" w:sz="4" w:space="0" w:color="7F7F7F" w:themeColor="text1" w:themeTint="80"/>
            </w:tcBorders>
            <w:shd w:val="clear" w:color="auto" w:fill="auto"/>
          </w:tcPr>
          <w:p w:rsidR="00860150" w:rsidRPr="00A956CC" w:rsidRDefault="00860150" w:rsidP="001B037B">
            <w:pPr>
              <w:jc w:val="right"/>
              <w:rPr>
                <w:rFonts w:eastAsia="Times New Roman" w:cs="Times New Roman"/>
                <w:b/>
                <w:lang w:eastAsia="cs-CZ"/>
              </w:rPr>
            </w:pPr>
          </w:p>
          <w:p w:rsidR="00860150" w:rsidRPr="00A956CC" w:rsidRDefault="00860150" w:rsidP="001B037B">
            <w:pPr>
              <w:jc w:val="right"/>
              <w:rPr>
                <w:rFonts w:eastAsia="Times New Roman" w:cs="Times New Roman"/>
                <w:b/>
                <w:lang w:eastAsia="cs-CZ"/>
              </w:rPr>
            </w:pPr>
            <w:r w:rsidRPr="00A956CC">
              <w:rPr>
                <w:rFonts w:eastAsia="Times New Roman" w:cs="Times New Roman"/>
                <w:b/>
                <w:lang w:eastAsia="cs-CZ"/>
              </w:rPr>
              <w:t>0</w:t>
            </w:r>
          </w:p>
        </w:tc>
        <w:tc>
          <w:tcPr>
            <w:tcW w:w="781" w:type="pct"/>
            <w:tcBorders>
              <w:top w:val="single" w:sz="4" w:space="0" w:color="7F7F7F" w:themeColor="text1" w:themeTint="80"/>
            </w:tcBorders>
            <w:shd w:val="clear" w:color="auto" w:fill="auto"/>
          </w:tcPr>
          <w:p w:rsidR="00860150" w:rsidRPr="00A956CC" w:rsidRDefault="00860150" w:rsidP="001B037B">
            <w:pPr>
              <w:jc w:val="right"/>
              <w:rPr>
                <w:rFonts w:eastAsia="Times New Roman" w:cs="Times New Roman"/>
                <w:b/>
                <w:lang w:eastAsia="cs-CZ"/>
              </w:rPr>
            </w:pPr>
          </w:p>
          <w:p w:rsidR="00860150" w:rsidRPr="00A956CC" w:rsidRDefault="00860150" w:rsidP="001B037B">
            <w:pPr>
              <w:jc w:val="right"/>
              <w:rPr>
                <w:rFonts w:eastAsia="Times New Roman" w:cs="Times New Roman"/>
                <w:b/>
                <w:lang w:eastAsia="cs-CZ"/>
              </w:rPr>
            </w:pPr>
            <w:r w:rsidRPr="00A956CC">
              <w:rPr>
                <w:rFonts w:eastAsia="Times New Roman" w:cs="Times New Roman"/>
                <w:b/>
                <w:lang w:eastAsia="cs-CZ"/>
              </w:rPr>
              <w:t>5 351 690</w:t>
            </w:r>
          </w:p>
        </w:tc>
      </w:tr>
      <w:tr w:rsidR="00860150" w:rsidRPr="00FA1AA6" w:rsidTr="00B967C7">
        <w:tc>
          <w:tcPr>
            <w:tcW w:w="2806" w:type="pct"/>
            <w:tcBorders>
              <w:bottom w:val="nil"/>
            </w:tcBorders>
            <w:shd w:val="clear" w:color="auto" w:fill="auto"/>
          </w:tcPr>
          <w:p w:rsidR="00860150" w:rsidRPr="00A956CC" w:rsidRDefault="00860150" w:rsidP="001B037B">
            <w:pPr>
              <w:rPr>
                <w:rFonts w:eastAsia="Times New Roman" w:cs="Times New Roman"/>
                <w:lang w:eastAsia="cs-CZ"/>
              </w:rPr>
            </w:pPr>
            <w:r w:rsidRPr="00A956CC">
              <w:rPr>
                <w:rFonts w:eastAsia="Times New Roman" w:cs="Times New Roman"/>
                <w:lang w:eastAsia="cs-CZ"/>
              </w:rPr>
              <w:t>Státní fond dopravní infrastruktury v tom:</w:t>
            </w:r>
          </w:p>
        </w:tc>
        <w:tc>
          <w:tcPr>
            <w:tcW w:w="766" w:type="pct"/>
            <w:tcBorders>
              <w:bottom w:val="nil"/>
            </w:tcBorders>
            <w:shd w:val="clear" w:color="auto" w:fill="auto"/>
          </w:tcPr>
          <w:p w:rsidR="00860150" w:rsidRPr="00A956CC" w:rsidRDefault="00860150" w:rsidP="001B037B">
            <w:pPr>
              <w:jc w:val="right"/>
              <w:rPr>
                <w:rFonts w:eastAsia="Times New Roman" w:cs="Times New Roman"/>
                <w:lang w:eastAsia="cs-CZ"/>
              </w:rPr>
            </w:pPr>
            <w:r w:rsidRPr="00A956CC">
              <w:rPr>
                <w:rFonts w:eastAsia="Times New Roman" w:cs="Times New Roman"/>
                <w:lang w:eastAsia="cs-CZ"/>
              </w:rPr>
              <w:t>5 351 690</w:t>
            </w:r>
          </w:p>
        </w:tc>
        <w:tc>
          <w:tcPr>
            <w:tcW w:w="648" w:type="pct"/>
            <w:tcBorders>
              <w:bottom w:val="nil"/>
            </w:tcBorders>
            <w:shd w:val="clear" w:color="auto" w:fill="auto"/>
          </w:tcPr>
          <w:p w:rsidR="00860150" w:rsidRPr="00A956CC" w:rsidRDefault="00860150" w:rsidP="001B037B">
            <w:pPr>
              <w:jc w:val="right"/>
              <w:rPr>
                <w:rFonts w:eastAsia="Times New Roman" w:cs="Times New Roman"/>
                <w:lang w:eastAsia="cs-CZ"/>
              </w:rPr>
            </w:pPr>
            <w:r w:rsidRPr="00A956CC">
              <w:rPr>
                <w:rFonts w:eastAsia="Times New Roman" w:cs="Times New Roman"/>
                <w:lang w:eastAsia="cs-CZ"/>
              </w:rPr>
              <w:t>0</w:t>
            </w:r>
          </w:p>
        </w:tc>
        <w:tc>
          <w:tcPr>
            <w:tcW w:w="781" w:type="pct"/>
            <w:tcBorders>
              <w:bottom w:val="nil"/>
            </w:tcBorders>
            <w:shd w:val="clear" w:color="auto" w:fill="auto"/>
          </w:tcPr>
          <w:p w:rsidR="00860150" w:rsidRPr="00A956CC" w:rsidRDefault="00860150" w:rsidP="001B037B">
            <w:pPr>
              <w:jc w:val="right"/>
              <w:rPr>
                <w:rFonts w:eastAsia="Times New Roman" w:cs="Times New Roman"/>
                <w:lang w:eastAsia="cs-CZ"/>
              </w:rPr>
            </w:pPr>
            <w:r w:rsidRPr="00A956CC">
              <w:rPr>
                <w:rFonts w:eastAsia="Times New Roman" w:cs="Times New Roman"/>
                <w:lang w:eastAsia="cs-CZ"/>
              </w:rPr>
              <w:t>5 351 690</w:t>
            </w:r>
          </w:p>
        </w:tc>
      </w:tr>
      <w:tr w:rsidR="00860150" w:rsidRPr="00FA1AA6" w:rsidTr="00B967C7">
        <w:tc>
          <w:tcPr>
            <w:tcW w:w="2806" w:type="pct"/>
            <w:tcBorders>
              <w:top w:val="nil"/>
              <w:bottom w:val="single" w:sz="4" w:space="0" w:color="7F7F7F" w:themeColor="text1" w:themeTint="80"/>
            </w:tcBorders>
            <w:shd w:val="clear" w:color="auto" w:fill="auto"/>
          </w:tcPr>
          <w:p w:rsidR="00860150" w:rsidRPr="00A956CC" w:rsidRDefault="00860150" w:rsidP="001B037B">
            <w:pPr>
              <w:rPr>
                <w:rFonts w:eastAsia="Times New Roman" w:cs="Times New Roman"/>
                <w:lang w:eastAsia="cs-CZ"/>
              </w:rPr>
            </w:pPr>
            <w:r w:rsidRPr="00A956CC">
              <w:rPr>
                <w:rFonts w:eastAsia="Times New Roman" w:cs="Times New Roman"/>
                <w:i/>
                <w:lang w:eastAsia="cs-CZ"/>
              </w:rPr>
              <w:t>127 77 Podpora financování dopravy</w:t>
            </w:r>
          </w:p>
        </w:tc>
        <w:tc>
          <w:tcPr>
            <w:tcW w:w="766" w:type="pct"/>
            <w:tcBorders>
              <w:top w:val="nil"/>
              <w:bottom w:val="single" w:sz="4" w:space="0" w:color="7F7F7F" w:themeColor="text1" w:themeTint="80"/>
            </w:tcBorders>
            <w:shd w:val="clear" w:color="auto" w:fill="auto"/>
          </w:tcPr>
          <w:p w:rsidR="00860150" w:rsidRPr="00A956CC" w:rsidRDefault="00860150" w:rsidP="001B037B">
            <w:pPr>
              <w:jc w:val="right"/>
              <w:rPr>
                <w:rFonts w:eastAsia="Times New Roman" w:cs="Times New Roman"/>
                <w:i/>
                <w:lang w:eastAsia="cs-CZ"/>
              </w:rPr>
            </w:pPr>
            <w:r w:rsidRPr="00A956CC">
              <w:rPr>
                <w:rFonts w:eastAsia="Times New Roman" w:cs="Times New Roman"/>
                <w:i/>
                <w:lang w:eastAsia="cs-CZ"/>
              </w:rPr>
              <w:t>5 351 690</w:t>
            </w:r>
          </w:p>
        </w:tc>
        <w:tc>
          <w:tcPr>
            <w:tcW w:w="648" w:type="pct"/>
            <w:tcBorders>
              <w:top w:val="nil"/>
              <w:bottom w:val="single" w:sz="4" w:space="0" w:color="7F7F7F" w:themeColor="text1" w:themeTint="80"/>
            </w:tcBorders>
            <w:shd w:val="clear" w:color="auto" w:fill="auto"/>
          </w:tcPr>
          <w:p w:rsidR="00860150" w:rsidRPr="00A956CC" w:rsidRDefault="00860150" w:rsidP="001B037B">
            <w:pPr>
              <w:jc w:val="right"/>
              <w:rPr>
                <w:rFonts w:eastAsia="Times New Roman" w:cs="Times New Roman"/>
                <w:i/>
                <w:lang w:eastAsia="cs-CZ"/>
              </w:rPr>
            </w:pPr>
            <w:r w:rsidRPr="00A956CC">
              <w:rPr>
                <w:rFonts w:eastAsia="Times New Roman" w:cs="Times New Roman"/>
                <w:i/>
                <w:lang w:eastAsia="cs-CZ"/>
              </w:rPr>
              <w:t>0</w:t>
            </w:r>
          </w:p>
        </w:tc>
        <w:tc>
          <w:tcPr>
            <w:tcW w:w="781" w:type="pct"/>
            <w:tcBorders>
              <w:top w:val="nil"/>
              <w:bottom w:val="single" w:sz="4" w:space="0" w:color="7F7F7F" w:themeColor="text1" w:themeTint="80"/>
            </w:tcBorders>
            <w:shd w:val="clear" w:color="auto" w:fill="auto"/>
          </w:tcPr>
          <w:p w:rsidR="00860150" w:rsidRPr="00A956CC" w:rsidRDefault="00860150" w:rsidP="001B037B">
            <w:pPr>
              <w:jc w:val="right"/>
              <w:rPr>
                <w:rFonts w:eastAsia="Times New Roman" w:cs="Times New Roman"/>
                <w:i/>
                <w:lang w:eastAsia="cs-CZ"/>
              </w:rPr>
            </w:pPr>
            <w:r w:rsidRPr="00A956CC">
              <w:rPr>
                <w:rFonts w:eastAsia="Times New Roman" w:cs="Times New Roman"/>
                <w:i/>
                <w:lang w:eastAsia="cs-CZ"/>
              </w:rPr>
              <w:t>5 351 690</w:t>
            </w:r>
          </w:p>
        </w:tc>
      </w:tr>
      <w:tr w:rsidR="00860150" w:rsidRPr="00FA1AA6" w:rsidTr="00B967C7">
        <w:tc>
          <w:tcPr>
            <w:tcW w:w="2806" w:type="pct"/>
            <w:tcBorders>
              <w:top w:val="single" w:sz="4" w:space="0" w:color="7F7F7F" w:themeColor="text1" w:themeTint="80"/>
            </w:tcBorders>
            <w:shd w:val="clear" w:color="auto" w:fill="auto"/>
          </w:tcPr>
          <w:p w:rsidR="00860150" w:rsidRPr="00A956CC" w:rsidRDefault="00860150" w:rsidP="001B037B">
            <w:pPr>
              <w:rPr>
                <w:rFonts w:eastAsia="Times New Roman" w:cs="Times New Roman"/>
                <w:color w:val="FF0000"/>
                <w:lang w:eastAsia="cs-CZ"/>
              </w:rPr>
            </w:pPr>
            <w:r w:rsidRPr="00A956CC">
              <w:rPr>
                <w:rFonts w:eastAsia="Times New Roman" w:cs="Times New Roman"/>
                <w:b/>
                <w:lang w:eastAsia="cs-CZ"/>
              </w:rPr>
              <w:t xml:space="preserve">4 (CF) – Technická pomoc </w:t>
            </w:r>
            <w:r w:rsidRPr="00A956CC">
              <w:rPr>
                <w:rFonts w:eastAsia="Times New Roman" w:cs="Times New Roman"/>
                <w:lang w:eastAsia="cs-CZ"/>
              </w:rPr>
              <w:t>v tom:</w:t>
            </w:r>
          </w:p>
        </w:tc>
        <w:tc>
          <w:tcPr>
            <w:tcW w:w="766" w:type="pct"/>
            <w:tcBorders>
              <w:top w:val="single" w:sz="4" w:space="0" w:color="7F7F7F" w:themeColor="text1" w:themeTint="80"/>
            </w:tcBorders>
            <w:shd w:val="clear" w:color="auto" w:fill="auto"/>
          </w:tcPr>
          <w:p w:rsidR="00860150" w:rsidRPr="00A956CC" w:rsidRDefault="00860150" w:rsidP="001B037B">
            <w:pPr>
              <w:jc w:val="right"/>
              <w:rPr>
                <w:rFonts w:eastAsia="Times New Roman" w:cs="Times New Roman"/>
                <w:b/>
                <w:lang w:eastAsia="cs-CZ"/>
              </w:rPr>
            </w:pPr>
            <w:r w:rsidRPr="00A956CC">
              <w:rPr>
                <w:rFonts w:eastAsia="Times New Roman" w:cs="Times New Roman"/>
                <w:b/>
                <w:lang w:eastAsia="cs-CZ"/>
              </w:rPr>
              <w:t>129 072</w:t>
            </w:r>
          </w:p>
        </w:tc>
        <w:tc>
          <w:tcPr>
            <w:tcW w:w="648" w:type="pct"/>
            <w:tcBorders>
              <w:top w:val="single" w:sz="4" w:space="0" w:color="7F7F7F" w:themeColor="text1" w:themeTint="80"/>
            </w:tcBorders>
            <w:shd w:val="clear" w:color="auto" w:fill="auto"/>
          </w:tcPr>
          <w:p w:rsidR="00860150" w:rsidRPr="00A956CC" w:rsidRDefault="00860150" w:rsidP="001B037B">
            <w:pPr>
              <w:jc w:val="right"/>
              <w:rPr>
                <w:rFonts w:eastAsia="Times New Roman" w:cs="Times New Roman"/>
                <w:b/>
                <w:lang w:eastAsia="cs-CZ"/>
              </w:rPr>
            </w:pPr>
            <w:r w:rsidRPr="00A956CC">
              <w:rPr>
                <w:rFonts w:eastAsia="Times New Roman" w:cs="Times New Roman"/>
                <w:b/>
                <w:lang w:eastAsia="cs-CZ"/>
              </w:rPr>
              <w:t xml:space="preserve">11 830 </w:t>
            </w:r>
          </w:p>
        </w:tc>
        <w:tc>
          <w:tcPr>
            <w:tcW w:w="781" w:type="pct"/>
            <w:tcBorders>
              <w:top w:val="single" w:sz="4" w:space="0" w:color="7F7F7F" w:themeColor="text1" w:themeTint="80"/>
            </w:tcBorders>
            <w:shd w:val="clear" w:color="auto" w:fill="auto"/>
          </w:tcPr>
          <w:p w:rsidR="00860150" w:rsidRPr="00A956CC" w:rsidRDefault="00860150" w:rsidP="001B037B">
            <w:pPr>
              <w:jc w:val="right"/>
              <w:rPr>
                <w:rFonts w:eastAsia="Times New Roman" w:cs="Times New Roman"/>
                <w:b/>
                <w:color w:val="FF0000"/>
                <w:lang w:eastAsia="cs-CZ"/>
              </w:rPr>
            </w:pPr>
            <w:r w:rsidRPr="00A956CC">
              <w:rPr>
                <w:rFonts w:eastAsia="Times New Roman" w:cs="Times New Roman"/>
                <w:b/>
                <w:lang w:eastAsia="cs-CZ"/>
              </w:rPr>
              <w:t>140 902</w:t>
            </w:r>
          </w:p>
        </w:tc>
      </w:tr>
      <w:tr w:rsidR="00860150" w:rsidRPr="00FA1AA6" w:rsidTr="00B967C7">
        <w:tc>
          <w:tcPr>
            <w:tcW w:w="2806" w:type="pct"/>
            <w:tcBorders>
              <w:bottom w:val="nil"/>
            </w:tcBorders>
            <w:shd w:val="clear" w:color="auto" w:fill="auto"/>
          </w:tcPr>
          <w:p w:rsidR="00860150" w:rsidRPr="00A956CC" w:rsidRDefault="00860150" w:rsidP="001B037B">
            <w:pPr>
              <w:rPr>
                <w:rFonts w:eastAsia="Times New Roman" w:cs="Times New Roman"/>
                <w:lang w:eastAsia="cs-CZ"/>
              </w:rPr>
            </w:pPr>
            <w:r w:rsidRPr="00A956CC">
              <w:rPr>
                <w:rFonts w:eastAsia="Times New Roman" w:cs="Times New Roman"/>
                <w:lang w:eastAsia="cs-CZ"/>
              </w:rPr>
              <w:t>Státní fond dopravní infrastruktury z toho:</w:t>
            </w:r>
          </w:p>
        </w:tc>
        <w:tc>
          <w:tcPr>
            <w:tcW w:w="766" w:type="pct"/>
            <w:tcBorders>
              <w:bottom w:val="nil"/>
            </w:tcBorders>
            <w:shd w:val="clear" w:color="auto" w:fill="auto"/>
          </w:tcPr>
          <w:p w:rsidR="00860150" w:rsidRPr="00A956CC" w:rsidRDefault="00860150" w:rsidP="001B037B">
            <w:pPr>
              <w:tabs>
                <w:tab w:val="center" w:pos="586"/>
                <w:tab w:val="right" w:pos="1173"/>
              </w:tabs>
              <w:jc w:val="right"/>
              <w:rPr>
                <w:rFonts w:eastAsia="Times New Roman" w:cs="Times New Roman"/>
                <w:color w:val="FF0000"/>
                <w:lang w:eastAsia="cs-CZ"/>
              </w:rPr>
            </w:pPr>
            <w:r w:rsidRPr="00A956CC">
              <w:rPr>
                <w:rFonts w:eastAsia="Times New Roman" w:cs="Times New Roman"/>
                <w:lang w:eastAsia="cs-CZ"/>
              </w:rPr>
              <w:tab/>
              <w:t>62 035</w:t>
            </w:r>
          </w:p>
        </w:tc>
        <w:tc>
          <w:tcPr>
            <w:tcW w:w="648" w:type="pct"/>
            <w:tcBorders>
              <w:bottom w:val="nil"/>
            </w:tcBorders>
            <w:shd w:val="clear" w:color="auto" w:fill="auto"/>
          </w:tcPr>
          <w:p w:rsidR="00860150" w:rsidRPr="00A956CC" w:rsidRDefault="00860150" w:rsidP="001B037B">
            <w:pPr>
              <w:jc w:val="right"/>
              <w:rPr>
                <w:rFonts w:eastAsia="Times New Roman" w:cs="Times New Roman"/>
                <w:lang w:eastAsia="cs-CZ"/>
              </w:rPr>
            </w:pPr>
            <w:r w:rsidRPr="00A956CC">
              <w:rPr>
                <w:rFonts w:eastAsia="Times New Roman" w:cs="Times New Roman"/>
                <w:lang w:eastAsia="cs-CZ"/>
              </w:rPr>
              <w:t>0</w:t>
            </w:r>
          </w:p>
        </w:tc>
        <w:tc>
          <w:tcPr>
            <w:tcW w:w="781" w:type="pct"/>
            <w:tcBorders>
              <w:bottom w:val="nil"/>
            </w:tcBorders>
            <w:shd w:val="clear" w:color="auto" w:fill="auto"/>
          </w:tcPr>
          <w:p w:rsidR="00860150" w:rsidRPr="00A956CC" w:rsidRDefault="00860150" w:rsidP="001B037B">
            <w:pPr>
              <w:jc w:val="right"/>
              <w:rPr>
                <w:rFonts w:eastAsia="Times New Roman" w:cs="Times New Roman"/>
                <w:lang w:eastAsia="cs-CZ"/>
              </w:rPr>
            </w:pPr>
            <w:r w:rsidRPr="00A956CC">
              <w:rPr>
                <w:rFonts w:eastAsia="Times New Roman" w:cs="Times New Roman"/>
                <w:lang w:eastAsia="cs-CZ"/>
              </w:rPr>
              <w:t>62 035</w:t>
            </w:r>
          </w:p>
        </w:tc>
      </w:tr>
      <w:tr w:rsidR="00860150" w:rsidRPr="00FA1AA6" w:rsidTr="00B967C7">
        <w:tc>
          <w:tcPr>
            <w:tcW w:w="2806" w:type="pct"/>
            <w:tcBorders>
              <w:top w:val="nil"/>
              <w:bottom w:val="single" w:sz="4" w:space="0" w:color="7F7F7F" w:themeColor="text1" w:themeTint="80"/>
            </w:tcBorders>
            <w:shd w:val="clear" w:color="auto" w:fill="auto"/>
          </w:tcPr>
          <w:p w:rsidR="00860150" w:rsidRPr="00A956CC" w:rsidRDefault="00860150" w:rsidP="001B037B">
            <w:pPr>
              <w:rPr>
                <w:rFonts w:eastAsia="Times New Roman" w:cs="Times New Roman"/>
                <w:i/>
                <w:color w:val="FF0000"/>
                <w:lang w:eastAsia="cs-CZ"/>
              </w:rPr>
            </w:pPr>
            <w:r w:rsidRPr="00A956CC">
              <w:rPr>
                <w:rFonts w:eastAsia="Times New Roman" w:cs="Times New Roman"/>
                <w:i/>
                <w:lang w:eastAsia="cs-CZ"/>
              </w:rPr>
              <w:t>127 06 Rozvoj a obnova materiálně-technické základny systému řízení MD-PO, SFDI</w:t>
            </w:r>
          </w:p>
        </w:tc>
        <w:tc>
          <w:tcPr>
            <w:tcW w:w="766" w:type="pct"/>
            <w:tcBorders>
              <w:top w:val="nil"/>
              <w:bottom w:val="single" w:sz="4" w:space="0" w:color="7F7F7F" w:themeColor="text1" w:themeTint="80"/>
            </w:tcBorders>
            <w:shd w:val="clear" w:color="auto" w:fill="auto"/>
          </w:tcPr>
          <w:p w:rsidR="00860150" w:rsidRPr="00A956CC" w:rsidRDefault="00860150" w:rsidP="001B037B">
            <w:pPr>
              <w:jc w:val="right"/>
              <w:rPr>
                <w:rFonts w:eastAsia="Times New Roman" w:cs="Times New Roman"/>
                <w:i/>
                <w:lang w:eastAsia="cs-CZ"/>
              </w:rPr>
            </w:pPr>
          </w:p>
          <w:p w:rsidR="00860150" w:rsidRPr="00A956CC" w:rsidRDefault="00860150" w:rsidP="001B037B">
            <w:pPr>
              <w:jc w:val="right"/>
              <w:rPr>
                <w:rFonts w:eastAsia="Times New Roman" w:cs="Times New Roman"/>
                <w:i/>
                <w:lang w:eastAsia="cs-CZ"/>
              </w:rPr>
            </w:pPr>
            <w:r w:rsidRPr="00A956CC">
              <w:rPr>
                <w:rFonts w:eastAsia="Times New Roman" w:cs="Times New Roman"/>
                <w:i/>
                <w:lang w:eastAsia="cs-CZ"/>
              </w:rPr>
              <w:t xml:space="preserve">4 473 </w:t>
            </w:r>
          </w:p>
        </w:tc>
        <w:tc>
          <w:tcPr>
            <w:tcW w:w="648" w:type="pct"/>
            <w:tcBorders>
              <w:top w:val="nil"/>
              <w:bottom w:val="single" w:sz="4" w:space="0" w:color="7F7F7F" w:themeColor="text1" w:themeTint="80"/>
            </w:tcBorders>
            <w:shd w:val="clear" w:color="auto" w:fill="auto"/>
          </w:tcPr>
          <w:p w:rsidR="00860150" w:rsidRPr="00A956CC" w:rsidRDefault="00860150" w:rsidP="001B037B">
            <w:pPr>
              <w:jc w:val="right"/>
              <w:rPr>
                <w:rFonts w:eastAsia="Times New Roman" w:cs="Times New Roman"/>
                <w:i/>
                <w:lang w:eastAsia="cs-CZ"/>
              </w:rPr>
            </w:pPr>
          </w:p>
          <w:p w:rsidR="00860150" w:rsidRPr="00A956CC" w:rsidRDefault="00860150" w:rsidP="001B037B">
            <w:pPr>
              <w:jc w:val="right"/>
              <w:rPr>
                <w:rFonts w:eastAsia="Times New Roman" w:cs="Times New Roman"/>
                <w:i/>
                <w:lang w:eastAsia="cs-CZ"/>
              </w:rPr>
            </w:pPr>
            <w:r w:rsidRPr="00A956CC">
              <w:rPr>
                <w:rFonts w:eastAsia="Times New Roman" w:cs="Times New Roman"/>
                <w:i/>
                <w:lang w:eastAsia="cs-CZ"/>
              </w:rPr>
              <w:t>0</w:t>
            </w:r>
          </w:p>
        </w:tc>
        <w:tc>
          <w:tcPr>
            <w:tcW w:w="781" w:type="pct"/>
            <w:tcBorders>
              <w:top w:val="nil"/>
              <w:bottom w:val="single" w:sz="4" w:space="0" w:color="7F7F7F" w:themeColor="text1" w:themeTint="80"/>
            </w:tcBorders>
            <w:shd w:val="clear" w:color="auto" w:fill="auto"/>
          </w:tcPr>
          <w:p w:rsidR="00860150" w:rsidRPr="00A956CC" w:rsidRDefault="00860150" w:rsidP="001B037B">
            <w:pPr>
              <w:jc w:val="right"/>
              <w:rPr>
                <w:rFonts w:eastAsia="Times New Roman" w:cs="Times New Roman"/>
                <w:i/>
                <w:lang w:eastAsia="cs-CZ"/>
              </w:rPr>
            </w:pPr>
          </w:p>
          <w:p w:rsidR="00860150" w:rsidRPr="00A956CC" w:rsidRDefault="00860150" w:rsidP="001B037B">
            <w:pPr>
              <w:jc w:val="right"/>
              <w:rPr>
                <w:rFonts w:eastAsia="Times New Roman" w:cs="Times New Roman"/>
                <w:i/>
                <w:lang w:eastAsia="cs-CZ"/>
              </w:rPr>
            </w:pPr>
            <w:r w:rsidRPr="00A956CC">
              <w:rPr>
                <w:rFonts w:eastAsia="Times New Roman" w:cs="Times New Roman"/>
                <w:i/>
                <w:lang w:eastAsia="cs-CZ"/>
              </w:rPr>
              <w:t xml:space="preserve">4 473 </w:t>
            </w:r>
          </w:p>
        </w:tc>
      </w:tr>
      <w:tr w:rsidR="00860150" w:rsidRPr="00FA1AA6" w:rsidTr="00B967C7">
        <w:tc>
          <w:tcPr>
            <w:tcW w:w="2806" w:type="pct"/>
            <w:tcBorders>
              <w:top w:val="single" w:sz="4" w:space="0" w:color="7F7F7F" w:themeColor="text1" w:themeTint="80"/>
              <w:bottom w:val="nil"/>
            </w:tcBorders>
            <w:shd w:val="clear" w:color="auto" w:fill="auto"/>
          </w:tcPr>
          <w:p w:rsidR="00860150" w:rsidRPr="00A956CC" w:rsidRDefault="00860150" w:rsidP="001B037B">
            <w:pPr>
              <w:rPr>
                <w:rFonts w:eastAsia="Times New Roman" w:cs="Times New Roman"/>
                <w:lang w:eastAsia="cs-CZ"/>
              </w:rPr>
            </w:pPr>
            <w:r w:rsidRPr="00A956CC">
              <w:rPr>
                <w:rFonts w:eastAsia="Times New Roman" w:cs="Times New Roman"/>
                <w:lang w:eastAsia="cs-CZ"/>
              </w:rPr>
              <w:t xml:space="preserve">Ústřední orgán MD </w:t>
            </w:r>
          </w:p>
        </w:tc>
        <w:tc>
          <w:tcPr>
            <w:tcW w:w="766" w:type="pct"/>
            <w:tcBorders>
              <w:top w:val="single" w:sz="4" w:space="0" w:color="7F7F7F" w:themeColor="text1" w:themeTint="80"/>
              <w:bottom w:val="nil"/>
            </w:tcBorders>
            <w:shd w:val="clear" w:color="auto" w:fill="auto"/>
          </w:tcPr>
          <w:p w:rsidR="00860150" w:rsidRPr="00A956CC" w:rsidRDefault="00860150" w:rsidP="001B037B">
            <w:pPr>
              <w:jc w:val="right"/>
              <w:rPr>
                <w:rFonts w:eastAsia="Times New Roman" w:cs="Times New Roman"/>
                <w:color w:val="FF0000"/>
                <w:lang w:eastAsia="cs-CZ"/>
              </w:rPr>
            </w:pPr>
            <w:r w:rsidRPr="00A956CC">
              <w:rPr>
                <w:rFonts w:eastAsia="Times New Roman" w:cs="Times New Roman"/>
                <w:lang w:eastAsia="cs-CZ"/>
              </w:rPr>
              <w:t>67 037</w:t>
            </w:r>
          </w:p>
        </w:tc>
        <w:tc>
          <w:tcPr>
            <w:tcW w:w="648" w:type="pct"/>
            <w:tcBorders>
              <w:top w:val="single" w:sz="4" w:space="0" w:color="7F7F7F" w:themeColor="text1" w:themeTint="80"/>
              <w:bottom w:val="nil"/>
            </w:tcBorders>
            <w:shd w:val="clear" w:color="auto" w:fill="auto"/>
          </w:tcPr>
          <w:p w:rsidR="00860150" w:rsidRPr="00B967C7" w:rsidRDefault="00B967C7" w:rsidP="00B967C7">
            <w:pPr>
              <w:jc w:val="right"/>
              <w:rPr>
                <w:rFonts w:eastAsia="Times New Roman" w:cs="Times New Roman"/>
                <w:lang w:eastAsia="cs-CZ"/>
              </w:rPr>
            </w:pPr>
            <w:r>
              <w:rPr>
                <w:rFonts w:eastAsia="Times New Roman" w:cs="Times New Roman"/>
                <w:lang w:eastAsia="cs-CZ"/>
              </w:rPr>
              <w:t>1</w:t>
            </w:r>
            <w:r w:rsidRPr="00A956CC">
              <w:rPr>
                <w:rFonts w:eastAsia="Times New Roman" w:cs="Times New Roman"/>
                <w:lang w:eastAsia="cs-CZ"/>
              </w:rPr>
              <w:t>1 830</w:t>
            </w:r>
          </w:p>
        </w:tc>
        <w:tc>
          <w:tcPr>
            <w:tcW w:w="781" w:type="pct"/>
            <w:tcBorders>
              <w:top w:val="single" w:sz="4" w:space="0" w:color="7F7F7F" w:themeColor="text1" w:themeTint="80"/>
              <w:bottom w:val="nil"/>
            </w:tcBorders>
            <w:shd w:val="clear" w:color="auto" w:fill="auto"/>
          </w:tcPr>
          <w:p w:rsidR="00860150" w:rsidRPr="00A956CC" w:rsidRDefault="00860150" w:rsidP="001B037B">
            <w:pPr>
              <w:jc w:val="right"/>
              <w:rPr>
                <w:rFonts w:eastAsia="Times New Roman" w:cs="Times New Roman"/>
                <w:color w:val="FF0000"/>
                <w:lang w:eastAsia="cs-CZ"/>
              </w:rPr>
            </w:pPr>
            <w:r w:rsidRPr="00A956CC">
              <w:rPr>
                <w:rFonts w:eastAsia="Times New Roman" w:cs="Times New Roman"/>
                <w:lang w:eastAsia="cs-CZ"/>
              </w:rPr>
              <w:t>78 867</w:t>
            </w:r>
          </w:p>
        </w:tc>
      </w:tr>
      <w:tr w:rsidR="00860150" w:rsidRPr="00FA1AA6" w:rsidTr="00B967C7">
        <w:trPr>
          <w:trHeight w:val="402"/>
        </w:trPr>
        <w:tc>
          <w:tcPr>
            <w:tcW w:w="2806" w:type="pct"/>
            <w:tcBorders>
              <w:top w:val="single" w:sz="8" w:space="0" w:color="7F7F7F" w:themeColor="text1" w:themeTint="80"/>
              <w:bottom w:val="single" w:sz="8" w:space="0" w:color="7F7F7F" w:themeColor="text1" w:themeTint="80"/>
            </w:tcBorders>
            <w:shd w:val="clear" w:color="auto" w:fill="auto"/>
          </w:tcPr>
          <w:p w:rsidR="00860150" w:rsidRPr="00A956CC" w:rsidRDefault="00860150" w:rsidP="001B037B">
            <w:pPr>
              <w:spacing w:before="120"/>
              <w:rPr>
                <w:rFonts w:eastAsia="Times New Roman" w:cs="Times New Roman"/>
                <w:b/>
                <w:szCs w:val="24"/>
                <w:lang w:eastAsia="cs-CZ"/>
              </w:rPr>
            </w:pPr>
            <w:r w:rsidRPr="00A956CC">
              <w:rPr>
                <w:rFonts w:eastAsia="Times New Roman" w:cs="Times New Roman"/>
                <w:b/>
                <w:szCs w:val="24"/>
                <w:lang w:eastAsia="cs-CZ"/>
              </w:rPr>
              <w:t>Celkem</w:t>
            </w:r>
          </w:p>
        </w:tc>
        <w:tc>
          <w:tcPr>
            <w:tcW w:w="766" w:type="pct"/>
            <w:tcBorders>
              <w:top w:val="single" w:sz="8" w:space="0" w:color="7F7F7F" w:themeColor="text1" w:themeTint="80"/>
              <w:bottom w:val="single" w:sz="8" w:space="0" w:color="7F7F7F" w:themeColor="text1" w:themeTint="80"/>
            </w:tcBorders>
            <w:shd w:val="clear" w:color="auto" w:fill="auto"/>
          </w:tcPr>
          <w:p w:rsidR="00860150" w:rsidRPr="00A956CC" w:rsidRDefault="00860150" w:rsidP="001B037B">
            <w:pPr>
              <w:spacing w:before="120"/>
              <w:jc w:val="right"/>
              <w:rPr>
                <w:rFonts w:eastAsia="Times New Roman" w:cs="Times New Roman"/>
                <w:b/>
                <w:color w:val="FF0000"/>
                <w:szCs w:val="24"/>
                <w:lang w:eastAsia="cs-CZ"/>
              </w:rPr>
            </w:pPr>
            <w:r w:rsidRPr="00A956CC">
              <w:rPr>
                <w:rFonts w:eastAsia="Times New Roman" w:cs="Times New Roman"/>
                <w:b/>
                <w:szCs w:val="24"/>
                <w:lang w:eastAsia="cs-CZ"/>
              </w:rPr>
              <w:t>19 279 627</w:t>
            </w:r>
          </w:p>
        </w:tc>
        <w:tc>
          <w:tcPr>
            <w:tcW w:w="648" w:type="pct"/>
            <w:tcBorders>
              <w:top w:val="single" w:sz="8" w:space="0" w:color="7F7F7F" w:themeColor="text1" w:themeTint="80"/>
              <w:bottom w:val="single" w:sz="8" w:space="0" w:color="7F7F7F" w:themeColor="text1" w:themeTint="80"/>
            </w:tcBorders>
            <w:shd w:val="clear" w:color="auto" w:fill="auto"/>
          </w:tcPr>
          <w:p w:rsidR="00860150" w:rsidRPr="00A956CC" w:rsidRDefault="00860150" w:rsidP="001B037B">
            <w:pPr>
              <w:spacing w:before="120"/>
              <w:jc w:val="right"/>
              <w:rPr>
                <w:rFonts w:eastAsia="Times New Roman" w:cs="Times New Roman"/>
                <w:b/>
                <w:color w:val="FF0000"/>
                <w:szCs w:val="24"/>
                <w:lang w:eastAsia="cs-CZ"/>
              </w:rPr>
            </w:pPr>
            <w:r w:rsidRPr="00A956CC">
              <w:rPr>
                <w:rFonts w:eastAsia="Times New Roman" w:cs="Times New Roman"/>
                <w:b/>
                <w:szCs w:val="24"/>
                <w:lang w:eastAsia="cs-CZ"/>
              </w:rPr>
              <w:t>11 830</w:t>
            </w:r>
          </w:p>
        </w:tc>
        <w:tc>
          <w:tcPr>
            <w:tcW w:w="781" w:type="pct"/>
            <w:tcBorders>
              <w:top w:val="single" w:sz="8" w:space="0" w:color="7F7F7F" w:themeColor="text1" w:themeTint="80"/>
              <w:bottom w:val="single" w:sz="8" w:space="0" w:color="7F7F7F" w:themeColor="text1" w:themeTint="80"/>
            </w:tcBorders>
            <w:shd w:val="clear" w:color="auto" w:fill="auto"/>
          </w:tcPr>
          <w:p w:rsidR="00860150" w:rsidRPr="00A956CC" w:rsidRDefault="00860150" w:rsidP="001B037B">
            <w:pPr>
              <w:spacing w:before="120"/>
              <w:jc w:val="right"/>
              <w:rPr>
                <w:rFonts w:eastAsia="Times New Roman" w:cs="Times New Roman"/>
                <w:b/>
                <w:color w:val="FF0000"/>
                <w:szCs w:val="24"/>
                <w:lang w:eastAsia="cs-CZ"/>
              </w:rPr>
            </w:pPr>
            <w:r w:rsidRPr="00A956CC">
              <w:rPr>
                <w:rFonts w:eastAsia="Times New Roman" w:cs="Times New Roman"/>
                <w:b/>
                <w:szCs w:val="24"/>
                <w:lang w:eastAsia="cs-CZ"/>
              </w:rPr>
              <w:t>19 291 457</w:t>
            </w:r>
          </w:p>
        </w:tc>
      </w:tr>
    </w:tbl>
    <w:p w:rsidR="00860150" w:rsidRPr="00C461B1" w:rsidRDefault="00860150" w:rsidP="00860150">
      <w:pPr>
        <w:spacing w:before="120"/>
        <w:rPr>
          <w:rFonts w:eastAsia="Times New Roman" w:cs="Times New Roman"/>
          <w:i/>
          <w:sz w:val="20"/>
          <w:szCs w:val="20"/>
          <w:lang w:eastAsia="cs-CZ"/>
        </w:rPr>
      </w:pPr>
      <w:r w:rsidRPr="00C461B1">
        <w:rPr>
          <w:rFonts w:eastAsia="Times New Roman" w:cs="Times New Roman"/>
          <w:i/>
          <w:sz w:val="20"/>
          <w:szCs w:val="20"/>
          <w:lang w:eastAsia="cs-CZ"/>
        </w:rPr>
        <w:t>CF - Fond soudržnosti</w:t>
      </w:r>
    </w:p>
    <w:p w:rsidR="00860150" w:rsidRPr="00C461B1" w:rsidRDefault="00860150" w:rsidP="00860150">
      <w:pPr>
        <w:spacing w:after="80"/>
        <w:rPr>
          <w:rFonts w:eastAsia="Times New Roman" w:cs="Times New Roman"/>
          <w:i/>
          <w:sz w:val="20"/>
          <w:szCs w:val="20"/>
          <w:lang w:eastAsia="cs-CZ"/>
        </w:rPr>
      </w:pPr>
      <w:r w:rsidRPr="00C461B1">
        <w:rPr>
          <w:rFonts w:eastAsia="Times New Roman" w:cs="Times New Roman"/>
          <w:i/>
          <w:sz w:val="20"/>
          <w:szCs w:val="20"/>
          <w:lang w:eastAsia="cs-CZ"/>
        </w:rPr>
        <w:t>ERDF – Strukturální fond</w:t>
      </w:r>
    </w:p>
    <w:p w:rsidR="00860150" w:rsidRPr="000B7B88" w:rsidRDefault="00860150" w:rsidP="00860150">
      <w:pPr>
        <w:pStyle w:val="Nadpis3"/>
      </w:pPr>
      <w:bookmarkStart w:id="113" w:name="_Toc462314410"/>
      <w:bookmarkStart w:id="114" w:name="_Toc21609485"/>
      <w:bookmarkStart w:id="115" w:name="_Toc53750588"/>
      <w:bookmarkStart w:id="116" w:name="_Toc305406319"/>
      <w:r w:rsidRPr="000B7B88">
        <w:lastRenderedPageBreak/>
        <w:t>Komunitární programy (TEN-T) – programové období 2014 – 2020</w:t>
      </w:r>
      <w:bookmarkEnd w:id="113"/>
      <w:bookmarkEnd w:id="114"/>
      <w:bookmarkEnd w:id="115"/>
    </w:p>
    <w:p w:rsidR="00860150" w:rsidRPr="00FA1AA6" w:rsidRDefault="00860150" w:rsidP="00860150">
      <w:pPr>
        <w:spacing w:after="120"/>
        <w:rPr>
          <w:rFonts w:eastAsia="Times New Roman" w:cs="Times New Roman"/>
          <w:color w:val="FF0000"/>
          <w:szCs w:val="24"/>
          <w:u w:val="single"/>
          <w:lang w:eastAsia="cs-CZ"/>
        </w:rPr>
      </w:pPr>
      <w:r w:rsidRPr="000B7B88">
        <w:rPr>
          <w:rFonts w:eastAsia="Times New Roman" w:cs="Times New Roman"/>
          <w:szCs w:val="24"/>
          <w:u w:val="single"/>
          <w:lang w:eastAsia="cs-CZ"/>
        </w:rPr>
        <w:t>Rozdělení prostředků fondů EU a SR pro Komunitární programy 2014+ na rok 2021</w:t>
      </w:r>
    </w:p>
    <w:p w:rsidR="00860150" w:rsidRPr="000B7B88" w:rsidRDefault="00860150" w:rsidP="00860150">
      <w:pPr>
        <w:pStyle w:val="Titulek"/>
        <w:keepNext/>
        <w:rPr>
          <w:noProof/>
        </w:rPr>
      </w:pPr>
      <w:r w:rsidRPr="000B7B88">
        <w:t xml:space="preserve">Tabulka č. </w:t>
      </w:r>
      <w:r w:rsidRPr="000B7B88">
        <w:rPr>
          <w:noProof/>
        </w:rPr>
        <w:fldChar w:fldCharType="begin"/>
      </w:r>
      <w:r w:rsidRPr="000B7B88">
        <w:rPr>
          <w:noProof/>
        </w:rPr>
        <w:instrText xml:space="preserve"> SEQ Tabulka \* ARABIC </w:instrText>
      </w:r>
      <w:r w:rsidRPr="000B7B88">
        <w:rPr>
          <w:noProof/>
        </w:rPr>
        <w:fldChar w:fldCharType="separate"/>
      </w:r>
      <w:r w:rsidR="006076E7">
        <w:rPr>
          <w:noProof/>
        </w:rPr>
        <w:t>47</w:t>
      </w:r>
      <w:r w:rsidRPr="000B7B88">
        <w:rPr>
          <w:noProof/>
        </w:rPr>
        <w:fldChar w:fldCharType="end"/>
      </w:r>
      <w:r w:rsidRPr="000B7B88">
        <w:rPr>
          <w:noProof/>
        </w:rPr>
        <w:t xml:space="preserve"> Členění komunitárních programů 2014+ (v tis. Kč)</w:t>
      </w:r>
    </w:p>
    <w:tbl>
      <w:tblPr>
        <w:tblW w:w="498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511"/>
        <w:gridCol w:w="1658"/>
        <w:gridCol w:w="1393"/>
        <w:gridCol w:w="1458"/>
      </w:tblGrid>
      <w:tr w:rsidR="00860150" w:rsidRPr="00FA1AA6" w:rsidTr="001B037B">
        <w:trPr>
          <w:trHeight w:val="560"/>
          <w:tblHeader/>
          <w:jc w:val="center"/>
        </w:trPr>
        <w:tc>
          <w:tcPr>
            <w:tcW w:w="250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0B7B88" w:rsidRDefault="00860150" w:rsidP="001B037B">
            <w:pPr>
              <w:rPr>
                <w:rFonts w:eastAsia="Times New Roman" w:cs="Times New Roman"/>
                <w:b/>
                <w:lang w:eastAsia="cs-CZ"/>
              </w:rPr>
            </w:pPr>
            <w:r w:rsidRPr="000B7B88">
              <w:rPr>
                <w:rFonts w:eastAsia="Times New Roman" w:cs="Times New Roman"/>
                <w:b/>
                <w:lang w:eastAsia="cs-CZ"/>
              </w:rPr>
              <w:t>Název programu (projektu)</w:t>
            </w:r>
          </w:p>
        </w:tc>
        <w:tc>
          <w:tcPr>
            <w:tcW w:w="9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0B7B88" w:rsidRDefault="00860150" w:rsidP="001B037B">
            <w:pPr>
              <w:jc w:val="center"/>
              <w:rPr>
                <w:rFonts w:eastAsia="Times New Roman" w:cs="Times New Roman"/>
                <w:b/>
                <w:lang w:eastAsia="cs-CZ"/>
              </w:rPr>
            </w:pPr>
            <w:r w:rsidRPr="000B7B88">
              <w:rPr>
                <w:rFonts w:eastAsia="Times New Roman" w:cs="Times New Roman"/>
                <w:b/>
                <w:lang w:eastAsia="cs-CZ"/>
              </w:rPr>
              <w:t>EU</w:t>
            </w:r>
          </w:p>
        </w:tc>
        <w:tc>
          <w:tcPr>
            <w:tcW w:w="77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0B7B88" w:rsidRDefault="00860150" w:rsidP="001B037B">
            <w:pPr>
              <w:jc w:val="center"/>
              <w:rPr>
                <w:rFonts w:eastAsia="Times New Roman" w:cs="Times New Roman"/>
                <w:b/>
                <w:lang w:eastAsia="cs-CZ"/>
              </w:rPr>
            </w:pPr>
            <w:r w:rsidRPr="000B7B88">
              <w:rPr>
                <w:rFonts w:eastAsia="Times New Roman" w:cs="Times New Roman"/>
                <w:b/>
                <w:lang w:eastAsia="cs-CZ"/>
              </w:rPr>
              <w:t>SR</w:t>
            </w:r>
          </w:p>
        </w:tc>
        <w:tc>
          <w:tcPr>
            <w:tcW w:w="80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0B7B88" w:rsidRDefault="00860150" w:rsidP="001B037B">
            <w:pPr>
              <w:jc w:val="center"/>
              <w:rPr>
                <w:rFonts w:eastAsia="Times New Roman" w:cs="Times New Roman"/>
                <w:b/>
                <w:lang w:eastAsia="cs-CZ"/>
              </w:rPr>
            </w:pPr>
            <w:r w:rsidRPr="000B7B88">
              <w:rPr>
                <w:rFonts w:eastAsia="Times New Roman" w:cs="Times New Roman"/>
                <w:b/>
                <w:lang w:eastAsia="cs-CZ"/>
              </w:rPr>
              <w:t>Celkem</w:t>
            </w:r>
          </w:p>
        </w:tc>
      </w:tr>
      <w:tr w:rsidR="00860150" w:rsidRPr="00D75C2D" w:rsidTr="001B037B">
        <w:trPr>
          <w:tblHeader/>
          <w:jc w:val="center"/>
        </w:trPr>
        <w:tc>
          <w:tcPr>
            <w:tcW w:w="2501" w:type="pct"/>
            <w:tcBorders>
              <w:top w:val="single" w:sz="4" w:space="0" w:color="7F7F7F" w:themeColor="text1" w:themeTint="80"/>
            </w:tcBorders>
            <w:shd w:val="clear" w:color="auto" w:fill="auto"/>
          </w:tcPr>
          <w:p w:rsidR="00860150" w:rsidRPr="00D75C2D" w:rsidRDefault="00860150" w:rsidP="001B037B">
            <w:pPr>
              <w:spacing w:before="40" w:after="40"/>
              <w:rPr>
                <w:rFonts w:eastAsia="Times New Roman" w:cs="Times New Roman"/>
                <w:color w:val="FF0000"/>
                <w:lang w:eastAsia="cs-CZ"/>
              </w:rPr>
            </w:pPr>
            <w:r w:rsidRPr="00D75C2D">
              <w:rPr>
                <w:rFonts w:eastAsia="Times New Roman" w:cs="Times New Roman"/>
                <w:b/>
                <w:lang w:eastAsia="cs-CZ"/>
              </w:rPr>
              <w:t xml:space="preserve">Nástroj pro propojení Evropy 2014+ </w:t>
            </w:r>
            <w:r w:rsidRPr="00D75C2D">
              <w:rPr>
                <w:rFonts w:eastAsia="Times New Roman" w:cs="Times New Roman"/>
                <w:lang w:eastAsia="cs-CZ"/>
              </w:rPr>
              <w:t>v tom:</w:t>
            </w:r>
          </w:p>
        </w:tc>
        <w:tc>
          <w:tcPr>
            <w:tcW w:w="919" w:type="pct"/>
            <w:tcBorders>
              <w:top w:val="single" w:sz="4" w:space="0" w:color="7F7F7F" w:themeColor="text1" w:themeTint="80"/>
            </w:tcBorders>
            <w:shd w:val="clear" w:color="auto" w:fill="auto"/>
            <w:vAlign w:val="center"/>
          </w:tcPr>
          <w:p w:rsidR="00860150" w:rsidRPr="00D75C2D" w:rsidRDefault="00860150" w:rsidP="001B037B">
            <w:pPr>
              <w:spacing w:before="40" w:after="40"/>
              <w:jc w:val="right"/>
              <w:rPr>
                <w:rFonts w:eastAsia="Times New Roman" w:cs="Times New Roman"/>
                <w:b/>
                <w:color w:val="FF0000"/>
                <w:lang w:eastAsia="cs-CZ"/>
              </w:rPr>
            </w:pPr>
            <w:r w:rsidRPr="00D75C2D">
              <w:rPr>
                <w:rFonts w:eastAsia="Times New Roman" w:cs="Times New Roman"/>
                <w:b/>
                <w:lang w:eastAsia="cs-CZ"/>
              </w:rPr>
              <w:t>5 423 396</w:t>
            </w:r>
          </w:p>
        </w:tc>
        <w:tc>
          <w:tcPr>
            <w:tcW w:w="772" w:type="pct"/>
            <w:tcBorders>
              <w:top w:val="single" w:sz="4" w:space="0" w:color="7F7F7F" w:themeColor="text1" w:themeTint="80"/>
            </w:tcBorders>
            <w:shd w:val="clear" w:color="auto" w:fill="auto"/>
            <w:vAlign w:val="center"/>
          </w:tcPr>
          <w:p w:rsidR="00860150" w:rsidRPr="00D75C2D" w:rsidRDefault="00860150" w:rsidP="001B037B">
            <w:pPr>
              <w:spacing w:before="40" w:after="40"/>
              <w:jc w:val="right"/>
              <w:rPr>
                <w:rFonts w:eastAsia="Times New Roman" w:cs="Times New Roman"/>
                <w:b/>
                <w:color w:val="FF0000"/>
                <w:lang w:eastAsia="cs-CZ"/>
              </w:rPr>
            </w:pPr>
            <w:r w:rsidRPr="00D75C2D">
              <w:rPr>
                <w:rFonts w:eastAsia="Times New Roman" w:cs="Times New Roman"/>
                <w:b/>
                <w:lang w:eastAsia="cs-CZ"/>
              </w:rPr>
              <w:t>1 793</w:t>
            </w:r>
          </w:p>
        </w:tc>
        <w:tc>
          <w:tcPr>
            <w:tcW w:w="808" w:type="pct"/>
            <w:tcBorders>
              <w:top w:val="single" w:sz="4" w:space="0" w:color="7F7F7F" w:themeColor="text1" w:themeTint="80"/>
            </w:tcBorders>
            <w:shd w:val="clear" w:color="auto" w:fill="auto"/>
            <w:vAlign w:val="center"/>
          </w:tcPr>
          <w:p w:rsidR="00860150" w:rsidRPr="00D75C2D" w:rsidRDefault="00860150" w:rsidP="001B037B">
            <w:pPr>
              <w:spacing w:before="40" w:after="40"/>
              <w:jc w:val="right"/>
              <w:rPr>
                <w:rFonts w:eastAsia="Times New Roman" w:cs="Times New Roman"/>
                <w:b/>
                <w:color w:val="FF0000"/>
                <w:lang w:eastAsia="cs-CZ"/>
              </w:rPr>
            </w:pPr>
            <w:r w:rsidRPr="00D75C2D">
              <w:rPr>
                <w:rFonts w:eastAsia="Times New Roman" w:cs="Times New Roman"/>
                <w:b/>
                <w:lang w:eastAsia="cs-CZ"/>
              </w:rPr>
              <w:t>5 425 189</w:t>
            </w:r>
          </w:p>
        </w:tc>
      </w:tr>
      <w:tr w:rsidR="00860150" w:rsidRPr="00D75C2D" w:rsidTr="001B037B">
        <w:trPr>
          <w:trHeight w:val="283"/>
          <w:tblHeader/>
          <w:jc w:val="center"/>
        </w:trPr>
        <w:tc>
          <w:tcPr>
            <w:tcW w:w="2501" w:type="pct"/>
            <w:tcBorders>
              <w:bottom w:val="nil"/>
            </w:tcBorders>
            <w:shd w:val="clear" w:color="auto" w:fill="auto"/>
          </w:tcPr>
          <w:p w:rsidR="00860150" w:rsidRPr="00D75C2D" w:rsidRDefault="00860150" w:rsidP="001B037B">
            <w:pPr>
              <w:spacing w:before="60" w:after="60"/>
              <w:rPr>
                <w:rFonts w:eastAsia="Times New Roman" w:cs="Times New Roman"/>
                <w:color w:val="FF0000"/>
                <w:lang w:eastAsia="cs-CZ"/>
              </w:rPr>
            </w:pPr>
            <w:r w:rsidRPr="00D75C2D">
              <w:rPr>
                <w:rFonts w:eastAsia="Times New Roman" w:cs="Times New Roman"/>
                <w:lang w:eastAsia="cs-CZ"/>
              </w:rPr>
              <w:t xml:space="preserve">CEF kohezní (SFDI) </w:t>
            </w:r>
          </w:p>
        </w:tc>
        <w:tc>
          <w:tcPr>
            <w:tcW w:w="919" w:type="pct"/>
            <w:tcBorders>
              <w:bottom w:val="nil"/>
            </w:tcBorders>
            <w:shd w:val="clear" w:color="auto" w:fill="auto"/>
            <w:vAlign w:val="center"/>
          </w:tcPr>
          <w:p w:rsidR="00860150" w:rsidRPr="00D75C2D" w:rsidRDefault="00860150" w:rsidP="001B037B">
            <w:pPr>
              <w:spacing w:before="60" w:after="60"/>
              <w:rPr>
                <w:rFonts w:eastAsia="Times New Roman" w:cs="Times New Roman"/>
                <w:lang w:eastAsia="cs-CZ"/>
              </w:rPr>
            </w:pPr>
            <w:r w:rsidRPr="00D75C2D">
              <w:rPr>
                <w:rFonts w:eastAsia="Times New Roman" w:cs="Times New Roman"/>
                <w:lang w:eastAsia="cs-CZ"/>
              </w:rPr>
              <w:t xml:space="preserve">        5 334 140</w:t>
            </w:r>
          </w:p>
        </w:tc>
        <w:tc>
          <w:tcPr>
            <w:tcW w:w="772" w:type="pct"/>
            <w:tcBorders>
              <w:bottom w:val="nil"/>
            </w:tcBorders>
            <w:shd w:val="clear" w:color="auto" w:fill="auto"/>
            <w:vAlign w:val="center"/>
          </w:tcPr>
          <w:p w:rsidR="00860150" w:rsidRPr="00D75C2D" w:rsidRDefault="00860150" w:rsidP="001B037B">
            <w:pPr>
              <w:spacing w:before="60" w:after="60"/>
              <w:ind w:firstLine="539"/>
              <w:jc w:val="right"/>
              <w:rPr>
                <w:rFonts w:eastAsia="Times New Roman" w:cs="Times New Roman"/>
                <w:lang w:eastAsia="cs-CZ"/>
              </w:rPr>
            </w:pPr>
            <w:r w:rsidRPr="00D75C2D">
              <w:rPr>
                <w:rFonts w:eastAsia="Times New Roman" w:cs="Times New Roman"/>
                <w:lang w:eastAsia="cs-CZ"/>
              </w:rPr>
              <w:t>0</w:t>
            </w:r>
          </w:p>
        </w:tc>
        <w:tc>
          <w:tcPr>
            <w:tcW w:w="808" w:type="pct"/>
            <w:tcBorders>
              <w:bottom w:val="nil"/>
            </w:tcBorders>
            <w:shd w:val="clear" w:color="auto" w:fill="auto"/>
            <w:vAlign w:val="center"/>
          </w:tcPr>
          <w:p w:rsidR="00860150" w:rsidRPr="00D75C2D" w:rsidRDefault="00860150" w:rsidP="001B037B">
            <w:pPr>
              <w:spacing w:before="60" w:after="60"/>
              <w:jc w:val="right"/>
              <w:rPr>
                <w:rFonts w:eastAsia="Times New Roman" w:cs="Times New Roman"/>
                <w:b/>
                <w:color w:val="FF0000"/>
                <w:lang w:eastAsia="cs-CZ"/>
              </w:rPr>
            </w:pPr>
            <w:r w:rsidRPr="00D75C2D">
              <w:rPr>
                <w:rFonts w:eastAsia="Times New Roman" w:cs="Times New Roman"/>
                <w:b/>
                <w:lang w:eastAsia="cs-CZ"/>
              </w:rPr>
              <w:t>5 334 140</w:t>
            </w:r>
          </w:p>
        </w:tc>
      </w:tr>
      <w:tr w:rsidR="00860150" w:rsidRPr="00D75C2D" w:rsidTr="001B037B">
        <w:trPr>
          <w:trHeight w:val="283"/>
          <w:tblHeader/>
          <w:jc w:val="center"/>
        </w:trPr>
        <w:tc>
          <w:tcPr>
            <w:tcW w:w="2501" w:type="pct"/>
            <w:tcBorders>
              <w:top w:val="nil"/>
              <w:bottom w:val="single" w:sz="4" w:space="0" w:color="7F7F7F" w:themeColor="text1" w:themeTint="80"/>
            </w:tcBorders>
            <w:shd w:val="clear" w:color="auto" w:fill="auto"/>
          </w:tcPr>
          <w:p w:rsidR="00860150" w:rsidRPr="00D75C2D" w:rsidRDefault="00860150" w:rsidP="001B037B">
            <w:pPr>
              <w:spacing w:before="60" w:after="60"/>
              <w:rPr>
                <w:rFonts w:eastAsia="Times New Roman" w:cs="Times New Roman"/>
                <w:i/>
                <w:color w:val="FF0000"/>
                <w:lang w:eastAsia="cs-CZ"/>
              </w:rPr>
            </w:pPr>
            <w:r w:rsidRPr="00D75C2D">
              <w:rPr>
                <w:rFonts w:eastAsia="Times New Roman" w:cs="Times New Roman"/>
                <w:i/>
                <w:color w:val="FF0000"/>
                <w:lang w:eastAsia="cs-CZ"/>
              </w:rPr>
              <w:t xml:space="preserve"> </w:t>
            </w:r>
            <w:r w:rsidRPr="00D75C2D">
              <w:rPr>
                <w:rFonts w:eastAsia="Times New Roman" w:cs="Times New Roman"/>
                <w:lang w:eastAsia="cs-CZ"/>
              </w:rPr>
              <w:t xml:space="preserve">v tom: </w:t>
            </w:r>
            <w:r w:rsidRPr="00D75C2D">
              <w:rPr>
                <w:rFonts w:eastAsia="Times New Roman" w:cs="Times New Roman"/>
                <w:i/>
                <w:lang w:eastAsia="cs-CZ"/>
              </w:rPr>
              <w:t>127 77 Podpora financování dopravy</w:t>
            </w:r>
          </w:p>
        </w:tc>
        <w:tc>
          <w:tcPr>
            <w:tcW w:w="919" w:type="pct"/>
            <w:tcBorders>
              <w:top w:val="nil"/>
              <w:bottom w:val="single" w:sz="4" w:space="0" w:color="7F7F7F" w:themeColor="text1" w:themeTint="80"/>
            </w:tcBorders>
            <w:shd w:val="clear" w:color="auto" w:fill="auto"/>
            <w:vAlign w:val="center"/>
          </w:tcPr>
          <w:p w:rsidR="00860150" w:rsidRPr="00D75C2D" w:rsidRDefault="00860150" w:rsidP="001B037B">
            <w:pPr>
              <w:spacing w:before="60" w:after="60"/>
              <w:jc w:val="right"/>
              <w:rPr>
                <w:rFonts w:eastAsia="Times New Roman" w:cs="Times New Roman"/>
                <w:i/>
                <w:lang w:eastAsia="cs-CZ"/>
              </w:rPr>
            </w:pPr>
            <w:r w:rsidRPr="00D75C2D">
              <w:rPr>
                <w:rFonts w:eastAsia="Times New Roman" w:cs="Times New Roman"/>
                <w:i/>
                <w:lang w:eastAsia="cs-CZ"/>
              </w:rPr>
              <w:t>5 334 140</w:t>
            </w:r>
          </w:p>
        </w:tc>
        <w:tc>
          <w:tcPr>
            <w:tcW w:w="772" w:type="pct"/>
            <w:tcBorders>
              <w:top w:val="nil"/>
              <w:bottom w:val="single" w:sz="4" w:space="0" w:color="7F7F7F" w:themeColor="text1" w:themeTint="80"/>
            </w:tcBorders>
            <w:shd w:val="clear" w:color="auto" w:fill="auto"/>
            <w:vAlign w:val="center"/>
          </w:tcPr>
          <w:p w:rsidR="00860150" w:rsidRPr="00D75C2D" w:rsidRDefault="00860150" w:rsidP="001B037B">
            <w:pPr>
              <w:spacing w:before="60" w:after="60"/>
              <w:ind w:firstLine="539"/>
              <w:jc w:val="right"/>
              <w:rPr>
                <w:rFonts w:eastAsia="Times New Roman" w:cs="Times New Roman"/>
                <w:i/>
                <w:lang w:eastAsia="cs-CZ"/>
              </w:rPr>
            </w:pPr>
            <w:r w:rsidRPr="00D75C2D">
              <w:rPr>
                <w:rFonts w:eastAsia="Times New Roman" w:cs="Times New Roman"/>
                <w:i/>
                <w:lang w:eastAsia="cs-CZ"/>
              </w:rPr>
              <w:t>0</w:t>
            </w:r>
          </w:p>
        </w:tc>
        <w:tc>
          <w:tcPr>
            <w:tcW w:w="808" w:type="pct"/>
            <w:tcBorders>
              <w:top w:val="nil"/>
              <w:bottom w:val="single" w:sz="4" w:space="0" w:color="7F7F7F" w:themeColor="text1" w:themeTint="80"/>
            </w:tcBorders>
            <w:shd w:val="clear" w:color="auto" w:fill="auto"/>
            <w:vAlign w:val="center"/>
          </w:tcPr>
          <w:p w:rsidR="00860150" w:rsidRPr="00D75C2D" w:rsidRDefault="00860150" w:rsidP="001B037B">
            <w:pPr>
              <w:spacing w:before="60" w:after="60"/>
              <w:jc w:val="right"/>
              <w:rPr>
                <w:rFonts w:eastAsia="Times New Roman" w:cs="Times New Roman"/>
                <w:b/>
                <w:i/>
                <w:lang w:eastAsia="cs-CZ"/>
              </w:rPr>
            </w:pPr>
            <w:r w:rsidRPr="00D75C2D">
              <w:rPr>
                <w:rFonts w:eastAsia="Times New Roman" w:cs="Times New Roman"/>
                <w:b/>
                <w:i/>
                <w:lang w:eastAsia="cs-CZ"/>
              </w:rPr>
              <w:t>5 334 140</w:t>
            </w:r>
          </w:p>
        </w:tc>
      </w:tr>
      <w:tr w:rsidR="00860150" w:rsidRPr="00D75C2D" w:rsidTr="001B037B">
        <w:trPr>
          <w:trHeight w:val="283"/>
          <w:tblHeader/>
          <w:jc w:val="center"/>
        </w:trPr>
        <w:tc>
          <w:tcPr>
            <w:tcW w:w="2501" w:type="pct"/>
            <w:shd w:val="clear" w:color="auto" w:fill="auto"/>
          </w:tcPr>
          <w:p w:rsidR="00860150" w:rsidRPr="00D75C2D" w:rsidRDefault="00860150" w:rsidP="001B037B">
            <w:pPr>
              <w:spacing w:before="60" w:after="60"/>
              <w:rPr>
                <w:rFonts w:eastAsia="Times New Roman" w:cs="Times New Roman"/>
                <w:color w:val="FF0000"/>
                <w:lang w:eastAsia="cs-CZ"/>
              </w:rPr>
            </w:pPr>
            <w:r w:rsidRPr="00D75C2D">
              <w:rPr>
                <w:rFonts w:eastAsia="Times New Roman" w:cs="Times New Roman"/>
                <w:lang w:eastAsia="cs-CZ"/>
              </w:rPr>
              <w:t>CEF TP (ÚO MD)</w:t>
            </w:r>
          </w:p>
        </w:tc>
        <w:tc>
          <w:tcPr>
            <w:tcW w:w="919" w:type="pct"/>
            <w:shd w:val="clear" w:color="auto" w:fill="auto"/>
            <w:vAlign w:val="center"/>
          </w:tcPr>
          <w:p w:rsidR="00860150" w:rsidRPr="00D75C2D" w:rsidRDefault="008623D0" w:rsidP="001B037B">
            <w:pPr>
              <w:spacing w:before="60" w:after="60"/>
              <w:jc w:val="right"/>
              <w:rPr>
                <w:rFonts w:eastAsia="Times New Roman" w:cs="Times New Roman"/>
                <w:color w:val="FF0000"/>
                <w:lang w:eastAsia="cs-CZ"/>
              </w:rPr>
            </w:pPr>
            <w:r>
              <w:rPr>
                <w:rFonts w:eastAsia="Times New Roman" w:cs="Times New Roman"/>
                <w:lang w:eastAsia="cs-CZ"/>
              </w:rPr>
              <w:t>4 251</w:t>
            </w:r>
          </w:p>
        </w:tc>
        <w:tc>
          <w:tcPr>
            <w:tcW w:w="772" w:type="pct"/>
            <w:shd w:val="clear" w:color="auto" w:fill="auto"/>
            <w:vAlign w:val="center"/>
          </w:tcPr>
          <w:p w:rsidR="00860150" w:rsidRPr="00D75C2D" w:rsidRDefault="00860150" w:rsidP="001B037B">
            <w:pPr>
              <w:spacing w:before="60" w:after="60"/>
              <w:ind w:firstLine="539"/>
              <w:jc w:val="right"/>
              <w:rPr>
                <w:rFonts w:eastAsia="Times New Roman" w:cs="Times New Roman"/>
                <w:color w:val="FF0000"/>
                <w:lang w:eastAsia="cs-CZ"/>
              </w:rPr>
            </w:pPr>
            <w:r w:rsidRPr="00D75C2D">
              <w:rPr>
                <w:rFonts w:eastAsia="Times New Roman" w:cs="Times New Roman"/>
                <w:lang w:eastAsia="cs-CZ"/>
              </w:rPr>
              <w:t>90</w:t>
            </w:r>
          </w:p>
        </w:tc>
        <w:tc>
          <w:tcPr>
            <w:tcW w:w="808" w:type="pct"/>
            <w:shd w:val="clear" w:color="auto" w:fill="auto"/>
            <w:vAlign w:val="center"/>
          </w:tcPr>
          <w:p w:rsidR="00860150" w:rsidRPr="00D75C2D" w:rsidRDefault="008623D0" w:rsidP="001B037B">
            <w:pPr>
              <w:spacing w:before="60" w:after="60"/>
              <w:jc w:val="right"/>
              <w:rPr>
                <w:rFonts w:eastAsia="Times New Roman" w:cs="Times New Roman"/>
                <w:b/>
                <w:color w:val="FF0000"/>
                <w:lang w:eastAsia="cs-CZ"/>
              </w:rPr>
            </w:pPr>
            <w:r w:rsidRPr="008623D0">
              <w:rPr>
                <w:rFonts w:eastAsia="Times New Roman" w:cs="Times New Roman"/>
                <w:b/>
                <w:lang w:eastAsia="cs-CZ"/>
              </w:rPr>
              <w:t>4 341</w:t>
            </w:r>
          </w:p>
        </w:tc>
      </w:tr>
      <w:tr w:rsidR="00860150" w:rsidRPr="00D75C2D" w:rsidTr="001B037B">
        <w:trPr>
          <w:tblHeader/>
          <w:jc w:val="center"/>
        </w:trPr>
        <w:tc>
          <w:tcPr>
            <w:tcW w:w="2501" w:type="pct"/>
            <w:tcBorders>
              <w:top w:val="nil"/>
              <w:bottom w:val="single" w:sz="4" w:space="0" w:color="7F7F7F" w:themeColor="text1" w:themeTint="80"/>
            </w:tcBorders>
            <w:shd w:val="clear" w:color="auto" w:fill="auto"/>
          </w:tcPr>
          <w:p w:rsidR="00860150" w:rsidRPr="00D75C2D" w:rsidRDefault="00956A67" w:rsidP="001B037B">
            <w:pPr>
              <w:spacing w:before="60" w:after="60"/>
              <w:rPr>
                <w:rFonts w:eastAsia="Times New Roman" w:cs="Times New Roman"/>
                <w:lang w:eastAsia="cs-CZ"/>
              </w:rPr>
            </w:pPr>
            <w:r>
              <w:rPr>
                <w:rFonts w:eastAsia="Times New Roman" w:cs="Times New Roman"/>
                <w:lang w:eastAsia="cs-CZ"/>
              </w:rPr>
              <w:t>CEF</w:t>
            </w:r>
            <w:r w:rsidR="00860150" w:rsidRPr="00D75C2D">
              <w:rPr>
                <w:rFonts w:eastAsia="Times New Roman" w:cs="Times New Roman"/>
                <w:lang w:eastAsia="cs-CZ"/>
              </w:rPr>
              <w:t xml:space="preserve"> Crocodile 3  (ÚO MD)</w:t>
            </w:r>
          </w:p>
        </w:tc>
        <w:tc>
          <w:tcPr>
            <w:tcW w:w="919" w:type="pct"/>
            <w:tcBorders>
              <w:top w:val="nil"/>
              <w:bottom w:val="single" w:sz="4" w:space="0" w:color="7F7F7F" w:themeColor="text1" w:themeTint="80"/>
            </w:tcBorders>
            <w:shd w:val="clear" w:color="auto" w:fill="auto"/>
            <w:vAlign w:val="center"/>
          </w:tcPr>
          <w:p w:rsidR="00860150" w:rsidRPr="00D75C2D" w:rsidRDefault="00860150" w:rsidP="001B037B">
            <w:pPr>
              <w:spacing w:before="40" w:after="40"/>
              <w:jc w:val="right"/>
              <w:rPr>
                <w:rFonts w:eastAsia="Times New Roman" w:cs="Times New Roman"/>
                <w:lang w:eastAsia="cs-CZ"/>
              </w:rPr>
            </w:pPr>
            <w:r w:rsidRPr="00D75C2D">
              <w:rPr>
                <w:rFonts w:eastAsia="Times New Roman" w:cs="Times New Roman"/>
                <w:lang w:eastAsia="cs-CZ"/>
              </w:rPr>
              <w:t xml:space="preserve">                  26</w:t>
            </w:r>
          </w:p>
        </w:tc>
        <w:tc>
          <w:tcPr>
            <w:tcW w:w="772" w:type="pct"/>
            <w:tcBorders>
              <w:top w:val="nil"/>
              <w:bottom w:val="single" w:sz="4" w:space="0" w:color="7F7F7F" w:themeColor="text1" w:themeTint="80"/>
            </w:tcBorders>
            <w:shd w:val="clear" w:color="auto" w:fill="auto"/>
            <w:vAlign w:val="center"/>
          </w:tcPr>
          <w:p w:rsidR="00860150" w:rsidRPr="00D75C2D" w:rsidRDefault="00860150" w:rsidP="001B037B">
            <w:pPr>
              <w:spacing w:before="40" w:after="40"/>
              <w:jc w:val="right"/>
              <w:rPr>
                <w:rFonts w:eastAsia="Times New Roman" w:cs="Times New Roman"/>
                <w:lang w:eastAsia="cs-CZ"/>
              </w:rPr>
            </w:pPr>
            <w:r w:rsidRPr="00D75C2D">
              <w:rPr>
                <w:rFonts w:eastAsia="Times New Roman" w:cs="Times New Roman"/>
                <w:lang w:eastAsia="cs-CZ"/>
              </w:rPr>
              <w:t>113</w:t>
            </w:r>
          </w:p>
        </w:tc>
        <w:tc>
          <w:tcPr>
            <w:tcW w:w="808" w:type="pct"/>
            <w:tcBorders>
              <w:top w:val="nil"/>
              <w:bottom w:val="single" w:sz="4" w:space="0" w:color="7F7F7F" w:themeColor="text1" w:themeTint="80"/>
            </w:tcBorders>
            <w:shd w:val="clear" w:color="auto" w:fill="auto"/>
            <w:vAlign w:val="center"/>
          </w:tcPr>
          <w:p w:rsidR="00860150" w:rsidRPr="00D75C2D" w:rsidRDefault="00860150" w:rsidP="001B037B">
            <w:pPr>
              <w:spacing w:before="40" w:after="40"/>
              <w:jc w:val="right"/>
              <w:rPr>
                <w:rFonts w:eastAsia="Times New Roman" w:cs="Times New Roman"/>
                <w:b/>
                <w:lang w:eastAsia="cs-CZ"/>
              </w:rPr>
            </w:pPr>
            <w:r w:rsidRPr="00D75C2D">
              <w:rPr>
                <w:rFonts w:eastAsia="Times New Roman" w:cs="Times New Roman"/>
                <w:b/>
                <w:lang w:eastAsia="cs-CZ"/>
              </w:rPr>
              <w:t>139</w:t>
            </w:r>
          </w:p>
        </w:tc>
      </w:tr>
      <w:tr w:rsidR="00860150" w:rsidRPr="00D75C2D" w:rsidTr="001B037B">
        <w:trPr>
          <w:tblHeader/>
          <w:jc w:val="center"/>
        </w:trPr>
        <w:tc>
          <w:tcPr>
            <w:tcW w:w="2501" w:type="pct"/>
            <w:tcBorders>
              <w:bottom w:val="nil"/>
            </w:tcBorders>
            <w:shd w:val="clear" w:color="auto" w:fill="auto"/>
          </w:tcPr>
          <w:p w:rsidR="00860150" w:rsidRPr="00D75C2D" w:rsidRDefault="00956A67" w:rsidP="001B037B">
            <w:pPr>
              <w:spacing w:before="40" w:after="40"/>
              <w:rPr>
                <w:rFonts w:eastAsia="Times New Roman" w:cs="Times New Roman"/>
                <w:color w:val="FF0000"/>
                <w:lang w:eastAsia="cs-CZ"/>
              </w:rPr>
            </w:pPr>
            <w:r>
              <w:rPr>
                <w:rFonts w:eastAsia="Times New Roman" w:cs="Times New Roman"/>
                <w:lang w:eastAsia="cs-CZ"/>
              </w:rPr>
              <w:t>CEF</w:t>
            </w:r>
            <w:r w:rsidR="00860150" w:rsidRPr="00D75C2D">
              <w:rPr>
                <w:rFonts w:eastAsia="Times New Roman" w:cs="Times New Roman"/>
                <w:lang w:eastAsia="cs-CZ"/>
              </w:rPr>
              <w:t xml:space="preserve"> Crocodile 3  (SFDI) </w:t>
            </w:r>
          </w:p>
        </w:tc>
        <w:tc>
          <w:tcPr>
            <w:tcW w:w="919" w:type="pct"/>
            <w:tcBorders>
              <w:bottom w:val="nil"/>
            </w:tcBorders>
            <w:shd w:val="clear" w:color="auto" w:fill="auto"/>
            <w:vAlign w:val="center"/>
          </w:tcPr>
          <w:p w:rsidR="00860150" w:rsidRPr="00D75C2D" w:rsidRDefault="00860150" w:rsidP="001B037B">
            <w:pPr>
              <w:spacing w:before="40" w:after="40"/>
              <w:jc w:val="right"/>
              <w:rPr>
                <w:rFonts w:eastAsia="Times New Roman" w:cs="Times New Roman"/>
                <w:color w:val="FF0000"/>
                <w:lang w:eastAsia="cs-CZ"/>
              </w:rPr>
            </w:pPr>
            <w:r w:rsidRPr="00D75C2D">
              <w:rPr>
                <w:rFonts w:eastAsia="Times New Roman" w:cs="Times New Roman"/>
                <w:lang w:eastAsia="cs-CZ"/>
              </w:rPr>
              <w:t>3 200</w:t>
            </w:r>
          </w:p>
        </w:tc>
        <w:tc>
          <w:tcPr>
            <w:tcW w:w="772" w:type="pct"/>
            <w:tcBorders>
              <w:bottom w:val="nil"/>
            </w:tcBorders>
            <w:shd w:val="clear" w:color="auto" w:fill="auto"/>
            <w:vAlign w:val="center"/>
          </w:tcPr>
          <w:p w:rsidR="00860150" w:rsidRPr="00D75C2D" w:rsidRDefault="00860150" w:rsidP="001B037B">
            <w:pPr>
              <w:spacing w:before="40" w:after="40"/>
              <w:jc w:val="right"/>
              <w:rPr>
                <w:rFonts w:eastAsia="Times New Roman" w:cs="Times New Roman"/>
                <w:color w:val="FF0000"/>
                <w:lang w:eastAsia="cs-CZ"/>
              </w:rPr>
            </w:pPr>
            <w:r w:rsidRPr="00D75C2D">
              <w:rPr>
                <w:rFonts w:eastAsia="Times New Roman" w:cs="Times New Roman"/>
                <w:lang w:eastAsia="cs-CZ"/>
              </w:rPr>
              <w:t>0</w:t>
            </w:r>
          </w:p>
        </w:tc>
        <w:tc>
          <w:tcPr>
            <w:tcW w:w="808" w:type="pct"/>
            <w:tcBorders>
              <w:bottom w:val="nil"/>
            </w:tcBorders>
            <w:shd w:val="clear" w:color="auto" w:fill="auto"/>
            <w:vAlign w:val="center"/>
          </w:tcPr>
          <w:p w:rsidR="00860150" w:rsidRPr="00D75C2D" w:rsidRDefault="00860150" w:rsidP="001B037B">
            <w:pPr>
              <w:spacing w:before="40" w:after="40"/>
              <w:jc w:val="right"/>
              <w:rPr>
                <w:rFonts w:eastAsia="Times New Roman" w:cs="Times New Roman"/>
                <w:b/>
                <w:color w:val="FF0000"/>
                <w:lang w:eastAsia="cs-CZ"/>
              </w:rPr>
            </w:pPr>
            <w:r w:rsidRPr="00D75C2D">
              <w:rPr>
                <w:rFonts w:eastAsia="Times New Roman" w:cs="Times New Roman"/>
                <w:b/>
                <w:lang w:eastAsia="cs-CZ"/>
              </w:rPr>
              <w:t>3 200</w:t>
            </w:r>
          </w:p>
        </w:tc>
      </w:tr>
      <w:tr w:rsidR="00860150" w:rsidRPr="00D75C2D" w:rsidTr="001B037B">
        <w:trPr>
          <w:tblHeader/>
          <w:jc w:val="center"/>
        </w:trPr>
        <w:tc>
          <w:tcPr>
            <w:tcW w:w="2501" w:type="pct"/>
            <w:tcBorders>
              <w:top w:val="nil"/>
              <w:bottom w:val="single" w:sz="4" w:space="0" w:color="7F7F7F" w:themeColor="text1" w:themeTint="80"/>
            </w:tcBorders>
            <w:shd w:val="clear" w:color="auto" w:fill="auto"/>
          </w:tcPr>
          <w:p w:rsidR="00860150" w:rsidRPr="00D75C2D" w:rsidRDefault="00860150" w:rsidP="001B037B">
            <w:pPr>
              <w:spacing w:before="60" w:after="60"/>
              <w:rPr>
                <w:rFonts w:eastAsia="Times New Roman" w:cs="Times New Roman"/>
                <w:i/>
                <w:lang w:eastAsia="cs-CZ"/>
              </w:rPr>
            </w:pPr>
            <w:r w:rsidRPr="00D75C2D">
              <w:rPr>
                <w:rFonts w:eastAsia="Times New Roman" w:cs="Times New Roman"/>
                <w:i/>
                <w:lang w:eastAsia="cs-CZ"/>
              </w:rPr>
              <w:t>z toho: 127 77 Podpora financování dopravy</w:t>
            </w:r>
          </w:p>
        </w:tc>
        <w:tc>
          <w:tcPr>
            <w:tcW w:w="919" w:type="pct"/>
            <w:tcBorders>
              <w:top w:val="nil"/>
              <w:bottom w:val="single" w:sz="4" w:space="0" w:color="7F7F7F" w:themeColor="text1" w:themeTint="80"/>
            </w:tcBorders>
            <w:shd w:val="clear" w:color="auto" w:fill="auto"/>
            <w:vAlign w:val="center"/>
          </w:tcPr>
          <w:p w:rsidR="00860150" w:rsidRPr="00D75C2D" w:rsidRDefault="00860150" w:rsidP="001B037B">
            <w:pPr>
              <w:spacing w:before="40" w:after="40"/>
              <w:jc w:val="right"/>
              <w:rPr>
                <w:rFonts w:eastAsia="Times New Roman" w:cs="Times New Roman"/>
                <w:i/>
                <w:lang w:eastAsia="cs-CZ"/>
              </w:rPr>
            </w:pPr>
            <w:r w:rsidRPr="00D75C2D">
              <w:rPr>
                <w:rFonts w:eastAsia="Times New Roman" w:cs="Times New Roman"/>
                <w:i/>
                <w:lang w:eastAsia="cs-CZ"/>
              </w:rPr>
              <w:t>3 100</w:t>
            </w:r>
          </w:p>
        </w:tc>
        <w:tc>
          <w:tcPr>
            <w:tcW w:w="772" w:type="pct"/>
            <w:tcBorders>
              <w:top w:val="nil"/>
              <w:bottom w:val="single" w:sz="4" w:space="0" w:color="7F7F7F" w:themeColor="text1" w:themeTint="80"/>
            </w:tcBorders>
            <w:shd w:val="clear" w:color="auto" w:fill="auto"/>
            <w:vAlign w:val="center"/>
          </w:tcPr>
          <w:p w:rsidR="00860150" w:rsidRPr="00D75C2D" w:rsidRDefault="00860150" w:rsidP="001B037B">
            <w:pPr>
              <w:spacing w:before="40" w:after="40"/>
              <w:jc w:val="right"/>
              <w:rPr>
                <w:rFonts w:eastAsia="Times New Roman" w:cs="Times New Roman"/>
                <w:i/>
                <w:lang w:eastAsia="cs-CZ"/>
              </w:rPr>
            </w:pPr>
            <w:r w:rsidRPr="00D75C2D">
              <w:rPr>
                <w:rFonts w:eastAsia="Times New Roman" w:cs="Times New Roman"/>
                <w:i/>
                <w:lang w:eastAsia="cs-CZ"/>
              </w:rPr>
              <w:t>0</w:t>
            </w:r>
          </w:p>
        </w:tc>
        <w:tc>
          <w:tcPr>
            <w:tcW w:w="808" w:type="pct"/>
            <w:tcBorders>
              <w:top w:val="nil"/>
              <w:bottom w:val="single" w:sz="4" w:space="0" w:color="7F7F7F" w:themeColor="text1" w:themeTint="80"/>
            </w:tcBorders>
            <w:shd w:val="clear" w:color="auto" w:fill="auto"/>
            <w:vAlign w:val="center"/>
          </w:tcPr>
          <w:p w:rsidR="00860150" w:rsidRPr="00D75C2D" w:rsidRDefault="00860150" w:rsidP="001B037B">
            <w:pPr>
              <w:spacing w:before="40" w:after="40"/>
              <w:jc w:val="right"/>
              <w:rPr>
                <w:rFonts w:eastAsia="Times New Roman" w:cs="Times New Roman"/>
                <w:b/>
                <w:i/>
                <w:lang w:eastAsia="cs-CZ"/>
              </w:rPr>
            </w:pPr>
            <w:r w:rsidRPr="00D75C2D">
              <w:rPr>
                <w:rFonts w:eastAsia="Times New Roman" w:cs="Times New Roman"/>
                <w:b/>
                <w:i/>
                <w:lang w:eastAsia="cs-CZ"/>
              </w:rPr>
              <w:t>3 100</w:t>
            </w:r>
          </w:p>
        </w:tc>
      </w:tr>
      <w:tr w:rsidR="00860150" w:rsidRPr="00D75C2D" w:rsidTr="001B037B">
        <w:trPr>
          <w:tblHeader/>
          <w:jc w:val="center"/>
        </w:trPr>
        <w:tc>
          <w:tcPr>
            <w:tcW w:w="2501" w:type="pct"/>
            <w:tcBorders>
              <w:top w:val="single" w:sz="4" w:space="0" w:color="7F7F7F" w:themeColor="text1" w:themeTint="80"/>
              <w:bottom w:val="single" w:sz="4" w:space="0" w:color="7F7F7F" w:themeColor="text1" w:themeTint="80"/>
            </w:tcBorders>
            <w:shd w:val="clear" w:color="auto" w:fill="auto"/>
          </w:tcPr>
          <w:p w:rsidR="00860150" w:rsidRPr="00D75C2D" w:rsidRDefault="00956A67" w:rsidP="001B037B">
            <w:pPr>
              <w:spacing w:before="40" w:after="40"/>
              <w:rPr>
                <w:rFonts w:eastAsia="Times New Roman" w:cs="Times New Roman"/>
                <w:lang w:eastAsia="cs-CZ"/>
              </w:rPr>
            </w:pPr>
            <w:r>
              <w:rPr>
                <w:rFonts w:eastAsia="Times New Roman" w:cs="Times New Roman"/>
                <w:lang w:eastAsia="cs-CZ"/>
              </w:rPr>
              <w:t>CEF_</w:t>
            </w:r>
            <w:r w:rsidR="00860150" w:rsidRPr="00D75C2D">
              <w:rPr>
                <w:rFonts w:eastAsia="Times New Roman" w:cs="Times New Roman"/>
                <w:lang w:eastAsia="cs-CZ"/>
              </w:rPr>
              <w:t>C ROADS CZ  (ÚO MD)</w:t>
            </w:r>
          </w:p>
        </w:tc>
        <w:tc>
          <w:tcPr>
            <w:tcW w:w="919" w:type="pct"/>
            <w:tcBorders>
              <w:top w:val="single" w:sz="4" w:space="0" w:color="7F7F7F" w:themeColor="text1" w:themeTint="80"/>
              <w:bottom w:val="single" w:sz="4" w:space="0" w:color="7F7F7F" w:themeColor="text1" w:themeTint="80"/>
            </w:tcBorders>
            <w:shd w:val="clear" w:color="auto" w:fill="auto"/>
            <w:vAlign w:val="center"/>
          </w:tcPr>
          <w:p w:rsidR="00860150" w:rsidRPr="00D75C2D" w:rsidRDefault="008623D0" w:rsidP="001B037B">
            <w:pPr>
              <w:spacing w:before="40" w:after="40"/>
              <w:jc w:val="right"/>
              <w:rPr>
                <w:rFonts w:eastAsia="Times New Roman" w:cs="Times New Roman"/>
                <w:lang w:eastAsia="cs-CZ"/>
              </w:rPr>
            </w:pPr>
            <w:r>
              <w:rPr>
                <w:rFonts w:eastAsia="Times New Roman" w:cs="Times New Roman"/>
                <w:lang w:eastAsia="cs-CZ"/>
              </w:rPr>
              <w:t>5 928</w:t>
            </w:r>
          </w:p>
        </w:tc>
        <w:tc>
          <w:tcPr>
            <w:tcW w:w="772" w:type="pct"/>
            <w:tcBorders>
              <w:top w:val="single" w:sz="4" w:space="0" w:color="7F7F7F" w:themeColor="text1" w:themeTint="80"/>
              <w:bottom w:val="single" w:sz="4" w:space="0" w:color="7F7F7F" w:themeColor="text1" w:themeTint="80"/>
            </w:tcBorders>
            <w:shd w:val="clear" w:color="auto" w:fill="auto"/>
            <w:vAlign w:val="center"/>
          </w:tcPr>
          <w:p w:rsidR="00860150" w:rsidRPr="00D75C2D" w:rsidRDefault="008623D0" w:rsidP="001B037B">
            <w:pPr>
              <w:spacing w:before="40" w:after="40"/>
              <w:jc w:val="right"/>
              <w:rPr>
                <w:rFonts w:eastAsia="Times New Roman" w:cs="Times New Roman"/>
                <w:lang w:eastAsia="cs-CZ"/>
              </w:rPr>
            </w:pPr>
            <w:r>
              <w:rPr>
                <w:rFonts w:eastAsia="Times New Roman" w:cs="Times New Roman"/>
                <w:lang w:eastAsia="cs-CZ"/>
              </w:rPr>
              <w:t>885</w:t>
            </w:r>
          </w:p>
        </w:tc>
        <w:tc>
          <w:tcPr>
            <w:tcW w:w="808" w:type="pct"/>
            <w:tcBorders>
              <w:top w:val="single" w:sz="4" w:space="0" w:color="7F7F7F" w:themeColor="text1" w:themeTint="80"/>
              <w:bottom w:val="single" w:sz="4" w:space="0" w:color="7F7F7F" w:themeColor="text1" w:themeTint="80"/>
            </w:tcBorders>
            <w:shd w:val="clear" w:color="auto" w:fill="auto"/>
            <w:vAlign w:val="center"/>
          </w:tcPr>
          <w:p w:rsidR="00860150" w:rsidRPr="00D75C2D" w:rsidRDefault="008623D0" w:rsidP="001B037B">
            <w:pPr>
              <w:spacing w:before="40" w:after="40"/>
              <w:jc w:val="right"/>
              <w:rPr>
                <w:rFonts w:eastAsia="Times New Roman" w:cs="Times New Roman"/>
                <w:b/>
                <w:lang w:eastAsia="cs-CZ"/>
              </w:rPr>
            </w:pPr>
            <w:r>
              <w:rPr>
                <w:rFonts w:eastAsia="Times New Roman" w:cs="Times New Roman"/>
                <w:b/>
                <w:lang w:eastAsia="cs-CZ"/>
              </w:rPr>
              <w:t>6 813</w:t>
            </w:r>
          </w:p>
        </w:tc>
      </w:tr>
      <w:tr w:rsidR="00860150" w:rsidRPr="00D75C2D" w:rsidTr="001B037B">
        <w:trPr>
          <w:tblHeader/>
          <w:jc w:val="center"/>
        </w:trPr>
        <w:tc>
          <w:tcPr>
            <w:tcW w:w="2501" w:type="pct"/>
            <w:tcBorders>
              <w:top w:val="single" w:sz="4" w:space="0" w:color="7F7F7F" w:themeColor="text1" w:themeTint="80"/>
              <w:bottom w:val="single" w:sz="4" w:space="0" w:color="767171" w:themeColor="background2" w:themeShade="80"/>
            </w:tcBorders>
            <w:shd w:val="clear" w:color="auto" w:fill="auto"/>
          </w:tcPr>
          <w:p w:rsidR="00860150" w:rsidRPr="00D75C2D" w:rsidRDefault="00956A67" w:rsidP="001B037B">
            <w:pPr>
              <w:spacing w:before="40" w:after="40"/>
              <w:rPr>
                <w:rFonts w:eastAsia="Times New Roman" w:cs="Times New Roman"/>
                <w:color w:val="FF0000"/>
                <w:lang w:eastAsia="cs-CZ"/>
              </w:rPr>
            </w:pPr>
            <w:r>
              <w:rPr>
                <w:rFonts w:eastAsia="Times New Roman" w:cs="Times New Roman"/>
                <w:lang w:eastAsia="cs-CZ"/>
              </w:rPr>
              <w:t>CEF_</w:t>
            </w:r>
            <w:r w:rsidR="00860150" w:rsidRPr="00D75C2D">
              <w:rPr>
                <w:rFonts w:eastAsia="Times New Roman" w:cs="Times New Roman"/>
                <w:lang w:eastAsia="cs-CZ"/>
              </w:rPr>
              <w:t xml:space="preserve">C ROADS CZ  (SFDI) </w:t>
            </w:r>
          </w:p>
        </w:tc>
        <w:tc>
          <w:tcPr>
            <w:tcW w:w="919" w:type="pct"/>
            <w:tcBorders>
              <w:top w:val="single" w:sz="4" w:space="0" w:color="7F7F7F" w:themeColor="text1" w:themeTint="80"/>
              <w:bottom w:val="single" w:sz="4" w:space="0" w:color="767171" w:themeColor="background2" w:themeShade="80"/>
            </w:tcBorders>
            <w:shd w:val="clear" w:color="auto" w:fill="auto"/>
            <w:vAlign w:val="center"/>
          </w:tcPr>
          <w:p w:rsidR="00860150" w:rsidRPr="00D75C2D" w:rsidRDefault="00860150" w:rsidP="001B037B">
            <w:pPr>
              <w:spacing w:before="40" w:after="40"/>
              <w:jc w:val="right"/>
              <w:rPr>
                <w:rFonts w:eastAsia="Times New Roman" w:cs="Times New Roman"/>
                <w:color w:val="FF0000"/>
                <w:lang w:eastAsia="cs-CZ"/>
              </w:rPr>
            </w:pPr>
            <w:r w:rsidRPr="00D75C2D">
              <w:rPr>
                <w:rFonts w:eastAsia="Times New Roman" w:cs="Times New Roman"/>
                <w:lang w:eastAsia="cs-CZ"/>
              </w:rPr>
              <w:t>5 440</w:t>
            </w:r>
          </w:p>
        </w:tc>
        <w:tc>
          <w:tcPr>
            <w:tcW w:w="772" w:type="pct"/>
            <w:tcBorders>
              <w:top w:val="single" w:sz="4" w:space="0" w:color="7F7F7F" w:themeColor="text1" w:themeTint="80"/>
              <w:bottom w:val="single" w:sz="4" w:space="0" w:color="767171" w:themeColor="background2" w:themeShade="80"/>
            </w:tcBorders>
            <w:shd w:val="clear" w:color="auto" w:fill="auto"/>
            <w:vAlign w:val="center"/>
          </w:tcPr>
          <w:p w:rsidR="00860150" w:rsidRPr="00D75C2D" w:rsidRDefault="00860150" w:rsidP="001B037B">
            <w:pPr>
              <w:spacing w:before="40" w:after="40"/>
              <w:jc w:val="right"/>
              <w:rPr>
                <w:rFonts w:eastAsia="Times New Roman" w:cs="Times New Roman"/>
                <w:color w:val="FF0000"/>
                <w:lang w:eastAsia="cs-CZ"/>
              </w:rPr>
            </w:pPr>
            <w:r w:rsidRPr="00D75C2D">
              <w:rPr>
                <w:rFonts w:eastAsia="Times New Roman" w:cs="Times New Roman"/>
                <w:lang w:eastAsia="cs-CZ"/>
              </w:rPr>
              <w:t>0</w:t>
            </w:r>
          </w:p>
        </w:tc>
        <w:tc>
          <w:tcPr>
            <w:tcW w:w="808" w:type="pct"/>
            <w:tcBorders>
              <w:top w:val="single" w:sz="4" w:space="0" w:color="7F7F7F" w:themeColor="text1" w:themeTint="80"/>
              <w:bottom w:val="single" w:sz="4" w:space="0" w:color="767171" w:themeColor="background2" w:themeShade="80"/>
            </w:tcBorders>
            <w:shd w:val="clear" w:color="auto" w:fill="auto"/>
            <w:vAlign w:val="center"/>
          </w:tcPr>
          <w:p w:rsidR="00860150" w:rsidRPr="00D75C2D" w:rsidRDefault="00860150" w:rsidP="001B037B">
            <w:pPr>
              <w:spacing w:before="40" w:after="40"/>
              <w:jc w:val="right"/>
              <w:rPr>
                <w:rFonts w:eastAsia="Times New Roman" w:cs="Times New Roman"/>
                <w:b/>
                <w:color w:val="FF0000"/>
                <w:lang w:eastAsia="cs-CZ"/>
              </w:rPr>
            </w:pPr>
            <w:r w:rsidRPr="00D75C2D">
              <w:rPr>
                <w:rFonts w:eastAsia="Times New Roman" w:cs="Times New Roman"/>
                <w:b/>
                <w:lang w:eastAsia="cs-CZ"/>
              </w:rPr>
              <w:t>5 440</w:t>
            </w:r>
          </w:p>
        </w:tc>
      </w:tr>
      <w:tr w:rsidR="00860150" w:rsidRPr="00D75C2D" w:rsidTr="001B037B">
        <w:trPr>
          <w:tblHeader/>
          <w:jc w:val="center"/>
        </w:trPr>
        <w:tc>
          <w:tcPr>
            <w:tcW w:w="2501" w:type="pct"/>
            <w:tcBorders>
              <w:top w:val="single" w:sz="4" w:space="0" w:color="767171" w:themeColor="background2" w:themeShade="80"/>
              <w:bottom w:val="single" w:sz="4" w:space="0" w:color="7F7F7F" w:themeColor="text1" w:themeTint="80"/>
            </w:tcBorders>
            <w:shd w:val="clear" w:color="auto" w:fill="auto"/>
          </w:tcPr>
          <w:p w:rsidR="00860150" w:rsidRPr="00D75C2D" w:rsidRDefault="00956A67" w:rsidP="001B037B">
            <w:pPr>
              <w:spacing w:before="40" w:after="40"/>
              <w:rPr>
                <w:rFonts w:eastAsia="Times New Roman" w:cs="Times New Roman"/>
                <w:lang w:eastAsia="cs-CZ"/>
              </w:rPr>
            </w:pPr>
            <w:r>
              <w:rPr>
                <w:rFonts w:eastAsia="Times New Roman" w:cs="Times New Roman"/>
                <w:lang w:eastAsia="cs-CZ"/>
              </w:rPr>
              <w:t>CEF_</w:t>
            </w:r>
            <w:r w:rsidR="00860150" w:rsidRPr="00D75C2D">
              <w:rPr>
                <w:rFonts w:eastAsia="Times New Roman" w:cs="Times New Roman"/>
                <w:lang w:eastAsia="cs-CZ"/>
              </w:rPr>
              <w:t>C ROADS CZ (PO)</w:t>
            </w:r>
          </w:p>
          <w:p w:rsidR="00860150" w:rsidRPr="00D75C2D" w:rsidRDefault="00860150" w:rsidP="001B037B">
            <w:pPr>
              <w:spacing w:before="40" w:after="40"/>
              <w:rPr>
                <w:rFonts w:eastAsia="Times New Roman" w:cs="Times New Roman"/>
                <w:lang w:eastAsia="cs-CZ"/>
              </w:rPr>
            </w:pPr>
            <w:r w:rsidRPr="00D75C2D">
              <w:rPr>
                <w:rFonts w:eastAsia="Times New Roman" w:cs="Times New Roman"/>
                <w:i/>
                <w:lang w:eastAsia="cs-CZ"/>
              </w:rPr>
              <w:t>z toho: 127 77 Podpora financování dopravy</w:t>
            </w:r>
          </w:p>
        </w:tc>
        <w:tc>
          <w:tcPr>
            <w:tcW w:w="919" w:type="pct"/>
            <w:tcBorders>
              <w:top w:val="single" w:sz="4" w:space="0" w:color="767171" w:themeColor="background2" w:themeShade="80"/>
              <w:bottom w:val="single" w:sz="4" w:space="0" w:color="7F7F7F" w:themeColor="text1" w:themeTint="80"/>
            </w:tcBorders>
            <w:shd w:val="clear" w:color="auto" w:fill="auto"/>
            <w:vAlign w:val="center"/>
          </w:tcPr>
          <w:p w:rsidR="00860150" w:rsidRPr="00D75C2D" w:rsidRDefault="00860150" w:rsidP="001B037B">
            <w:pPr>
              <w:spacing w:before="40" w:after="40"/>
              <w:jc w:val="right"/>
              <w:rPr>
                <w:rFonts w:eastAsia="Times New Roman" w:cs="Times New Roman"/>
                <w:lang w:eastAsia="cs-CZ"/>
              </w:rPr>
            </w:pPr>
            <w:r w:rsidRPr="00D75C2D">
              <w:rPr>
                <w:rFonts w:eastAsia="Times New Roman" w:cs="Times New Roman"/>
                <w:lang w:eastAsia="cs-CZ"/>
              </w:rPr>
              <w:t>62 337</w:t>
            </w:r>
          </w:p>
          <w:p w:rsidR="00860150" w:rsidRPr="00D75C2D" w:rsidRDefault="00860150" w:rsidP="001B037B">
            <w:pPr>
              <w:spacing w:before="40" w:after="40"/>
              <w:jc w:val="right"/>
              <w:rPr>
                <w:rFonts w:eastAsia="Times New Roman" w:cs="Times New Roman"/>
                <w:i/>
                <w:lang w:eastAsia="cs-CZ"/>
              </w:rPr>
            </w:pPr>
            <w:r w:rsidRPr="00D75C2D">
              <w:rPr>
                <w:rFonts w:eastAsia="Times New Roman" w:cs="Times New Roman"/>
                <w:i/>
                <w:lang w:eastAsia="cs-CZ"/>
              </w:rPr>
              <w:t>42 500</w:t>
            </w:r>
          </w:p>
        </w:tc>
        <w:tc>
          <w:tcPr>
            <w:tcW w:w="772" w:type="pct"/>
            <w:tcBorders>
              <w:top w:val="single" w:sz="4" w:space="0" w:color="767171" w:themeColor="background2" w:themeShade="80"/>
              <w:bottom w:val="single" w:sz="4" w:space="0" w:color="7F7F7F" w:themeColor="text1" w:themeTint="80"/>
              <w:right w:val="single" w:sz="4" w:space="0" w:color="767171" w:themeColor="background2" w:themeShade="80"/>
            </w:tcBorders>
            <w:shd w:val="clear" w:color="auto" w:fill="auto"/>
            <w:vAlign w:val="center"/>
          </w:tcPr>
          <w:p w:rsidR="00860150" w:rsidRPr="00D75C2D" w:rsidRDefault="00860150" w:rsidP="001B037B">
            <w:pPr>
              <w:spacing w:before="40" w:after="40"/>
              <w:jc w:val="right"/>
              <w:rPr>
                <w:rFonts w:eastAsia="Times New Roman" w:cs="Times New Roman"/>
                <w:lang w:eastAsia="cs-CZ"/>
              </w:rPr>
            </w:pPr>
            <w:r w:rsidRPr="00D75C2D">
              <w:rPr>
                <w:rFonts w:eastAsia="Times New Roman" w:cs="Times New Roman"/>
                <w:lang w:eastAsia="cs-CZ"/>
              </w:rPr>
              <w:t>0</w:t>
            </w:r>
          </w:p>
          <w:p w:rsidR="00860150" w:rsidRPr="00D75C2D" w:rsidRDefault="00860150" w:rsidP="001B037B">
            <w:pPr>
              <w:spacing w:before="40" w:after="40"/>
              <w:jc w:val="right"/>
              <w:rPr>
                <w:rFonts w:eastAsia="Times New Roman" w:cs="Times New Roman"/>
                <w:i/>
                <w:lang w:eastAsia="cs-CZ"/>
              </w:rPr>
            </w:pPr>
            <w:r w:rsidRPr="00D75C2D">
              <w:rPr>
                <w:rFonts w:eastAsia="Times New Roman" w:cs="Times New Roman"/>
                <w:i/>
                <w:lang w:eastAsia="cs-CZ"/>
              </w:rPr>
              <w:t>0</w:t>
            </w:r>
          </w:p>
        </w:tc>
        <w:tc>
          <w:tcPr>
            <w:tcW w:w="808" w:type="pct"/>
            <w:tcBorders>
              <w:top w:val="single" w:sz="4" w:space="0" w:color="767171" w:themeColor="background2" w:themeShade="80"/>
              <w:left w:val="single" w:sz="4" w:space="0" w:color="767171" w:themeColor="background2" w:themeShade="80"/>
              <w:bottom w:val="single" w:sz="4" w:space="0" w:color="7F7F7F" w:themeColor="text1" w:themeTint="80"/>
            </w:tcBorders>
            <w:shd w:val="clear" w:color="auto" w:fill="auto"/>
            <w:vAlign w:val="center"/>
          </w:tcPr>
          <w:p w:rsidR="00860150" w:rsidRPr="00D75C2D" w:rsidRDefault="00860150" w:rsidP="001B037B">
            <w:pPr>
              <w:spacing w:before="40" w:after="40"/>
              <w:jc w:val="right"/>
              <w:rPr>
                <w:rFonts w:eastAsia="Times New Roman" w:cs="Times New Roman"/>
                <w:b/>
                <w:lang w:eastAsia="cs-CZ"/>
              </w:rPr>
            </w:pPr>
            <w:r w:rsidRPr="00D75C2D">
              <w:rPr>
                <w:rFonts w:eastAsia="Times New Roman" w:cs="Times New Roman"/>
                <w:b/>
                <w:lang w:eastAsia="cs-CZ"/>
              </w:rPr>
              <w:t>62 337</w:t>
            </w:r>
          </w:p>
          <w:p w:rsidR="00860150" w:rsidRPr="00D75C2D" w:rsidRDefault="00860150" w:rsidP="001B037B">
            <w:pPr>
              <w:spacing w:before="40" w:after="40"/>
              <w:jc w:val="right"/>
              <w:rPr>
                <w:rFonts w:eastAsia="Times New Roman" w:cs="Times New Roman"/>
                <w:b/>
                <w:i/>
                <w:lang w:eastAsia="cs-CZ"/>
              </w:rPr>
            </w:pPr>
            <w:r w:rsidRPr="00D75C2D">
              <w:rPr>
                <w:rFonts w:eastAsia="Times New Roman" w:cs="Times New Roman"/>
                <w:b/>
                <w:i/>
                <w:lang w:eastAsia="cs-CZ"/>
              </w:rPr>
              <w:t>42 500</w:t>
            </w:r>
          </w:p>
        </w:tc>
      </w:tr>
      <w:tr w:rsidR="00860150" w:rsidRPr="00D75C2D" w:rsidTr="001B037B">
        <w:trPr>
          <w:tblHeader/>
          <w:jc w:val="center"/>
        </w:trPr>
        <w:tc>
          <w:tcPr>
            <w:tcW w:w="2501" w:type="pct"/>
            <w:tcBorders>
              <w:top w:val="single" w:sz="4" w:space="0" w:color="7F7F7F" w:themeColor="text1" w:themeTint="80"/>
            </w:tcBorders>
            <w:shd w:val="clear" w:color="auto" w:fill="auto"/>
          </w:tcPr>
          <w:p w:rsidR="00860150" w:rsidRPr="00D75C2D" w:rsidRDefault="00860150" w:rsidP="001B037B">
            <w:pPr>
              <w:spacing w:before="40" w:after="40"/>
              <w:rPr>
                <w:rFonts w:eastAsia="Times New Roman" w:cs="Times New Roman"/>
                <w:lang w:eastAsia="cs-CZ"/>
              </w:rPr>
            </w:pPr>
            <w:r w:rsidRPr="00D75C2D">
              <w:rPr>
                <w:rFonts w:eastAsia="Times New Roman" w:cs="Times New Roman"/>
                <w:lang w:eastAsia="cs-CZ"/>
              </w:rPr>
              <w:t>CEF_ RIS COMEX  (SPS)</w:t>
            </w:r>
          </w:p>
        </w:tc>
        <w:tc>
          <w:tcPr>
            <w:tcW w:w="919" w:type="pct"/>
            <w:tcBorders>
              <w:top w:val="single" w:sz="4" w:space="0" w:color="7F7F7F" w:themeColor="text1" w:themeTint="80"/>
            </w:tcBorders>
            <w:shd w:val="clear" w:color="auto" w:fill="auto"/>
            <w:vAlign w:val="center"/>
          </w:tcPr>
          <w:p w:rsidR="00860150" w:rsidRPr="00D75C2D" w:rsidRDefault="00C76F93" w:rsidP="001B037B">
            <w:pPr>
              <w:spacing w:before="40" w:after="40"/>
              <w:jc w:val="right"/>
              <w:rPr>
                <w:rFonts w:eastAsia="Times New Roman" w:cs="Times New Roman"/>
                <w:lang w:eastAsia="cs-CZ"/>
              </w:rPr>
            </w:pPr>
            <w:r w:rsidRPr="00D75C2D">
              <w:rPr>
                <w:rFonts w:eastAsia="Times New Roman" w:cs="Times New Roman"/>
                <w:lang w:eastAsia="cs-CZ"/>
              </w:rPr>
              <w:t>946</w:t>
            </w:r>
          </w:p>
        </w:tc>
        <w:tc>
          <w:tcPr>
            <w:tcW w:w="772" w:type="pct"/>
            <w:tcBorders>
              <w:top w:val="single" w:sz="4" w:space="0" w:color="7F7F7F" w:themeColor="text1" w:themeTint="80"/>
              <w:right w:val="single" w:sz="4" w:space="0" w:color="767171" w:themeColor="background2" w:themeShade="80"/>
            </w:tcBorders>
            <w:shd w:val="clear" w:color="auto" w:fill="auto"/>
            <w:vAlign w:val="center"/>
          </w:tcPr>
          <w:p w:rsidR="00860150" w:rsidRPr="00D75C2D" w:rsidRDefault="00C76F93" w:rsidP="001B037B">
            <w:pPr>
              <w:spacing w:before="40" w:after="40"/>
              <w:jc w:val="right"/>
              <w:rPr>
                <w:rFonts w:eastAsia="Times New Roman" w:cs="Times New Roman"/>
                <w:lang w:eastAsia="cs-CZ"/>
              </w:rPr>
            </w:pPr>
            <w:r w:rsidRPr="00D75C2D">
              <w:rPr>
                <w:rFonts w:eastAsia="Times New Roman" w:cs="Times New Roman"/>
                <w:lang w:eastAsia="cs-CZ"/>
              </w:rPr>
              <w:t>167</w:t>
            </w:r>
          </w:p>
        </w:tc>
        <w:tc>
          <w:tcPr>
            <w:tcW w:w="808" w:type="pct"/>
            <w:tcBorders>
              <w:top w:val="single" w:sz="4" w:space="0" w:color="7F7F7F" w:themeColor="text1" w:themeTint="80"/>
              <w:left w:val="single" w:sz="4" w:space="0" w:color="767171" w:themeColor="background2" w:themeShade="80"/>
            </w:tcBorders>
            <w:shd w:val="clear" w:color="auto" w:fill="auto"/>
            <w:vAlign w:val="center"/>
          </w:tcPr>
          <w:p w:rsidR="00860150" w:rsidRPr="00D75C2D" w:rsidRDefault="00C76F93" w:rsidP="001B037B">
            <w:pPr>
              <w:spacing w:before="40" w:after="40"/>
              <w:jc w:val="right"/>
              <w:rPr>
                <w:rFonts w:eastAsia="Times New Roman" w:cs="Times New Roman"/>
                <w:b/>
                <w:lang w:eastAsia="cs-CZ"/>
              </w:rPr>
            </w:pPr>
            <w:r w:rsidRPr="00D75C2D">
              <w:rPr>
                <w:rFonts w:eastAsia="Times New Roman" w:cs="Times New Roman"/>
                <w:b/>
                <w:lang w:eastAsia="cs-CZ"/>
              </w:rPr>
              <w:t>1 113</w:t>
            </w:r>
          </w:p>
        </w:tc>
      </w:tr>
      <w:tr w:rsidR="00860150" w:rsidRPr="00D75C2D" w:rsidTr="001B037B">
        <w:trPr>
          <w:tblHeader/>
          <w:jc w:val="center"/>
        </w:trPr>
        <w:tc>
          <w:tcPr>
            <w:tcW w:w="2501" w:type="pct"/>
            <w:tcBorders>
              <w:bottom w:val="nil"/>
            </w:tcBorders>
            <w:shd w:val="clear" w:color="auto" w:fill="auto"/>
          </w:tcPr>
          <w:p w:rsidR="00860150" w:rsidRPr="00D75C2D" w:rsidRDefault="00860150" w:rsidP="001B037B">
            <w:pPr>
              <w:spacing w:before="40" w:after="40"/>
              <w:rPr>
                <w:rFonts w:eastAsia="Times New Roman" w:cs="Times New Roman"/>
                <w:color w:val="FF0000"/>
                <w:lang w:eastAsia="cs-CZ"/>
              </w:rPr>
            </w:pPr>
            <w:r w:rsidRPr="00D75C2D">
              <w:rPr>
                <w:rFonts w:eastAsia="Times New Roman" w:cs="Times New Roman"/>
                <w:lang w:eastAsia="cs-CZ"/>
              </w:rPr>
              <w:t xml:space="preserve">CEF_ RIS COMEX  (SFDI) </w:t>
            </w:r>
          </w:p>
        </w:tc>
        <w:tc>
          <w:tcPr>
            <w:tcW w:w="919" w:type="pct"/>
            <w:tcBorders>
              <w:bottom w:val="nil"/>
            </w:tcBorders>
            <w:shd w:val="clear" w:color="auto" w:fill="auto"/>
            <w:vAlign w:val="center"/>
          </w:tcPr>
          <w:p w:rsidR="00860150" w:rsidRPr="00D75C2D" w:rsidRDefault="00860150" w:rsidP="001B037B">
            <w:pPr>
              <w:spacing w:before="40" w:after="40"/>
              <w:jc w:val="right"/>
              <w:rPr>
                <w:rFonts w:eastAsia="Times New Roman" w:cs="Times New Roman"/>
                <w:lang w:eastAsia="cs-CZ"/>
              </w:rPr>
            </w:pPr>
            <w:r w:rsidRPr="00D75C2D">
              <w:rPr>
                <w:rFonts w:eastAsia="Times New Roman" w:cs="Times New Roman"/>
                <w:lang w:eastAsia="cs-CZ"/>
              </w:rPr>
              <w:t>6 008</w:t>
            </w:r>
          </w:p>
        </w:tc>
        <w:tc>
          <w:tcPr>
            <w:tcW w:w="772" w:type="pct"/>
            <w:tcBorders>
              <w:bottom w:val="nil"/>
            </w:tcBorders>
            <w:shd w:val="clear" w:color="auto" w:fill="auto"/>
            <w:vAlign w:val="center"/>
          </w:tcPr>
          <w:p w:rsidR="00860150" w:rsidRPr="00D75C2D" w:rsidRDefault="00860150" w:rsidP="001B037B">
            <w:pPr>
              <w:spacing w:before="40" w:after="40"/>
              <w:jc w:val="right"/>
              <w:rPr>
                <w:rFonts w:eastAsia="Times New Roman" w:cs="Times New Roman"/>
                <w:lang w:eastAsia="cs-CZ"/>
              </w:rPr>
            </w:pPr>
            <w:r w:rsidRPr="00D75C2D">
              <w:rPr>
                <w:rFonts w:eastAsia="Times New Roman" w:cs="Times New Roman"/>
                <w:lang w:eastAsia="cs-CZ"/>
              </w:rPr>
              <w:t>0</w:t>
            </w:r>
          </w:p>
        </w:tc>
        <w:tc>
          <w:tcPr>
            <w:tcW w:w="808" w:type="pct"/>
            <w:tcBorders>
              <w:bottom w:val="nil"/>
            </w:tcBorders>
            <w:shd w:val="clear" w:color="auto" w:fill="auto"/>
            <w:vAlign w:val="center"/>
          </w:tcPr>
          <w:p w:rsidR="00860150" w:rsidRPr="00D75C2D" w:rsidRDefault="00860150" w:rsidP="001B037B">
            <w:pPr>
              <w:spacing w:before="40" w:after="40"/>
              <w:jc w:val="right"/>
              <w:rPr>
                <w:rFonts w:eastAsia="Times New Roman" w:cs="Times New Roman"/>
                <w:b/>
                <w:lang w:eastAsia="cs-CZ"/>
              </w:rPr>
            </w:pPr>
            <w:r w:rsidRPr="00D75C2D">
              <w:rPr>
                <w:rFonts w:eastAsia="Times New Roman" w:cs="Times New Roman"/>
                <w:b/>
                <w:lang w:eastAsia="cs-CZ"/>
              </w:rPr>
              <w:t>6 008</w:t>
            </w:r>
          </w:p>
        </w:tc>
      </w:tr>
      <w:tr w:rsidR="00860150" w:rsidRPr="00D75C2D" w:rsidTr="001B037B">
        <w:trPr>
          <w:tblHeader/>
          <w:jc w:val="center"/>
        </w:trPr>
        <w:tc>
          <w:tcPr>
            <w:tcW w:w="2501" w:type="pct"/>
            <w:tcBorders>
              <w:top w:val="nil"/>
              <w:bottom w:val="single" w:sz="4" w:space="0" w:color="auto"/>
            </w:tcBorders>
            <w:shd w:val="clear" w:color="auto" w:fill="auto"/>
          </w:tcPr>
          <w:p w:rsidR="00860150" w:rsidRPr="00D75C2D" w:rsidRDefault="00860150" w:rsidP="001B037B">
            <w:pPr>
              <w:spacing w:before="40" w:after="40"/>
              <w:rPr>
                <w:rFonts w:eastAsia="Times New Roman" w:cs="Times New Roman"/>
                <w:color w:val="FF0000"/>
                <w:lang w:eastAsia="cs-CZ"/>
              </w:rPr>
            </w:pPr>
            <w:r w:rsidRPr="00D75C2D">
              <w:rPr>
                <w:rFonts w:eastAsia="Times New Roman" w:cs="Times New Roman"/>
                <w:i/>
                <w:color w:val="FF0000"/>
                <w:lang w:eastAsia="cs-CZ"/>
              </w:rPr>
              <w:t xml:space="preserve"> </w:t>
            </w:r>
            <w:r w:rsidRPr="00D75C2D">
              <w:rPr>
                <w:rFonts w:eastAsia="Times New Roman" w:cs="Times New Roman"/>
                <w:i/>
                <w:lang w:eastAsia="cs-CZ"/>
              </w:rPr>
              <w:t>v tom:</w:t>
            </w:r>
            <w:r w:rsidRPr="00D75C2D">
              <w:rPr>
                <w:rFonts w:eastAsia="Times New Roman" w:cs="Times New Roman"/>
                <w:lang w:eastAsia="cs-CZ"/>
              </w:rPr>
              <w:t xml:space="preserve"> </w:t>
            </w:r>
            <w:r w:rsidRPr="00D75C2D">
              <w:rPr>
                <w:rFonts w:eastAsia="Times New Roman" w:cs="Times New Roman"/>
                <w:i/>
                <w:lang w:eastAsia="cs-CZ"/>
              </w:rPr>
              <w:t>127 77 Podpora financování dopravy</w:t>
            </w:r>
          </w:p>
        </w:tc>
        <w:tc>
          <w:tcPr>
            <w:tcW w:w="919" w:type="pct"/>
            <w:tcBorders>
              <w:top w:val="nil"/>
              <w:bottom w:val="single" w:sz="4" w:space="0" w:color="auto"/>
            </w:tcBorders>
            <w:shd w:val="clear" w:color="auto" w:fill="auto"/>
            <w:vAlign w:val="center"/>
          </w:tcPr>
          <w:p w:rsidR="00860150" w:rsidRPr="00D75C2D" w:rsidRDefault="00860150" w:rsidP="001B037B">
            <w:pPr>
              <w:spacing w:before="40" w:after="40"/>
              <w:jc w:val="right"/>
              <w:rPr>
                <w:rFonts w:eastAsia="Times New Roman" w:cs="Times New Roman"/>
                <w:i/>
                <w:lang w:eastAsia="cs-CZ"/>
              </w:rPr>
            </w:pPr>
            <w:r w:rsidRPr="00D75C2D">
              <w:rPr>
                <w:rFonts w:eastAsia="Times New Roman" w:cs="Times New Roman"/>
                <w:i/>
                <w:lang w:eastAsia="cs-CZ"/>
              </w:rPr>
              <w:t>6 008</w:t>
            </w:r>
          </w:p>
        </w:tc>
        <w:tc>
          <w:tcPr>
            <w:tcW w:w="772" w:type="pct"/>
            <w:tcBorders>
              <w:top w:val="nil"/>
              <w:bottom w:val="single" w:sz="4" w:space="0" w:color="auto"/>
            </w:tcBorders>
            <w:shd w:val="clear" w:color="auto" w:fill="auto"/>
            <w:vAlign w:val="center"/>
          </w:tcPr>
          <w:p w:rsidR="00860150" w:rsidRPr="00D75C2D" w:rsidRDefault="00860150" w:rsidP="001B037B">
            <w:pPr>
              <w:spacing w:before="40" w:after="40"/>
              <w:jc w:val="right"/>
              <w:rPr>
                <w:rFonts w:eastAsia="Times New Roman" w:cs="Times New Roman"/>
                <w:i/>
                <w:lang w:eastAsia="cs-CZ"/>
              </w:rPr>
            </w:pPr>
            <w:r w:rsidRPr="00D75C2D">
              <w:rPr>
                <w:rFonts w:eastAsia="Times New Roman" w:cs="Times New Roman"/>
                <w:i/>
                <w:lang w:eastAsia="cs-CZ"/>
              </w:rPr>
              <w:t>0</w:t>
            </w:r>
          </w:p>
        </w:tc>
        <w:tc>
          <w:tcPr>
            <w:tcW w:w="808" w:type="pct"/>
            <w:tcBorders>
              <w:top w:val="nil"/>
              <w:bottom w:val="single" w:sz="4" w:space="0" w:color="auto"/>
            </w:tcBorders>
            <w:shd w:val="clear" w:color="auto" w:fill="auto"/>
            <w:vAlign w:val="center"/>
          </w:tcPr>
          <w:p w:rsidR="00860150" w:rsidRPr="00D75C2D" w:rsidRDefault="00860150" w:rsidP="001B037B">
            <w:pPr>
              <w:spacing w:before="40" w:after="40"/>
              <w:jc w:val="right"/>
              <w:rPr>
                <w:rFonts w:eastAsia="Times New Roman" w:cs="Times New Roman"/>
                <w:b/>
                <w:i/>
                <w:lang w:eastAsia="cs-CZ"/>
              </w:rPr>
            </w:pPr>
            <w:r w:rsidRPr="00D75C2D">
              <w:rPr>
                <w:rFonts w:eastAsia="Times New Roman" w:cs="Times New Roman"/>
                <w:b/>
                <w:i/>
                <w:lang w:eastAsia="cs-CZ"/>
              </w:rPr>
              <w:t>6 008</w:t>
            </w:r>
          </w:p>
        </w:tc>
      </w:tr>
      <w:tr w:rsidR="00860150" w:rsidRPr="00D75C2D" w:rsidTr="001B037B">
        <w:trPr>
          <w:tblHeader/>
          <w:jc w:val="center"/>
        </w:trPr>
        <w:tc>
          <w:tcPr>
            <w:tcW w:w="2501" w:type="pct"/>
            <w:tcBorders>
              <w:top w:val="single" w:sz="4" w:space="0" w:color="auto"/>
              <w:bottom w:val="single" w:sz="4" w:space="0" w:color="auto"/>
            </w:tcBorders>
            <w:shd w:val="clear" w:color="auto" w:fill="auto"/>
          </w:tcPr>
          <w:p w:rsidR="00860150" w:rsidRPr="00D75C2D" w:rsidRDefault="00860150" w:rsidP="001B037B">
            <w:pPr>
              <w:spacing w:before="40" w:after="40"/>
              <w:rPr>
                <w:rFonts w:eastAsia="Times New Roman" w:cs="Times New Roman"/>
                <w:i/>
                <w:color w:val="FF0000"/>
                <w:lang w:eastAsia="cs-CZ"/>
              </w:rPr>
            </w:pPr>
            <w:r w:rsidRPr="00D75C2D">
              <w:rPr>
                <w:rFonts w:eastAsia="Times New Roman" w:cs="Times New Roman"/>
                <w:i/>
                <w:lang w:eastAsia="cs-CZ"/>
              </w:rPr>
              <w:t xml:space="preserve">CEF_C ROADS </w:t>
            </w:r>
            <w:r w:rsidRPr="00D75C2D">
              <w:rPr>
                <w:rFonts w:eastAsia="Times New Roman" w:cs="Times New Roman"/>
                <w:lang w:eastAsia="cs-CZ"/>
              </w:rPr>
              <w:t>Austria 2 (MD)</w:t>
            </w:r>
          </w:p>
        </w:tc>
        <w:tc>
          <w:tcPr>
            <w:tcW w:w="919" w:type="pct"/>
            <w:tcBorders>
              <w:top w:val="single" w:sz="4" w:space="0" w:color="auto"/>
              <w:bottom w:val="single" w:sz="4" w:space="0" w:color="auto"/>
            </w:tcBorders>
            <w:shd w:val="clear" w:color="auto" w:fill="auto"/>
            <w:vAlign w:val="center"/>
          </w:tcPr>
          <w:p w:rsidR="00860150" w:rsidRPr="00D75C2D" w:rsidRDefault="00860150" w:rsidP="001B037B">
            <w:pPr>
              <w:spacing w:before="40" w:after="40"/>
              <w:jc w:val="right"/>
              <w:rPr>
                <w:rFonts w:eastAsia="Times New Roman" w:cs="Times New Roman"/>
                <w:lang w:eastAsia="cs-CZ"/>
              </w:rPr>
            </w:pPr>
            <w:r w:rsidRPr="00D75C2D">
              <w:rPr>
                <w:rFonts w:eastAsia="Times New Roman" w:cs="Times New Roman"/>
                <w:lang w:eastAsia="cs-CZ"/>
              </w:rPr>
              <w:t>415</w:t>
            </w:r>
          </w:p>
        </w:tc>
        <w:tc>
          <w:tcPr>
            <w:tcW w:w="772" w:type="pct"/>
            <w:tcBorders>
              <w:top w:val="single" w:sz="4" w:space="0" w:color="auto"/>
              <w:bottom w:val="single" w:sz="4" w:space="0" w:color="auto"/>
            </w:tcBorders>
            <w:shd w:val="clear" w:color="auto" w:fill="auto"/>
            <w:vAlign w:val="center"/>
          </w:tcPr>
          <w:p w:rsidR="00860150" w:rsidRPr="00D75C2D" w:rsidRDefault="00860150" w:rsidP="001B037B">
            <w:pPr>
              <w:spacing w:before="40" w:after="40"/>
              <w:jc w:val="right"/>
              <w:rPr>
                <w:rFonts w:eastAsia="Times New Roman" w:cs="Times New Roman"/>
                <w:lang w:eastAsia="cs-CZ"/>
              </w:rPr>
            </w:pPr>
            <w:r w:rsidRPr="00D75C2D">
              <w:rPr>
                <w:rFonts w:eastAsia="Times New Roman" w:cs="Times New Roman"/>
                <w:lang w:eastAsia="cs-CZ"/>
              </w:rPr>
              <w:t>414</w:t>
            </w:r>
          </w:p>
        </w:tc>
        <w:tc>
          <w:tcPr>
            <w:tcW w:w="808" w:type="pct"/>
            <w:tcBorders>
              <w:top w:val="single" w:sz="4" w:space="0" w:color="auto"/>
              <w:bottom w:val="single" w:sz="4" w:space="0" w:color="auto"/>
            </w:tcBorders>
            <w:shd w:val="clear" w:color="auto" w:fill="auto"/>
            <w:vAlign w:val="center"/>
          </w:tcPr>
          <w:p w:rsidR="00860150" w:rsidRPr="00D75C2D" w:rsidRDefault="00860150" w:rsidP="001B037B">
            <w:pPr>
              <w:spacing w:before="40" w:after="40"/>
              <w:jc w:val="right"/>
              <w:rPr>
                <w:rFonts w:eastAsia="Times New Roman" w:cs="Times New Roman"/>
                <w:b/>
                <w:lang w:eastAsia="cs-CZ"/>
              </w:rPr>
            </w:pPr>
            <w:r w:rsidRPr="00D75C2D">
              <w:rPr>
                <w:rFonts w:eastAsia="Times New Roman" w:cs="Times New Roman"/>
                <w:b/>
                <w:lang w:eastAsia="cs-CZ"/>
              </w:rPr>
              <w:t>829</w:t>
            </w:r>
          </w:p>
        </w:tc>
      </w:tr>
      <w:tr w:rsidR="00860150" w:rsidRPr="00D75C2D" w:rsidTr="001B037B">
        <w:trPr>
          <w:tblHeader/>
          <w:jc w:val="center"/>
        </w:trPr>
        <w:tc>
          <w:tcPr>
            <w:tcW w:w="2501" w:type="pct"/>
            <w:tcBorders>
              <w:top w:val="single" w:sz="4" w:space="0" w:color="auto"/>
              <w:bottom w:val="single" w:sz="4" w:space="0" w:color="auto"/>
            </w:tcBorders>
            <w:shd w:val="clear" w:color="auto" w:fill="auto"/>
          </w:tcPr>
          <w:p w:rsidR="00860150" w:rsidRPr="00D75C2D" w:rsidRDefault="00860150" w:rsidP="001B037B">
            <w:pPr>
              <w:spacing w:before="40" w:after="40"/>
              <w:rPr>
                <w:rFonts w:eastAsia="Times New Roman" w:cs="Times New Roman"/>
                <w:lang w:eastAsia="cs-CZ"/>
              </w:rPr>
            </w:pPr>
            <w:r w:rsidRPr="00D75C2D">
              <w:rPr>
                <w:rFonts w:eastAsia="Times New Roman" w:cs="Times New Roman"/>
                <w:lang w:eastAsia="cs-CZ"/>
              </w:rPr>
              <w:t>CEF_PSA – NAP Governance (MD)</w:t>
            </w:r>
          </w:p>
        </w:tc>
        <w:tc>
          <w:tcPr>
            <w:tcW w:w="919" w:type="pct"/>
            <w:tcBorders>
              <w:top w:val="single" w:sz="4" w:space="0" w:color="auto"/>
              <w:bottom w:val="single" w:sz="4" w:space="0" w:color="auto"/>
            </w:tcBorders>
            <w:shd w:val="clear" w:color="auto" w:fill="auto"/>
            <w:vAlign w:val="center"/>
          </w:tcPr>
          <w:p w:rsidR="00860150" w:rsidRPr="00D75C2D" w:rsidRDefault="00860150" w:rsidP="001B037B">
            <w:pPr>
              <w:spacing w:before="40" w:after="40"/>
              <w:jc w:val="right"/>
              <w:rPr>
                <w:rFonts w:eastAsia="Times New Roman" w:cs="Times New Roman"/>
                <w:lang w:eastAsia="cs-CZ"/>
              </w:rPr>
            </w:pPr>
            <w:r w:rsidRPr="00D75C2D">
              <w:rPr>
                <w:rFonts w:eastAsia="Times New Roman" w:cs="Times New Roman"/>
                <w:lang w:eastAsia="cs-CZ"/>
              </w:rPr>
              <w:t>705</w:t>
            </w:r>
          </w:p>
        </w:tc>
        <w:tc>
          <w:tcPr>
            <w:tcW w:w="772" w:type="pct"/>
            <w:tcBorders>
              <w:top w:val="single" w:sz="4" w:space="0" w:color="auto"/>
              <w:bottom w:val="single" w:sz="4" w:space="0" w:color="auto"/>
            </w:tcBorders>
            <w:shd w:val="clear" w:color="auto" w:fill="auto"/>
            <w:vAlign w:val="center"/>
          </w:tcPr>
          <w:p w:rsidR="00860150" w:rsidRPr="00D75C2D" w:rsidRDefault="00860150" w:rsidP="001B037B">
            <w:pPr>
              <w:spacing w:before="40" w:after="40"/>
              <w:jc w:val="right"/>
              <w:rPr>
                <w:rFonts w:eastAsia="Times New Roman" w:cs="Times New Roman"/>
                <w:lang w:eastAsia="cs-CZ"/>
              </w:rPr>
            </w:pPr>
            <w:r w:rsidRPr="00D75C2D">
              <w:rPr>
                <w:rFonts w:eastAsia="Times New Roman" w:cs="Times New Roman"/>
                <w:lang w:eastAsia="cs-CZ"/>
              </w:rPr>
              <w:t>124</w:t>
            </w:r>
          </w:p>
        </w:tc>
        <w:tc>
          <w:tcPr>
            <w:tcW w:w="808" w:type="pct"/>
            <w:tcBorders>
              <w:top w:val="single" w:sz="4" w:space="0" w:color="auto"/>
              <w:bottom w:val="single" w:sz="4" w:space="0" w:color="auto"/>
            </w:tcBorders>
            <w:shd w:val="clear" w:color="auto" w:fill="auto"/>
            <w:vAlign w:val="center"/>
          </w:tcPr>
          <w:p w:rsidR="00860150" w:rsidRPr="00D75C2D" w:rsidRDefault="00860150" w:rsidP="001B037B">
            <w:pPr>
              <w:spacing w:before="40" w:after="40"/>
              <w:jc w:val="right"/>
              <w:rPr>
                <w:rFonts w:eastAsia="Times New Roman" w:cs="Times New Roman"/>
                <w:b/>
                <w:lang w:eastAsia="cs-CZ"/>
              </w:rPr>
            </w:pPr>
            <w:r w:rsidRPr="00D75C2D">
              <w:rPr>
                <w:rFonts w:eastAsia="Times New Roman" w:cs="Times New Roman"/>
                <w:b/>
                <w:lang w:eastAsia="cs-CZ"/>
              </w:rPr>
              <w:t>829</w:t>
            </w:r>
          </w:p>
        </w:tc>
      </w:tr>
    </w:tbl>
    <w:p w:rsidR="00860150" w:rsidRPr="000B5984" w:rsidRDefault="00860150" w:rsidP="00860150">
      <w:pPr>
        <w:spacing w:before="360"/>
        <w:rPr>
          <w:rFonts w:eastAsia="Times New Roman" w:cs="Times New Roman"/>
          <w:b/>
          <w:szCs w:val="24"/>
          <w:lang w:eastAsia="cs-CZ"/>
        </w:rPr>
      </w:pPr>
      <w:r w:rsidRPr="000B5984">
        <w:rPr>
          <w:rFonts w:eastAsia="Times New Roman" w:cs="Times New Roman"/>
          <w:b/>
          <w:szCs w:val="24"/>
          <w:lang w:eastAsia="cs-CZ"/>
        </w:rPr>
        <w:t>KP - CEF – Nástroj pro propojení Evropy 2014+</w:t>
      </w:r>
    </w:p>
    <w:p w:rsidR="00860150" w:rsidRPr="000B5984" w:rsidRDefault="00860150" w:rsidP="000D634C">
      <w:pPr>
        <w:pStyle w:val="Nadpis7"/>
      </w:pPr>
      <w:r w:rsidRPr="000B5984">
        <w:t>a) CEF – SFDI</w:t>
      </w:r>
    </w:p>
    <w:p w:rsidR="00860150" w:rsidRPr="000B5984" w:rsidRDefault="00860150" w:rsidP="00860150">
      <w:pPr>
        <w:pStyle w:val="Styl1"/>
      </w:pPr>
      <w:r w:rsidRPr="000B5984">
        <w:t>Jedná se o integrovaný nástroj k financování prioritních transevropských infrastrukturních sítí. Cílem tohoto nástroje je podpořit vybudování infrastruktury, která zlepší fungování vnitřního trhu EU. Podpora EU bude zaměřena na prioritní energetické, dopra</w:t>
      </w:r>
      <w:r w:rsidR="000D634C">
        <w:t xml:space="preserve">vní </w:t>
      </w:r>
      <w:r w:rsidRPr="000B5984">
        <w:t xml:space="preserve">a telekomunikační sítě a horizontální priority. Součástí CEF jsou i prostředky Fondu soudržnosti (tzv. kohezní CEF), které jsou určeny na budování transevropské páteřní dopravní infrastruktury ve státech způsobilých k podpoře z Fondu soudržnosti. </w:t>
      </w:r>
    </w:p>
    <w:p w:rsidR="00860150" w:rsidRPr="000B5984" w:rsidRDefault="00860150" w:rsidP="00860150">
      <w:pPr>
        <w:pStyle w:val="Styl1"/>
      </w:pPr>
      <w:r w:rsidRPr="000B5984">
        <w:lastRenderedPageBreak/>
        <w:t>Ve výzvách vyhlášených v prvních třech letech implementace (2014-2016) se podařilo českým subjektům zcela smluvně zavázat tzv. národní</w:t>
      </w:r>
      <w:r w:rsidR="000D634C">
        <w:t xml:space="preserve"> obálku v kohezním CEF ve výši </w:t>
      </w:r>
      <w:r w:rsidRPr="000B5984">
        <w:t>1,117 mld. EUR. Celkem prošlo procesem hodnocení úspě</w:t>
      </w:r>
      <w:r w:rsidR="000D634C">
        <w:t xml:space="preserve">šně 48 projektů v kohezním CEF </w:t>
      </w:r>
      <w:r w:rsidRPr="000B5984">
        <w:t xml:space="preserve">a 9 projektů </w:t>
      </w:r>
      <w:r w:rsidR="000D634C">
        <w:br/>
      </w:r>
      <w:r w:rsidRPr="000B5984">
        <w:t>v obecném CEF, z toho jeden v rámci tzv. blendingové výzvy CEF. V rámci ní bylo možné žádat o podporu v kombinaci poskytnutého grantu CEF a úvěru od soukromé nebo veřejné bankovní instituce. Projekty připravované ministerstvem dopravy nebo jeho investorskými společnostmi jsou předfinancovány prostředky SFDI, který kryje vlastními prostředky rovněž národní část spolufinancování a nezpůsobilé výdaje. V současné době připravuje Evropská komise poslední výzvy, prostřednictvím kterých bude vyčerpána zbytková alokace CEF.</w:t>
      </w:r>
    </w:p>
    <w:p w:rsidR="00860150" w:rsidRPr="000B5984" w:rsidRDefault="00860150" w:rsidP="00860150">
      <w:pPr>
        <w:pStyle w:val="Titulek"/>
        <w:keepNext/>
        <w:rPr>
          <w:noProof/>
        </w:rPr>
      </w:pPr>
      <w:r w:rsidRPr="000B5984">
        <w:t xml:space="preserve">Tabulka č. </w:t>
      </w:r>
      <w:r w:rsidRPr="000B5984">
        <w:rPr>
          <w:noProof/>
        </w:rPr>
        <w:fldChar w:fldCharType="begin"/>
      </w:r>
      <w:r w:rsidRPr="000B5984">
        <w:rPr>
          <w:noProof/>
        </w:rPr>
        <w:instrText xml:space="preserve"> SEQ Tabulka \* ARABIC </w:instrText>
      </w:r>
      <w:r w:rsidRPr="000B5984">
        <w:rPr>
          <w:noProof/>
        </w:rPr>
        <w:fldChar w:fldCharType="separate"/>
      </w:r>
      <w:r w:rsidR="006076E7">
        <w:rPr>
          <w:noProof/>
        </w:rPr>
        <w:t>48</w:t>
      </w:r>
      <w:r w:rsidRPr="000B5984">
        <w:rPr>
          <w:noProof/>
        </w:rPr>
        <w:fldChar w:fldCharType="end"/>
      </w:r>
      <w:r w:rsidRPr="000B5984">
        <w:rPr>
          <w:noProof/>
        </w:rPr>
        <w:t xml:space="preserve"> Komunitární program CEF – SFDI (v tis. Kč)</w:t>
      </w:r>
    </w:p>
    <w:tbl>
      <w:tblPr>
        <w:tblW w:w="4976"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704"/>
        <w:gridCol w:w="1434"/>
        <w:gridCol w:w="1434"/>
        <w:gridCol w:w="1436"/>
      </w:tblGrid>
      <w:tr w:rsidR="00860150" w:rsidRPr="00FA1AA6" w:rsidTr="001B037B">
        <w:trPr>
          <w:jc w:val="center"/>
        </w:trPr>
        <w:tc>
          <w:tcPr>
            <w:tcW w:w="261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0B5984" w:rsidRDefault="00860150" w:rsidP="001B037B">
            <w:pPr>
              <w:spacing w:before="40" w:after="40"/>
              <w:rPr>
                <w:rFonts w:eastAsia="Times New Roman" w:cs="Times New Roman"/>
                <w:b/>
                <w:lang w:eastAsia="cs-CZ"/>
              </w:rPr>
            </w:pPr>
            <w:r w:rsidRPr="000B5984">
              <w:rPr>
                <w:rFonts w:eastAsia="Times New Roman" w:cs="Times New Roman"/>
                <w:b/>
                <w:lang w:eastAsia="cs-CZ"/>
              </w:rPr>
              <w:t>Název programu (projektu)</w:t>
            </w:r>
          </w:p>
        </w:tc>
        <w:tc>
          <w:tcPr>
            <w:tcW w:w="79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0B5984" w:rsidRDefault="00860150" w:rsidP="001B037B">
            <w:pPr>
              <w:spacing w:before="40" w:after="40"/>
              <w:jc w:val="center"/>
              <w:rPr>
                <w:rFonts w:eastAsia="Times New Roman" w:cs="Times New Roman"/>
                <w:b/>
                <w:lang w:eastAsia="cs-CZ"/>
              </w:rPr>
            </w:pPr>
            <w:r w:rsidRPr="000B5984">
              <w:rPr>
                <w:rFonts w:eastAsia="Times New Roman" w:cs="Times New Roman"/>
                <w:b/>
                <w:lang w:eastAsia="cs-CZ"/>
              </w:rPr>
              <w:t>EU</w:t>
            </w:r>
          </w:p>
        </w:tc>
        <w:tc>
          <w:tcPr>
            <w:tcW w:w="79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0B5984" w:rsidRDefault="00860150" w:rsidP="001B037B">
            <w:pPr>
              <w:spacing w:before="40" w:after="40"/>
              <w:jc w:val="center"/>
              <w:rPr>
                <w:rFonts w:eastAsia="Times New Roman" w:cs="Times New Roman"/>
                <w:b/>
                <w:lang w:eastAsia="cs-CZ"/>
              </w:rPr>
            </w:pPr>
            <w:r w:rsidRPr="000B5984">
              <w:rPr>
                <w:rFonts w:eastAsia="Times New Roman" w:cs="Times New Roman"/>
                <w:b/>
                <w:lang w:eastAsia="cs-CZ"/>
              </w:rPr>
              <w:t>SR</w:t>
            </w:r>
          </w:p>
        </w:tc>
        <w:tc>
          <w:tcPr>
            <w:tcW w:w="79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0B5984" w:rsidRDefault="00860150" w:rsidP="001B037B">
            <w:pPr>
              <w:spacing w:before="40" w:after="40"/>
              <w:jc w:val="center"/>
              <w:rPr>
                <w:rFonts w:eastAsia="Times New Roman" w:cs="Times New Roman"/>
                <w:b/>
                <w:lang w:eastAsia="cs-CZ"/>
              </w:rPr>
            </w:pPr>
            <w:r w:rsidRPr="000B5984">
              <w:rPr>
                <w:rFonts w:eastAsia="Times New Roman" w:cs="Times New Roman"/>
                <w:b/>
                <w:lang w:eastAsia="cs-CZ"/>
              </w:rPr>
              <w:t>Celkem</w:t>
            </w:r>
          </w:p>
        </w:tc>
      </w:tr>
      <w:tr w:rsidR="00860150" w:rsidRPr="00FA1AA6" w:rsidTr="001B037B">
        <w:trPr>
          <w:jc w:val="center"/>
        </w:trPr>
        <w:tc>
          <w:tcPr>
            <w:tcW w:w="2611" w:type="pct"/>
            <w:tcBorders>
              <w:top w:val="single" w:sz="4" w:space="0" w:color="7F7F7F" w:themeColor="text1" w:themeTint="80"/>
              <w:bottom w:val="single" w:sz="4" w:space="0" w:color="7F7F7F" w:themeColor="text1" w:themeTint="80"/>
            </w:tcBorders>
            <w:shd w:val="clear" w:color="auto" w:fill="auto"/>
          </w:tcPr>
          <w:p w:rsidR="00860150" w:rsidRPr="00FA1AA6" w:rsidRDefault="00860150" w:rsidP="001B037B">
            <w:pPr>
              <w:spacing w:before="40" w:after="40"/>
              <w:rPr>
                <w:rFonts w:eastAsia="Times New Roman" w:cs="Times New Roman"/>
                <w:b/>
                <w:color w:val="FF0000"/>
                <w:lang w:eastAsia="cs-CZ"/>
              </w:rPr>
            </w:pPr>
            <w:r w:rsidRPr="00EE0310">
              <w:rPr>
                <w:rFonts w:eastAsia="Times New Roman" w:cs="Times New Roman"/>
                <w:b/>
                <w:lang w:eastAsia="cs-CZ"/>
              </w:rPr>
              <w:t xml:space="preserve">CEF kohezní (SFDI) </w:t>
            </w:r>
          </w:p>
        </w:tc>
        <w:tc>
          <w:tcPr>
            <w:tcW w:w="796" w:type="pct"/>
            <w:tcBorders>
              <w:top w:val="single" w:sz="4" w:space="0" w:color="7F7F7F" w:themeColor="text1" w:themeTint="80"/>
              <w:bottom w:val="single" w:sz="4" w:space="0" w:color="7F7F7F" w:themeColor="text1" w:themeTint="80"/>
            </w:tcBorders>
            <w:shd w:val="clear" w:color="auto" w:fill="auto"/>
            <w:vAlign w:val="center"/>
          </w:tcPr>
          <w:p w:rsidR="00860150" w:rsidRPr="00EE0310" w:rsidRDefault="00860150" w:rsidP="001B037B">
            <w:pPr>
              <w:spacing w:before="40" w:after="40"/>
              <w:jc w:val="right"/>
              <w:rPr>
                <w:rFonts w:eastAsia="Times New Roman" w:cs="Times New Roman"/>
                <w:b/>
                <w:lang w:eastAsia="cs-CZ"/>
              </w:rPr>
            </w:pPr>
            <w:r w:rsidRPr="00EE0310">
              <w:rPr>
                <w:rFonts w:eastAsia="Times New Roman" w:cs="Times New Roman"/>
                <w:b/>
                <w:lang w:eastAsia="cs-CZ"/>
              </w:rPr>
              <w:t>5 334 140</w:t>
            </w:r>
          </w:p>
        </w:tc>
        <w:tc>
          <w:tcPr>
            <w:tcW w:w="796" w:type="pct"/>
            <w:tcBorders>
              <w:top w:val="single" w:sz="4" w:space="0" w:color="7F7F7F" w:themeColor="text1" w:themeTint="80"/>
              <w:bottom w:val="single" w:sz="4" w:space="0" w:color="7F7F7F" w:themeColor="text1" w:themeTint="80"/>
            </w:tcBorders>
            <w:shd w:val="clear" w:color="auto" w:fill="auto"/>
            <w:vAlign w:val="center"/>
          </w:tcPr>
          <w:p w:rsidR="00860150" w:rsidRPr="00EE0310" w:rsidRDefault="00860150" w:rsidP="001B037B">
            <w:pPr>
              <w:spacing w:before="40" w:after="40"/>
              <w:ind w:firstLine="539"/>
              <w:jc w:val="right"/>
              <w:rPr>
                <w:rFonts w:eastAsia="Times New Roman" w:cs="Times New Roman"/>
                <w:b/>
                <w:lang w:eastAsia="cs-CZ"/>
              </w:rPr>
            </w:pPr>
            <w:r w:rsidRPr="00EE0310">
              <w:rPr>
                <w:rFonts w:eastAsia="Times New Roman" w:cs="Times New Roman"/>
                <w:b/>
                <w:lang w:eastAsia="cs-CZ"/>
              </w:rPr>
              <w:t>0</w:t>
            </w:r>
          </w:p>
        </w:tc>
        <w:tc>
          <w:tcPr>
            <w:tcW w:w="797" w:type="pct"/>
            <w:tcBorders>
              <w:top w:val="single" w:sz="4" w:space="0" w:color="7F7F7F" w:themeColor="text1" w:themeTint="80"/>
              <w:bottom w:val="single" w:sz="4" w:space="0" w:color="7F7F7F" w:themeColor="text1" w:themeTint="80"/>
            </w:tcBorders>
            <w:shd w:val="clear" w:color="auto" w:fill="auto"/>
            <w:vAlign w:val="center"/>
          </w:tcPr>
          <w:p w:rsidR="00860150" w:rsidRPr="00EE0310" w:rsidRDefault="00860150" w:rsidP="001B037B">
            <w:pPr>
              <w:spacing w:before="40" w:after="40"/>
              <w:jc w:val="right"/>
              <w:rPr>
                <w:rFonts w:eastAsia="Times New Roman" w:cs="Times New Roman"/>
                <w:b/>
                <w:lang w:eastAsia="cs-CZ"/>
              </w:rPr>
            </w:pPr>
            <w:r w:rsidRPr="00EE0310">
              <w:rPr>
                <w:rFonts w:eastAsia="Times New Roman" w:cs="Times New Roman"/>
                <w:b/>
                <w:lang w:eastAsia="cs-CZ"/>
              </w:rPr>
              <w:t>5 334 140</w:t>
            </w:r>
          </w:p>
        </w:tc>
      </w:tr>
      <w:tr w:rsidR="00860150" w:rsidRPr="00FA1AA6" w:rsidTr="001B037B">
        <w:trPr>
          <w:jc w:val="center"/>
        </w:trPr>
        <w:tc>
          <w:tcPr>
            <w:tcW w:w="2611" w:type="pct"/>
            <w:tcBorders>
              <w:top w:val="single" w:sz="4" w:space="0" w:color="7F7F7F" w:themeColor="text1" w:themeTint="80"/>
            </w:tcBorders>
            <w:shd w:val="clear" w:color="auto" w:fill="auto"/>
          </w:tcPr>
          <w:p w:rsidR="00860150" w:rsidRPr="00615225" w:rsidRDefault="00860150" w:rsidP="001B037B">
            <w:pPr>
              <w:spacing w:before="40" w:after="40"/>
              <w:ind w:left="313"/>
              <w:rPr>
                <w:rFonts w:eastAsia="Times New Roman" w:cs="Times New Roman"/>
                <w:i/>
                <w:lang w:eastAsia="cs-CZ"/>
              </w:rPr>
            </w:pPr>
            <w:r>
              <w:rPr>
                <w:rFonts w:eastAsia="Times New Roman" w:cs="Times New Roman"/>
                <w:i/>
                <w:lang w:eastAsia="cs-CZ"/>
              </w:rPr>
              <w:t>v tom</w:t>
            </w:r>
            <w:r w:rsidRPr="00615225">
              <w:rPr>
                <w:rFonts w:eastAsia="Times New Roman" w:cs="Times New Roman"/>
                <w:i/>
                <w:lang w:eastAsia="cs-CZ"/>
              </w:rPr>
              <w:t>: program 127 77 Pod. fin. dopravy</w:t>
            </w:r>
          </w:p>
        </w:tc>
        <w:tc>
          <w:tcPr>
            <w:tcW w:w="796" w:type="pct"/>
            <w:tcBorders>
              <w:top w:val="single" w:sz="4" w:space="0" w:color="7F7F7F" w:themeColor="text1" w:themeTint="80"/>
            </w:tcBorders>
            <w:shd w:val="clear" w:color="auto" w:fill="auto"/>
            <w:vAlign w:val="center"/>
          </w:tcPr>
          <w:p w:rsidR="00860150" w:rsidRPr="00615225" w:rsidRDefault="00860150" w:rsidP="001B037B">
            <w:pPr>
              <w:spacing w:before="40" w:after="40"/>
              <w:jc w:val="right"/>
              <w:rPr>
                <w:rFonts w:eastAsia="Times New Roman" w:cs="Times New Roman"/>
                <w:i/>
                <w:lang w:eastAsia="cs-CZ"/>
              </w:rPr>
            </w:pPr>
            <w:r w:rsidRPr="00615225">
              <w:rPr>
                <w:rFonts w:eastAsia="Times New Roman" w:cs="Times New Roman"/>
                <w:i/>
                <w:lang w:eastAsia="cs-CZ"/>
              </w:rPr>
              <w:t>5 334 140</w:t>
            </w:r>
          </w:p>
        </w:tc>
        <w:tc>
          <w:tcPr>
            <w:tcW w:w="796" w:type="pct"/>
            <w:tcBorders>
              <w:top w:val="single" w:sz="4" w:space="0" w:color="7F7F7F" w:themeColor="text1" w:themeTint="80"/>
            </w:tcBorders>
            <w:shd w:val="clear" w:color="auto" w:fill="auto"/>
            <w:vAlign w:val="center"/>
          </w:tcPr>
          <w:p w:rsidR="00860150" w:rsidRPr="00615225" w:rsidRDefault="00860150" w:rsidP="001B037B">
            <w:pPr>
              <w:spacing w:before="40" w:after="40"/>
              <w:ind w:firstLine="539"/>
              <w:jc w:val="right"/>
              <w:rPr>
                <w:rFonts w:eastAsia="Times New Roman" w:cs="Times New Roman"/>
                <w:i/>
                <w:lang w:eastAsia="cs-CZ"/>
              </w:rPr>
            </w:pPr>
            <w:r w:rsidRPr="00615225">
              <w:rPr>
                <w:rFonts w:eastAsia="Times New Roman" w:cs="Times New Roman"/>
                <w:i/>
                <w:lang w:eastAsia="cs-CZ"/>
              </w:rPr>
              <w:t>0</w:t>
            </w:r>
          </w:p>
        </w:tc>
        <w:tc>
          <w:tcPr>
            <w:tcW w:w="797" w:type="pct"/>
            <w:tcBorders>
              <w:top w:val="single" w:sz="4" w:space="0" w:color="7F7F7F" w:themeColor="text1" w:themeTint="80"/>
            </w:tcBorders>
            <w:shd w:val="clear" w:color="auto" w:fill="auto"/>
            <w:vAlign w:val="center"/>
          </w:tcPr>
          <w:p w:rsidR="00860150" w:rsidRPr="00615225" w:rsidRDefault="00860150" w:rsidP="001B037B">
            <w:pPr>
              <w:spacing w:before="40" w:after="40"/>
              <w:jc w:val="right"/>
              <w:rPr>
                <w:rFonts w:eastAsia="Times New Roman" w:cs="Times New Roman"/>
                <w:i/>
                <w:lang w:eastAsia="cs-CZ"/>
              </w:rPr>
            </w:pPr>
            <w:r w:rsidRPr="00615225">
              <w:rPr>
                <w:rFonts w:eastAsia="Times New Roman" w:cs="Times New Roman"/>
                <w:i/>
                <w:lang w:eastAsia="cs-CZ"/>
              </w:rPr>
              <w:t>5 334 140</w:t>
            </w:r>
          </w:p>
        </w:tc>
      </w:tr>
    </w:tbl>
    <w:p w:rsidR="00860150" w:rsidRPr="00EE0310" w:rsidRDefault="00860150" w:rsidP="000D634C">
      <w:pPr>
        <w:pStyle w:val="Nadpis7"/>
      </w:pPr>
      <w:r w:rsidRPr="00EE0310">
        <w:t>b) CEF TP</w:t>
      </w:r>
    </w:p>
    <w:p w:rsidR="00860150" w:rsidRPr="007E0F6E" w:rsidRDefault="00860150" w:rsidP="00860150">
      <w:pPr>
        <w:pStyle w:val="Styl1"/>
      </w:pPr>
      <w:r w:rsidRPr="007E0F6E">
        <w:t xml:space="preserve">Cílem uvedeného projektu je podpořit schopnost České republiky v přípravě a následné implementaci infrastrukturních projektů na území ČR, které jsou součástí TEN-T a jsou </w:t>
      </w:r>
      <w:r w:rsidRPr="007E0F6E">
        <w:br/>
        <w:t>v takovém stadiu přípravy, aby bylo prokazatelné, že jejich realizace bude pro EU představovat přidanou hodnotu.</w:t>
      </w:r>
    </w:p>
    <w:p w:rsidR="00860150" w:rsidRPr="007E0F6E" w:rsidRDefault="00860150" w:rsidP="00860150">
      <w:pPr>
        <w:pStyle w:val="Styl1"/>
      </w:pPr>
      <w:r w:rsidRPr="007E0F6E">
        <w:t xml:space="preserve">Uvedený cíl bude naplněn prostřednictvím podpory útvarů MD, které jsou zapojeny do přípravy </w:t>
      </w:r>
      <w:r w:rsidRPr="007E0F6E">
        <w:br/>
        <w:t xml:space="preserve">a následné realizace uvedených projektů, přičemž tato podpora bude směřovat do zkvalitnění jejich personální kapacity, kvality a efektivnosti při činnostech souvisejících s přípravou </w:t>
      </w:r>
      <w:r w:rsidRPr="007E0F6E">
        <w:br/>
        <w:t xml:space="preserve">a implementací uvedených projektů a z toho vyplývajícího urychlení rozvoje core TEN-T </w:t>
      </w:r>
      <w:r w:rsidRPr="007E0F6E">
        <w:br/>
        <w:t xml:space="preserve">na území ČR. </w:t>
      </w:r>
    </w:p>
    <w:p w:rsidR="00860150" w:rsidRPr="007E0F6E" w:rsidRDefault="00860150" w:rsidP="00860150">
      <w:pPr>
        <w:pStyle w:val="Styl1"/>
      </w:pPr>
      <w:r w:rsidRPr="007E0F6E">
        <w:t>Konkrétně se jedná o následující aktivity:</w:t>
      </w:r>
    </w:p>
    <w:p w:rsidR="00860150" w:rsidRPr="007E0F6E" w:rsidRDefault="00860150" w:rsidP="00860150">
      <w:pPr>
        <w:pStyle w:val="Styl1"/>
        <w:numPr>
          <w:ilvl w:val="0"/>
          <w:numId w:val="37"/>
        </w:numPr>
        <w:spacing w:before="0" w:after="0"/>
        <w:ind w:left="714" w:hanging="357"/>
      </w:pPr>
      <w:r w:rsidRPr="007E0F6E">
        <w:t xml:space="preserve">Příprava a posouzení projektových žádostí způsobilých k financování v rámci CEF </w:t>
      </w:r>
    </w:p>
    <w:p w:rsidR="00860150" w:rsidRPr="007E0F6E" w:rsidRDefault="00860150" w:rsidP="00860150">
      <w:pPr>
        <w:pStyle w:val="Styl1"/>
        <w:numPr>
          <w:ilvl w:val="0"/>
          <w:numId w:val="37"/>
        </w:numPr>
        <w:spacing w:before="0" w:after="0"/>
        <w:ind w:left="714" w:hanging="357"/>
      </w:pPr>
      <w:r w:rsidRPr="007E0F6E">
        <w:t>Zajištění procesů implementace projektů CEF</w:t>
      </w:r>
    </w:p>
    <w:p w:rsidR="00860150" w:rsidRPr="007E0F6E" w:rsidRDefault="00860150" w:rsidP="00860150">
      <w:pPr>
        <w:pStyle w:val="Styl1"/>
        <w:numPr>
          <w:ilvl w:val="0"/>
          <w:numId w:val="37"/>
        </w:numPr>
        <w:spacing w:before="0" w:after="0"/>
        <w:ind w:left="714" w:hanging="357"/>
      </w:pPr>
      <w:r w:rsidRPr="007E0F6E">
        <w:t>Rozšiřování povědomí o nástroji CEF a komunikace s žadateli, příjemci a odbornou veřejností</w:t>
      </w:r>
    </w:p>
    <w:p w:rsidR="00860150" w:rsidRPr="007E0F6E" w:rsidRDefault="00860150" w:rsidP="00860150">
      <w:pPr>
        <w:pStyle w:val="Styl1"/>
        <w:numPr>
          <w:ilvl w:val="0"/>
          <w:numId w:val="37"/>
        </w:numPr>
        <w:spacing w:before="0" w:after="0"/>
        <w:ind w:left="714" w:hanging="357"/>
      </w:pPr>
      <w:r w:rsidRPr="007E0F6E">
        <w:t>Hrazení cestovních nákladů spojených s jednáními v oblasti CEF</w:t>
      </w:r>
    </w:p>
    <w:p w:rsidR="00860150" w:rsidRPr="007E0F6E" w:rsidRDefault="00860150" w:rsidP="00860150">
      <w:pPr>
        <w:pStyle w:val="Styl1"/>
      </w:pPr>
      <w:r w:rsidRPr="007E0F6E">
        <w:t xml:space="preserve">Projekt TP CEF je financován v rámci finančního nástroje CEF 2014+ a bude ukončen </w:t>
      </w:r>
      <w:r w:rsidRPr="007E0F6E">
        <w:br/>
        <w:t>k 31. 12. 2021.</w:t>
      </w:r>
    </w:p>
    <w:p w:rsidR="00860150" w:rsidRPr="004F57C7" w:rsidRDefault="00860150" w:rsidP="00860150">
      <w:pPr>
        <w:pStyle w:val="Titulek"/>
        <w:keepNext/>
      </w:pPr>
      <w:r w:rsidRPr="004F57C7">
        <w:t xml:space="preserve">Tabulka č. </w:t>
      </w:r>
      <w:r w:rsidRPr="004F57C7">
        <w:rPr>
          <w:noProof/>
        </w:rPr>
        <w:fldChar w:fldCharType="begin"/>
      </w:r>
      <w:r w:rsidRPr="004F57C7">
        <w:rPr>
          <w:noProof/>
        </w:rPr>
        <w:instrText xml:space="preserve"> SEQ Tabulka \* ARABIC </w:instrText>
      </w:r>
      <w:r w:rsidRPr="004F57C7">
        <w:rPr>
          <w:noProof/>
        </w:rPr>
        <w:fldChar w:fldCharType="separate"/>
      </w:r>
      <w:r w:rsidR="006076E7">
        <w:rPr>
          <w:noProof/>
        </w:rPr>
        <w:t>49</w:t>
      </w:r>
      <w:r w:rsidRPr="004F57C7">
        <w:rPr>
          <w:noProof/>
        </w:rPr>
        <w:fldChar w:fldCharType="end"/>
      </w:r>
      <w:r w:rsidRPr="004F57C7">
        <w:rPr>
          <w:noProof/>
        </w:rPr>
        <w:t xml:space="preserve"> Komunitární program CEF – Technická pomoc (v tis. Kč)</w:t>
      </w:r>
    </w:p>
    <w:tbl>
      <w:tblPr>
        <w:tblW w:w="502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28"/>
        <w:gridCol w:w="1455"/>
        <w:gridCol w:w="1455"/>
        <w:gridCol w:w="1455"/>
      </w:tblGrid>
      <w:tr w:rsidR="00860150" w:rsidRPr="00FA1AA6" w:rsidTr="001B037B">
        <w:trPr>
          <w:trHeight w:val="282"/>
          <w:jc w:val="center"/>
        </w:trPr>
        <w:tc>
          <w:tcPr>
            <w:tcW w:w="26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4F57C7" w:rsidRDefault="00860150" w:rsidP="001B037B">
            <w:pPr>
              <w:spacing w:before="40" w:after="40"/>
              <w:rPr>
                <w:rFonts w:eastAsia="Times New Roman" w:cs="Times New Roman"/>
                <w:b/>
                <w:lang w:eastAsia="cs-CZ"/>
              </w:rPr>
            </w:pPr>
            <w:r w:rsidRPr="004F57C7">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4F57C7" w:rsidRDefault="00860150" w:rsidP="001B037B">
            <w:pPr>
              <w:spacing w:before="40" w:after="40"/>
              <w:ind w:firstLine="539"/>
              <w:rPr>
                <w:rFonts w:eastAsia="Times New Roman" w:cs="Times New Roman"/>
                <w:b/>
                <w:lang w:eastAsia="cs-CZ"/>
              </w:rPr>
            </w:pPr>
            <w:r w:rsidRPr="004F57C7">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4F57C7" w:rsidRDefault="00860150" w:rsidP="001B037B">
            <w:pPr>
              <w:spacing w:before="40" w:after="40"/>
              <w:ind w:firstLine="539"/>
              <w:rPr>
                <w:rFonts w:eastAsia="Times New Roman" w:cs="Times New Roman"/>
                <w:b/>
                <w:lang w:eastAsia="cs-CZ"/>
              </w:rPr>
            </w:pPr>
            <w:r w:rsidRPr="004F57C7">
              <w:rPr>
                <w:rFonts w:eastAsia="Times New Roman" w:cs="Times New Roman"/>
                <w:b/>
                <w:lang w:eastAsia="cs-CZ"/>
              </w:rPr>
              <w:t>SR</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4F57C7" w:rsidRDefault="00860150" w:rsidP="001B037B">
            <w:pPr>
              <w:spacing w:before="40" w:after="40"/>
              <w:jc w:val="center"/>
              <w:rPr>
                <w:rFonts w:eastAsia="Times New Roman" w:cs="Times New Roman"/>
                <w:b/>
                <w:lang w:eastAsia="cs-CZ"/>
              </w:rPr>
            </w:pPr>
            <w:r w:rsidRPr="004F57C7">
              <w:rPr>
                <w:rFonts w:eastAsia="Times New Roman" w:cs="Times New Roman"/>
                <w:b/>
                <w:lang w:eastAsia="cs-CZ"/>
              </w:rPr>
              <w:t>Celkem</w:t>
            </w:r>
          </w:p>
        </w:tc>
      </w:tr>
      <w:tr w:rsidR="00860150" w:rsidRPr="00FA1AA6" w:rsidTr="001B037B">
        <w:trPr>
          <w:jc w:val="center"/>
        </w:trPr>
        <w:tc>
          <w:tcPr>
            <w:tcW w:w="2600" w:type="pct"/>
            <w:shd w:val="clear" w:color="auto" w:fill="auto"/>
          </w:tcPr>
          <w:p w:rsidR="00860150" w:rsidRPr="00FA1AA6" w:rsidRDefault="00860150" w:rsidP="001B037B">
            <w:pPr>
              <w:spacing w:before="40" w:after="40"/>
              <w:rPr>
                <w:rFonts w:eastAsia="Times New Roman" w:cs="Times New Roman"/>
                <w:color w:val="FF0000"/>
                <w:lang w:eastAsia="cs-CZ"/>
              </w:rPr>
            </w:pPr>
            <w:r w:rsidRPr="004F57C7">
              <w:rPr>
                <w:rFonts w:eastAsia="Times New Roman" w:cs="Times New Roman"/>
                <w:lang w:eastAsia="cs-CZ"/>
              </w:rPr>
              <w:t>CEF TP (ÚO MD)</w:t>
            </w:r>
          </w:p>
        </w:tc>
        <w:tc>
          <w:tcPr>
            <w:tcW w:w="800" w:type="pct"/>
            <w:shd w:val="clear" w:color="auto" w:fill="auto"/>
            <w:vAlign w:val="center"/>
          </w:tcPr>
          <w:p w:rsidR="00860150" w:rsidRPr="004F57C7" w:rsidRDefault="008623D0" w:rsidP="001B037B">
            <w:pPr>
              <w:spacing w:before="60" w:after="60"/>
              <w:ind w:firstLine="539"/>
              <w:jc w:val="right"/>
              <w:rPr>
                <w:rFonts w:eastAsia="Times New Roman" w:cs="Times New Roman"/>
                <w:lang w:eastAsia="cs-CZ"/>
              </w:rPr>
            </w:pPr>
            <w:r>
              <w:rPr>
                <w:rFonts w:eastAsia="Times New Roman" w:cs="Times New Roman"/>
                <w:lang w:eastAsia="cs-CZ"/>
              </w:rPr>
              <w:t>4 251</w:t>
            </w:r>
          </w:p>
        </w:tc>
        <w:tc>
          <w:tcPr>
            <w:tcW w:w="800" w:type="pct"/>
            <w:shd w:val="clear" w:color="auto" w:fill="auto"/>
            <w:vAlign w:val="center"/>
          </w:tcPr>
          <w:p w:rsidR="00860150" w:rsidRPr="004F57C7" w:rsidRDefault="00860150" w:rsidP="001B037B">
            <w:pPr>
              <w:spacing w:before="60" w:after="60"/>
              <w:ind w:firstLine="539"/>
              <w:jc w:val="right"/>
              <w:rPr>
                <w:rFonts w:eastAsia="Times New Roman" w:cs="Times New Roman"/>
                <w:lang w:eastAsia="cs-CZ"/>
              </w:rPr>
            </w:pPr>
            <w:r w:rsidRPr="004F57C7">
              <w:rPr>
                <w:rFonts w:eastAsia="Times New Roman" w:cs="Times New Roman"/>
                <w:lang w:eastAsia="cs-CZ"/>
              </w:rPr>
              <w:t>90</w:t>
            </w:r>
          </w:p>
        </w:tc>
        <w:tc>
          <w:tcPr>
            <w:tcW w:w="800" w:type="pct"/>
            <w:shd w:val="clear" w:color="auto" w:fill="auto"/>
            <w:vAlign w:val="center"/>
          </w:tcPr>
          <w:p w:rsidR="00860150" w:rsidRPr="004F57C7" w:rsidRDefault="008623D0" w:rsidP="001B037B">
            <w:pPr>
              <w:spacing w:before="60" w:after="60"/>
              <w:jc w:val="right"/>
              <w:rPr>
                <w:rFonts w:eastAsia="Times New Roman" w:cs="Times New Roman"/>
                <w:b/>
                <w:lang w:eastAsia="cs-CZ"/>
              </w:rPr>
            </w:pPr>
            <w:r>
              <w:rPr>
                <w:rFonts w:eastAsia="Times New Roman" w:cs="Times New Roman"/>
                <w:b/>
                <w:lang w:eastAsia="cs-CZ"/>
              </w:rPr>
              <w:t>4 341</w:t>
            </w:r>
          </w:p>
        </w:tc>
      </w:tr>
    </w:tbl>
    <w:p w:rsidR="00860150" w:rsidRPr="000D634C" w:rsidRDefault="00860150" w:rsidP="000D634C">
      <w:pPr>
        <w:pStyle w:val="Nadpis7"/>
      </w:pPr>
      <w:r w:rsidRPr="000D634C">
        <w:lastRenderedPageBreak/>
        <w:t>c) CEF Crocodile 3</w:t>
      </w:r>
    </w:p>
    <w:p w:rsidR="00860150" w:rsidRDefault="00860150" w:rsidP="00860150">
      <w:pPr>
        <w:pStyle w:val="Styl1"/>
      </w:pPr>
      <w:r w:rsidRPr="00886EBF">
        <w:t xml:space="preserve">Projekt CROCODILE 3 je evropský projekt spolufinancovaný z fondu CEF, který navazuje </w:t>
      </w:r>
      <w:r w:rsidRPr="00886EBF">
        <w:br/>
        <w:t xml:space="preserve">na projekt společného zájmu CROCODILE 2. Projekt CROCODILE 3 zajišťuje společný postup České republiky (dále jen „ČR“), Rakouska, Německa, Slovenska, Polska, Maďarska, Slovinska, Chorvatska, Itálie, Rumunska, Bulharska, Řecka a Kypru při zajištění poskytování minimálních dopravních informací, poskytování informací o parkování nákladních vozidel </w:t>
      </w:r>
      <w:r w:rsidRPr="00886EBF">
        <w:br/>
        <w:t xml:space="preserve">a informací o dopravním provozu v reálném čase. Návrh projektu CROCODILE 3 je připravován pod koordinací státní organizací AustriaTech – Gesellschaft des Bundes für technologiepolitische Maßnahmen GmbH, přičemž projekt se bude zaměřovat především </w:t>
      </w:r>
      <w:r w:rsidRPr="00886EBF">
        <w:br/>
        <w:t xml:space="preserve">na dokončení implementace formátu DATEX II pro výměnu dostupných dopravních dat </w:t>
      </w:r>
      <w:r w:rsidRPr="00886EBF">
        <w:br/>
        <w:t xml:space="preserve">a na zřízení národního přístupového místa pro sběr, zpracování a poskytování dopravních informačních služeb koncovým uživatelům sousedních států. Dále se připravovaný projekt zaměří na proces ověřování shody v souladu s požadavky podle technických a právních předpisů EU. Projekt CROCODILE 3 se bude zaměřovat zejména na implementaci Nařízení EK č. 2015/962 na zajištění výměny přesných a spolehlivých dat o silničním provozu </w:t>
      </w:r>
      <w:r w:rsidRPr="00886EBF">
        <w:br/>
        <w:t>a o parkovacích plochách v reálném čase mezi správci silniční sítě včetně možnosti předání těchto dat soukromým subjektům. Dále budou zpracovány plány pro řízení přeshraničního provozu (v případě ČR se sousedními zeměmi).</w:t>
      </w:r>
    </w:p>
    <w:p w:rsidR="00860150" w:rsidRPr="00886EBF" w:rsidRDefault="00860150" w:rsidP="00860150">
      <w:pPr>
        <w:pStyle w:val="Styl1"/>
      </w:pPr>
      <w:r w:rsidRPr="00886EBF">
        <w:t>Mezi závazky MD pro zajištění realizace projektu EU CROCODILE 3 na území České republiky patří zajištění administrativní stránky projektu, koordinace prací na mezinárodní i národní úrovni, identifikace možných problémů a návrhy na jejich vyřešení, zpracování zpráv o dosaženém pokroku a poskytnutí informací požadovaných Evropskou komisí nebo mezinárodním koordinátorem projektu CROCODILE 3.</w:t>
      </w:r>
    </w:p>
    <w:p w:rsidR="00860150" w:rsidRPr="00886EBF" w:rsidRDefault="00860150" w:rsidP="00860150">
      <w:pPr>
        <w:pStyle w:val="Styl1"/>
      </w:pPr>
      <w:r w:rsidRPr="00886EBF">
        <w:t xml:space="preserve">Délka trvání projektu byla původně v délce 36 měsíců a počítá se už od 1. 1. 2018, tedy konec projektu se předpokládal k 31. 12. 2020. V roce 2020 bylo požádáno o prodloužení projektu do k 31. 12. 2021. </w:t>
      </w:r>
    </w:p>
    <w:p w:rsidR="00860150" w:rsidRPr="00886EBF" w:rsidRDefault="00860150" w:rsidP="00860150">
      <w:pPr>
        <w:pStyle w:val="Titulek"/>
        <w:keepNext/>
      </w:pPr>
      <w:r w:rsidRPr="00886EBF">
        <w:t xml:space="preserve">Tabulka č. </w:t>
      </w:r>
      <w:r w:rsidRPr="00886EBF">
        <w:rPr>
          <w:noProof/>
        </w:rPr>
        <w:fldChar w:fldCharType="begin"/>
      </w:r>
      <w:r w:rsidRPr="00886EBF">
        <w:rPr>
          <w:noProof/>
        </w:rPr>
        <w:instrText xml:space="preserve"> SEQ Tabulka \* ARABIC </w:instrText>
      </w:r>
      <w:r w:rsidRPr="00886EBF">
        <w:rPr>
          <w:noProof/>
        </w:rPr>
        <w:fldChar w:fldCharType="separate"/>
      </w:r>
      <w:r w:rsidR="006076E7">
        <w:rPr>
          <w:noProof/>
        </w:rPr>
        <w:t>50</w:t>
      </w:r>
      <w:r w:rsidRPr="00886EBF">
        <w:rPr>
          <w:noProof/>
        </w:rPr>
        <w:fldChar w:fldCharType="end"/>
      </w:r>
      <w:r w:rsidRPr="00886EBF">
        <w:rPr>
          <w:noProof/>
        </w:rPr>
        <w:t xml:space="preserve"> Komunitární program CEF Crocodile 3 (v tis. Kč)</w:t>
      </w:r>
    </w:p>
    <w:tbl>
      <w:tblPr>
        <w:tblW w:w="502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28"/>
        <w:gridCol w:w="1455"/>
        <w:gridCol w:w="1455"/>
        <w:gridCol w:w="1455"/>
      </w:tblGrid>
      <w:tr w:rsidR="00860150" w:rsidRPr="00FA1AA6" w:rsidTr="001B037B">
        <w:trPr>
          <w:jc w:val="center"/>
        </w:trPr>
        <w:tc>
          <w:tcPr>
            <w:tcW w:w="26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886EBF" w:rsidRDefault="00860150" w:rsidP="001B037B">
            <w:pPr>
              <w:spacing w:before="40" w:after="40"/>
              <w:rPr>
                <w:rFonts w:eastAsia="Times New Roman" w:cs="Times New Roman"/>
                <w:b/>
                <w:lang w:eastAsia="cs-CZ"/>
              </w:rPr>
            </w:pPr>
            <w:r w:rsidRPr="00886EBF">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886EBF" w:rsidRDefault="00860150" w:rsidP="001B037B">
            <w:pPr>
              <w:spacing w:before="40" w:after="40"/>
              <w:ind w:firstLine="539"/>
              <w:rPr>
                <w:rFonts w:eastAsia="Times New Roman" w:cs="Times New Roman"/>
                <w:b/>
                <w:lang w:eastAsia="cs-CZ"/>
              </w:rPr>
            </w:pPr>
            <w:r w:rsidRPr="00886EBF">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886EBF" w:rsidRDefault="00860150" w:rsidP="001B037B">
            <w:pPr>
              <w:spacing w:before="40" w:after="40"/>
              <w:ind w:firstLine="539"/>
              <w:rPr>
                <w:rFonts w:eastAsia="Times New Roman" w:cs="Times New Roman"/>
                <w:b/>
                <w:lang w:eastAsia="cs-CZ"/>
              </w:rPr>
            </w:pPr>
            <w:r w:rsidRPr="00886EBF">
              <w:rPr>
                <w:rFonts w:eastAsia="Times New Roman" w:cs="Times New Roman"/>
                <w:b/>
                <w:lang w:eastAsia="cs-CZ"/>
              </w:rPr>
              <w:t>SR</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886EBF" w:rsidRDefault="00860150" w:rsidP="001B037B">
            <w:pPr>
              <w:spacing w:before="40" w:after="40"/>
              <w:jc w:val="center"/>
              <w:rPr>
                <w:rFonts w:eastAsia="Times New Roman" w:cs="Times New Roman"/>
                <w:b/>
                <w:lang w:eastAsia="cs-CZ"/>
              </w:rPr>
            </w:pPr>
            <w:r w:rsidRPr="00886EBF">
              <w:rPr>
                <w:rFonts w:eastAsia="Times New Roman" w:cs="Times New Roman"/>
                <w:b/>
                <w:lang w:eastAsia="cs-CZ"/>
              </w:rPr>
              <w:t>Celkem</w:t>
            </w:r>
          </w:p>
        </w:tc>
      </w:tr>
      <w:tr w:rsidR="00860150" w:rsidRPr="00FA1AA6" w:rsidTr="001B037B">
        <w:trPr>
          <w:jc w:val="center"/>
        </w:trPr>
        <w:tc>
          <w:tcPr>
            <w:tcW w:w="2600" w:type="pct"/>
            <w:tcBorders>
              <w:top w:val="single" w:sz="4" w:space="0" w:color="7F7F7F" w:themeColor="text1" w:themeTint="80"/>
            </w:tcBorders>
            <w:shd w:val="clear" w:color="auto" w:fill="auto"/>
          </w:tcPr>
          <w:p w:rsidR="00860150" w:rsidRPr="00FA1AA6" w:rsidRDefault="00860150" w:rsidP="001B037B">
            <w:pPr>
              <w:spacing w:before="40" w:after="40"/>
              <w:rPr>
                <w:rFonts w:eastAsia="Times New Roman" w:cs="Times New Roman"/>
                <w:color w:val="FF0000"/>
                <w:lang w:eastAsia="cs-CZ"/>
              </w:rPr>
            </w:pPr>
            <w:r w:rsidRPr="00886EBF">
              <w:rPr>
                <w:rFonts w:eastAsia="Times New Roman" w:cs="Times New Roman"/>
                <w:bCs/>
                <w:lang w:eastAsia="cs-CZ"/>
              </w:rPr>
              <w:t xml:space="preserve">CEF Crocodile 3 </w:t>
            </w:r>
            <w:r w:rsidRPr="00886EBF">
              <w:rPr>
                <w:rFonts w:eastAsia="Times New Roman" w:cs="Times New Roman"/>
                <w:lang w:eastAsia="cs-CZ"/>
              </w:rPr>
              <w:t>(ÚO MD)</w:t>
            </w:r>
            <w:r>
              <w:rPr>
                <w:rFonts w:eastAsia="Times New Roman" w:cs="Times New Roman"/>
                <w:lang w:eastAsia="cs-CZ"/>
              </w:rPr>
              <w:t xml:space="preserve"> </w:t>
            </w:r>
          </w:p>
        </w:tc>
        <w:tc>
          <w:tcPr>
            <w:tcW w:w="800" w:type="pct"/>
            <w:tcBorders>
              <w:top w:val="single" w:sz="4" w:space="0" w:color="7F7F7F" w:themeColor="text1" w:themeTint="80"/>
            </w:tcBorders>
            <w:shd w:val="clear" w:color="auto" w:fill="auto"/>
            <w:vAlign w:val="center"/>
          </w:tcPr>
          <w:p w:rsidR="00860150" w:rsidRPr="00FA1AA6" w:rsidRDefault="00860150" w:rsidP="001B037B">
            <w:pPr>
              <w:spacing w:before="40" w:after="40"/>
              <w:ind w:firstLine="539"/>
              <w:jc w:val="right"/>
              <w:rPr>
                <w:rFonts w:eastAsia="Times New Roman" w:cs="Times New Roman"/>
                <w:color w:val="FF0000"/>
                <w:lang w:eastAsia="cs-CZ"/>
              </w:rPr>
            </w:pPr>
            <w:r w:rsidRPr="00886EBF">
              <w:rPr>
                <w:rFonts w:eastAsia="Times New Roman" w:cs="Times New Roman"/>
                <w:lang w:eastAsia="cs-CZ"/>
              </w:rPr>
              <w:t>26</w:t>
            </w:r>
          </w:p>
        </w:tc>
        <w:tc>
          <w:tcPr>
            <w:tcW w:w="800" w:type="pct"/>
            <w:tcBorders>
              <w:top w:val="single" w:sz="4" w:space="0" w:color="7F7F7F" w:themeColor="text1" w:themeTint="80"/>
            </w:tcBorders>
            <w:shd w:val="clear" w:color="auto" w:fill="auto"/>
            <w:vAlign w:val="center"/>
          </w:tcPr>
          <w:p w:rsidR="00860150" w:rsidRPr="00FA1AA6" w:rsidRDefault="00860150" w:rsidP="001B037B">
            <w:pPr>
              <w:spacing w:before="40" w:after="40"/>
              <w:ind w:firstLine="539"/>
              <w:jc w:val="right"/>
              <w:rPr>
                <w:rFonts w:eastAsia="Times New Roman" w:cs="Times New Roman"/>
                <w:color w:val="FF0000"/>
                <w:lang w:eastAsia="cs-CZ"/>
              </w:rPr>
            </w:pPr>
            <w:r w:rsidRPr="00886EBF">
              <w:rPr>
                <w:rFonts w:eastAsia="Times New Roman" w:cs="Times New Roman"/>
                <w:lang w:eastAsia="cs-CZ"/>
              </w:rPr>
              <w:t>113</w:t>
            </w:r>
          </w:p>
        </w:tc>
        <w:tc>
          <w:tcPr>
            <w:tcW w:w="800" w:type="pct"/>
            <w:tcBorders>
              <w:top w:val="single" w:sz="4" w:space="0" w:color="7F7F7F" w:themeColor="text1" w:themeTint="80"/>
            </w:tcBorders>
            <w:shd w:val="clear" w:color="auto" w:fill="auto"/>
            <w:vAlign w:val="center"/>
          </w:tcPr>
          <w:p w:rsidR="00860150" w:rsidRPr="00FA1AA6" w:rsidRDefault="00860150" w:rsidP="001B037B">
            <w:pPr>
              <w:spacing w:before="40" w:after="40"/>
              <w:ind w:firstLine="539"/>
              <w:jc w:val="right"/>
              <w:rPr>
                <w:rFonts w:eastAsia="Times New Roman" w:cs="Times New Roman"/>
                <w:b/>
                <w:color w:val="FF0000"/>
                <w:lang w:eastAsia="cs-CZ"/>
              </w:rPr>
            </w:pPr>
            <w:r w:rsidRPr="00886EBF">
              <w:rPr>
                <w:rFonts w:eastAsia="Times New Roman" w:cs="Times New Roman"/>
                <w:b/>
                <w:lang w:eastAsia="cs-CZ"/>
              </w:rPr>
              <w:t>139</w:t>
            </w:r>
          </w:p>
        </w:tc>
      </w:tr>
      <w:tr w:rsidR="00860150" w:rsidRPr="00FA1AA6" w:rsidTr="001B037B">
        <w:trPr>
          <w:jc w:val="center"/>
        </w:trPr>
        <w:tc>
          <w:tcPr>
            <w:tcW w:w="2600" w:type="pct"/>
            <w:tcBorders>
              <w:top w:val="single" w:sz="4" w:space="0" w:color="7F7F7F" w:themeColor="text1" w:themeTint="80"/>
            </w:tcBorders>
            <w:shd w:val="clear" w:color="auto" w:fill="auto"/>
          </w:tcPr>
          <w:p w:rsidR="00860150" w:rsidRPr="00FA1AA6" w:rsidRDefault="00860150" w:rsidP="001B037B">
            <w:pPr>
              <w:spacing w:before="40" w:after="40"/>
              <w:rPr>
                <w:rFonts w:eastAsia="Times New Roman" w:cs="Times New Roman"/>
                <w:bCs/>
                <w:color w:val="FF0000"/>
                <w:lang w:eastAsia="cs-CZ"/>
              </w:rPr>
            </w:pPr>
            <w:r w:rsidRPr="00886EBF">
              <w:rPr>
                <w:rFonts w:eastAsia="Times New Roman" w:cs="Times New Roman"/>
                <w:bCs/>
                <w:lang w:eastAsia="cs-CZ"/>
              </w:rPr>
              <w:t>CEF Crocodile 3 (SFDI)</w:t>
            </w:r>
          </w:p>
        </w:tc>
        <w:tc>
          <w:tcPr>
            <w:tcW w:w="800" w:type="pct"/>
            <w:tcBorders>
              <w:top w:val="single" w:sz="4" w:space="0" w:color="7F7F7F" w:themeColor="text1" w:themeTint="80"/>
            </w:tcBorders>
            <w:shd w:val="clear" w:color="auto" w:fill="auto"/>
            <w:vAlign w:val="center"/>
          </w:tcPr>
          <w:p w:rsidR="00860150" w:rsidRPr="00FA1AA6" w:rsidRDefault="00860150" w:rsidP="001B037B">
            <w:pPr>
              <w:spacing w:before="40" w:after="40"/>
              <w:ind w:firstLine="539"/>
              <w:jc w:val="right"/>
              <w:rPr>
                <w:rFonts w:eastAsia="Times New Roman" w:cs="Times New Roman"/>
                <w:color w:val="FF0000"/>
                <w:lang w:eastAsia="cs-CZ"/>
              </w:rPr>
            </w:pPr>
            <w:r w:rsidRPr="00886EBF">
              <w:rPr>
                <w:rFonts w:eastAsia="Times New Roman" w:cs="Times New Roman"/>
                <w:lang w:eastAsia="cs-CZ"/>
              </w:rPr>
              <w:t>3 200</w:t>
            </w:r>
          </w:p>
        </w:tc>
        <w:tc>
          <w:tcPr>
            <w:tcW w:w="800" w:type="pct"/>
            <w:tcBorders>
              <w:top w:val="single" w:sz="4" w:space="0" w:color="7F7F7F" w:themeColor="text1" w:themeTint="80"/>
            </w:tcBorders>
            <w:shd w:val="clear" w:color="auto" w:fill="auto"/>
            <w:vAlign w:val="center"/>
          </w:tcPr>
          <w:p w:rsidR="00860150" w:rsidRPr="00FA1AA6" w:rsidRDefault="00860150" w:rsidP="001B037B">
            <w:pPr>
              <w:spacing w:before="40" w:after="40"/>
              <w:ind w:firstLine="539"/>
              <w:jc w:val="right"/>
              <w:rPr>
                <w:rFonts w:eastAsia="Times New Roman" w:cs="Times New Roman"/>
                <w:color w:val="FF0000"/>
                <w:lang w:eastAsia="cs-CZ"/>
              </w:rPr>
            </w:pPr>
            <w:r w:rsidRPr="00886EBF">
              <w:rPr>
                <w:rFonts w:eastAsia="Times New Roman" w:cs="Times New Roman"/>
                <w:lang w:eastAsia="cs-CZ"/>
              </w:rPr>
              <w:t>0</w:t>
            </w:r>
          </w:p>
        </w:tc>
        <w:tc>
          <w:tcPr>
            <w:tcW w:w="800" w:type="pct"/>
            <w:tcBorders>
              <w:top w:val="single" w:sz="4" w:space="0" w:color="7F7F7F" w:themeColor="text1" w:themeTint="80"/>
            </w:tcBorders>
            <w:shd w:val="clear" w:color="auto" w:fill="auto"/>
            <w:vAlign w:val="center"/>
          </w:tcPr>
          <w:p w:rsidR="00860150" w:rsidRPr="00FA1AA6" w:rsidRDefault="00860150" w:rsidP="001B037B">
            <w:pPr>
              <w:spacing w:before="40" w:after="40"/>
              <w:ind w:firstLine="539"/>
              <w:jc w:val="right"/>
              <w:rPr>
                <w:rFonts w:eastAsia="Times New Roman" w:cs="Times New Roman"/>
                <w:b/>
                <w:color w:val="FF0000"/>
                <w:lang w:eastAsia="cs-CZ"/>
              </w:rPr>
            </w:pPr>
            <w:r w:rsidRPr="00886EBF">
              <w:rPr>
                <w:rFonts w:eastAsia="Times New Roman" w:cs="Times New Roman"/>
                <w:b/>
                <w:lang w:eastAsia="cs-CZ"/>
              </w:rPr>
              <w:t>3 200</w:t>
            </w:r>
          </w:p>
        </w:tc>
      </w:tr>
      <w:tr w:rsidR="00860150" w:rsidRPr="00FA1AA6" w:rsidTr="001B037B">
        <w:trPr>
          <w:jc w:val="center"/>
        </w:trPr>
        <w:tc>
          <w:tcPr>
            <w:tcW w:w="2600" w:type="pct"/>
            <w:tcBorders>
              <w:top w:val="single" w:sz="4" w:space="0" w:color="7F7F7F" w:themeColor="text1" w:themeTint="80"/>
            </w:tcBorders>
            <w:shd w:val="clear" w:color="auto" w:fill="auto"/>
          </w:tcPr>
          <w:p w:rsidR="00860150" w:rsidRPr="00615225" w:rsidRDefault="00860150" w:rsidP="001B037B">
            <w:pPr>
              <w:spacing w:before="40" w:after="40"/>
              <w:ind w:left="454"/>
              <w:rPr>
                <w:rFonts w:eastAsia="Times New Roman" w:cs="Times New Roman"/>
                <w:bCs/>
                <w:i/>
                <w:lang w:eastAsia="cs-CZ"/>
              </w:rPr>
            </w:pPr>
            <w:r w:rsidRPr="00615225">
              <w:rPr>
                <w:rFonts w:eastAsia="Times New Roman" w:cs="Times New Roman"/>
                <w:i/>
                <w:lang w:eastAsia="cs-CZ"/>
              </w:rPr>
              <w:t>z toho: program 127 77 Pod. fin. dopravy</w:t>
            </w:r>
          </w:p>
        </w:tc>
        <w:tc>
          <w:tcPr>
            <w:tcW w:w="800" w:type="pct"/>
            <w:tcBorders>
              <w:top w:val="single" w:sz="4" w:space="0" w:color="7F7F7F" w:themeColor="text1" w:themeTint="80"/>
            </w:tcBorders>
            <w:shd w:val="clear" w:color="auto" w:fill="auto"/>
            <w:vAlign w:val="center"/>
          </w:tcPr>
          <w:p w:rsidR="00860150" w:rsidRPr="00615225" w:rsidRDefault="00860150" w:rsidP="001B037B">
            <w:pPr>
              <w:spacing w:before="40" w:after="40"/>
              <w:ind w:firstLine="539"/>
              <w:jc w:val="right"/>
              <w:rPr>
                <w:rFonts w:eastAsia="Times New Roman" w:cs="Times New Roman"/>
                <w:i/>
                <w:lang w:eastAsia="cs-CZ"/>
              </w:rPr>
            </w:pPr>
            <w:r w:rsidRPr="00615225">
              <w:rPr>
                <w:rFonts w:eastAsia="Times New Roman" w:cs="Times New Roman"/>
                <w:i/>
                <w:lang w:eastAsia="cs-CZ"/>
              </w:rPr>
              <w:t>3 100</w:t>
            </w:r>
          </w:p>
        </w:tc>
        <w:tc>
          <w:tcPr>
            <w:tcW w:w="800" w:type="pct"/>
            <w:tcBorders>
              <w:top w:val="single" w:sz="4" w:space="0" w:color="7F7F7F" w:themeColor="text1" w:themeTint="80"/>
            </w:tcBorders>
            <w:shd w:val="clear" w:color="auto" w:fill="auto"/>
            <w:vAlign w:val="center"/>
          </w:tcPr>
          <w:p w:rsidR="00860150" w:rsidRPr="00615225" w:rsidRDefault="00860150" w:rsidP="001B037B">
            <w:pPr>
              <w:spacing w:before="40" w:after="40"/>
              <w:ind w:firstLine="539"/>
              <w:jc w:val="right"/>
              <w:rPr>
                <w:rFonts w:eastAsia="Times New Roman" w:cs="Times New Roman"/>
                <w:i/>
                <w:lang w:eastAsia="cs-CZ"/>
              </w:rPr>
            </w:pPr>
            <w:r w:rsidRPr="00615225">
              <w:rPr>
                <w:rFonts w:eastAsia="Times New Roman" w:cs="Times New Roman"/>
                <w:i/>
                <w:lang w:eastAsia="cs-CZ"/>
              </w:rPr>
              <w:t>0</w:t>
            </w:r>
          </w:p>
        </w:tc>
        <w:tc>
          <w:tcPr>
            <w:tcW w:w="800" w:type="pct"/>
            <w:tcBorders>
              <w:top w:val="single" w:sz="4" w:space="0" w:color="7F7F7F" w:themeColor="text1" w:themeTint="80"/>
            </w:tcBorders>
            <w:shd w:val="clear" w:color="auto" w:fill="auto"/>
            <w:vAlign w:val="center"/>
          </w:tcPr>
          <w:p w:rsidR="00860150" w:rsidRPr="00615225" w:rsidRDefault="00860150" w:rsidP="001B037B">
            <w:pPr>
              <w:spacing w:before="40" w:after="40"/>
              <w:ind w:firstLine="539"/>
              <w:jc w:val="right"/>
              <w:rPr>
                <w:rFonts w:eastAsia="Times New Roman" w:cs="Times New Roman"/>
                <w:b/>
                <w:i/>
                <w:lang w:eastAsia="cs-CZ"/>
              </w:rPr>
            </w:pPr>
            <w:r w:rsidRPr="00615225">
              <w:rPr>
                <w:rFonts w:eastAsia="Times New Roman" w:cs="Times New Roman"/>
                <w:b/>
                <w:i/>
                <w:lang w:eastAsia="cs-CZ"/>
              </w:rPr>
              <w:t>3 100</w:t>
            </w:r>
          </w:p>
        </w:tc>
      </w:tr>
      <w:tr w:rsidR="00860150" w:rsidRPr="00FA1AA6" w:rsidTr="001B037B">
        <w:trPr>
          <w:jc w:val="center"/>
        </w:trPr>
        <w:tc>
          <w:tcPr>
            <w:tcW w:w="2600" w:type="pct"/>
            <w:tcBorders>
              <w:top w:val="single" w:sz="8" w:space="0" w:color="7F7F7F" w:themeColor="text1" w:themeTint="80"/>
              <w:bottom w:val="single" w:sz="8" w:space="0" w:color="7F7F7F" w:themeColor="text1" w:themeTint="80"/>
            </w:tcBorders>
            <w:shd w:val="clear" w:color="auto" w:fill="auto"/>
          </w:tcPr>
          <w:p w:rsidR="00860150" w:rsidRPr="00463ABD" w:rsidRDefault="00860150" w:rsidP="001B037B">
            <w:pPr>
              <w:spacing w:before="40" w:after="40"/>
              <w:rPr>
                <w:rFonts w:eastAsia="Times New Roman" w:cs="Times New Roman"/>
                <w:b/>
                <w:bCs/>
                <w:lang w:eastAsia="cs-CZ"/>
              </w:rPr>
            </w:pPr>
            <w:r w:rsidRPr="00463ABD">
              <w:rPr>
                <w:rFonts w:eastAsia="Times New Roman" w:cs="Times New Roman"/>
                <w:b/>
                <w:lang w:eastAsia="cs-CZ"/>
              </w:rPr>
              <w:t>Celkem</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860150" w:rsidRPr="00463ABD" w:rsidRDefault="00860150" w:rsidP="001B037B">
            <w:pPr>
              <w:spacing w:before="40" w:after="40"/>
              <w:ind w:firstLine="539"/>
              <w:jc w:val="right"/>
              <w:rPr>
                <w:rFonts w:eastAsia="Times New Roman" w:cs="Times New Roman"/>
                <w:b/>
                <w:lang w:eastAsia="cs-CZ"/>
              </w:rPr>
            </w:pPr>
            <w:r w:rsidRPr="00463ABD">
              <w:rPr>
                <w:rFonts w:eastAsia="Times New Roman" w:cs="Times New Roman"/>
                <w:b/>
                <w:lang w:eastAsia="cs-CZ"/>
              </w:rPr>
              <w:t>3 226</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860150" w:rsidRPr="00463ABD" w:rsidRDefault="00860150" w:rsidP="001B037B">
            <w:pPr>
              <w:spacing w:before="40" w:after="40"/>
              <w:ind w:firstLine="539"/>
              <w:jc w:val="right"/>
              <w:rPr>
                <w:rFonts w:eastAsia="Times New Roman" w:cs="Times New Roman"/>
                <w:b/>
                <w:lang w:eastAsia="cs-CZ"/>
              </w:rPr>
            </w:pPr>
            <w:r w:rsidRPr="00463ABD">
              <w:rPr>
                <w:rFonts w:eastAsia="Times New Roman" w:cs="Times New Roman"/>
                <w:b/>
                <w:lang w:eastAsia="cs-CZ"/>
              </w:rPr>
              <w:t>113</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860150" w:rsidRPr="00FA1AA6" w:rsidRDefault="00860150" w:rsidP="001B037B">
            <w:pPr>
              <w:spacing w:before="40" w:after="40"/>
              <w:ind w:firstLine="539"/>
              <w:jc w:val="right"/>
              <w:rPr>
                <w:rFonts w:eastAsia="Times New Roman" w:cs="Times New Roman"/>
                <w:b/>
                <w:color w:val="FF0000"/>
                <w:lang w:eastAsia="cs-CZ"/>
              </w:rPr>
            </w:pPr>
            <w:r w:rsidRPr="00463ABD">
              <w:rPr>
                <w:rFonts w:eastAsia="Times New Roman" w:cs="Times New Roman"/>
                <w:b/>
                <w:lang w:eastAsia="cs-CZ"/>
              </w:rPr>
              <w:t>3 339</w:t>
            </w:r>
          </w:p>
        </w:tc>
      </w:tr>
    </w:tbl>
    <w:p w:rsidR="00860150" w:rsidRPr="00FA1AA6" w:rsidRDefault="00860150" w:rsidP="000D634C">
      <w:pPr>
        <w:pStyle w:val="Nadpis7"/>
        <w:rPr>
          <w:color w:val="FF0000"/>
        </w:rPr>
      </w:pPr>
      <w:r w:rsidRPr="00886EBF">
        <w:t>d) CEF C – ROADS CZ</w:t>
      </w:r>
    </w:p>
    <w:p w:rsidR="00860150" w:rsidRPr="00886EBF" w:rsidRDefault="00860150" w:rsidP="00860150">
      <w:pPr>
        <w:pStyle w:val="Styl1"/>
      </w:pPr>
      <w:r w:rsidRPr="00886EBF">
        <w:t xml:space="preserve">Kooperativní inteligentní dopravní systémy (C-ITS) jsou systémy založené </w:t>
      </w:r>
      <w:r w:rsidRPr="00886EBF">
        <w:br/>
        <w:t xml:space="preserve">na komunikaci (výměně dat) mezi samotnými vozidly a také mezi vozidly a zařízením </w:t>
      </w:r>
      <w:r w:rsidRPr="00886EBF">
        <w:br/>
        <w:t>na silniční infrastruktuře. Základní myšlenkou je schopnost vozidel předávat si zprávy týkající se aktuální dopravní situace, tedy vzájemná kooperace. Díky těmto informacím mohou řidiči včas zareagovat na varování systému, bezpečně zvládnout nečekanou situaci a zabránit tak případné nehodě.</w:t>
      </w:r>
    </w:p>
    <w:p w:rsidR="00860150" w:rsidRPr="00886EBF" w:rsidRDefault="00860150" w:rsidP="00860150">
      <w:pPr>
        <w:pStyle w:val="Styl1"/>
      </w:pPr>
      <w:r w:rsidRPr="00886EBF">
        <w:lastRenderedPageBreak/>
        <w:t xml:space="preserve">Projekt C-ROADS Czech Republic je projekt úzce spojený s mezinárodní iniciativou </w:t>
      </w:r>
      <w:r w:rsidRPr="00886EBF">
        <w:br/>
        <w:t xml:space="preserve">C-Roads (mezinárodní platforma financovaná Evropskou komisí), jež byla výsledkem společné aktivity států ČR, Rakouska a Německa, zvláště spolkové země Dolní Sasko. V rámci projektu bude vybudován kooperativní ITS systém (C-ITS) na vybraných úsecích dálnic a silnic  (extravilánu a intravilánu) a úrovňových železničních přejezdech. Následně dojde v rámci projektu k otestování mezinárodní interoperability, bezpečnosti a spolehlivosti vybudovaných C-ITS. Projekt je spolufinancován z Nástroje pro propojení Evropy (CEF Transport) </w:t>
      </w:r>
      <w:r w:rsidRPr="00886EBF">
        <w:br/>
        <w:t xml:space="preserve">z víceletého pracovního programu Evropské unie. Koordinátorem projektu je Ministerstvo dopravy ČR. Partnery projektu jsou ŘSD ČR, </w:t>
      </w:r>
      <w:r w:rsidR="00493C2E" w:rsidRPr="00493C2E">
        <w:t>SŽ</w:t>
      </w:r>
      <w:r w:rsidRPr="00493C2E">
        <w:t>,</w:t>
      </w:r>
      <w:r w:rsidRPr="00886EBF">
        <w:t xml:space="preserve"> AŽD Praha s.r.o., ČVUT v Praze Fakulta dopravní, Brněnské komunikace a.s., O2 Czech Republic a.s., T-Mobile Czech Republic a.s. </w:t>
      </w:r>
      <w:r w:rsidRPr="00886EBF">
        <w:br/>
        <w:t xml:space="preserve">a INTENS Corporation s.r.o. </w:t>
      </w:r>
    </w:p>
    <w:p w:rsidR="00860150" w:rsidRPr="00886EBF" w:rsidRDefault="00860150" w:rsidP="00860150">
      <w:pPr>
        <w:pStyle w:val="Styl1"/>
      </w:pPr>
      <w:r w:rsidRPr="00886EBF">
        <w:t xml:space="preserve">Cíle projektu vycházejí z výsledků a doporučení závěrečné zprávy zpracované platformou Evropské komise pro kooperativní systémy dne 21. ledna 2016 a naplňují opatření z cílů Akčního plánu rozvoje inteligentních dopravních systémů (ITS) v ČR do roku 2020 </w:t>
      </w:r>
      <w:r w:rsidRPr="00886EBF">
        <w:br/>
        <w:t>(s výhledem do roku 2050) schváleného usnesením vlády ze dne 15. dubna 2015 č. 268.</w:t>
      </w:r>
    </w:p>
    <w:p w:rsidR="00860150" w:rsidRPr="00717D19" w:rsidRDefault="00860150" w:rsidP="00860150">
      <w:pPr>
        <w:pStyle w:val="Styl1"/>
      </w:pPr>
      <w:r w:rsidRPr="00717D19">
        <w:t>V rámci tohoto projektu se rozšíří pokrytí ITS koridoru ze silničního okruhu kolem Prahy (SOKP) po dálnici D5 do Plzně a po dálnici D11 do Hradce Králové. Dále bude vybavena část dálnice D1 v okolí Brna. K účasti na projektu se zavázala i společnost ŠKODA Auto a.s.</w:t>
      </w:r>
    </w:p>
    <w:p w:rsidR="00860150" w:rsidRPr="00717D19" w:rsidRDefault="00860150" w:rsidP="00860150">
      <w:pPr>
        <w:pStyle w:val="Styl1"/>
      </w:pPr>
      <w:r w:rsidRPr="00717D19">
        <w:t xml:space="preserve">Projekt není zaměřen pouze na dálnice. Město Brno prostřednictvím jím vlastněné společnosti Brněnské komunikace a.s. v úzké spolupráci s ŘSD ČR nastaví v rámci projektu systematický přístup k zavádění kooperativních systémů ve městě a vytvoří podmínky pro jejich efektivní nasazení. Cíleno bude zejména na optimalizaci dopravních toků na území města Brna, </w:t>
      </w:r>
      <w:r w:rsidRPr="00717D19">
        <w:br/>
        <w:t>se zvláštním zřetelem na páteřní a tranzitní tahy.</w:t>
      </w:r>
    </w:p>
    <w:p w:rsidR="00860150" w:rsidRPr="00717D19" w:rsidRDefault="00860150" w:rsidP="00860150">
      <w:pPr>
        <w:pStyle w:val="Styl1"/>
      </w:pPr>
      <w:r w:rsidRPr="00717D19">
        <w:t xml:space="preserve">V rámci projektu bude také testováno využití systémů C-ITS v městské hromadné dopravě, </w:t>
      </w:r>
      <w:r w:rsidRPr="00717D19">
        <w:br/>
        <w:t xml:space="preserve">a to konkrétně v Plzni a v Ostravě, kde se dopravní podniky zavázaly poskytnout pro účely testování svá vozidla a infrastrukturu. V případě Ostravy bude také testováno varování řidiče jedoucího k přejezdu před přijíždějící tramvají, zvláště na jednokolejné meziměstské tramvajové trati. Výsledky mohou být využity při budování vlakotramvaje (tram-train) v ČR - systému umožňujícího přejíždění vozidel z železniční tratě na tramvajovou trať, popřípadě pro jízdu drážních vozidel po trati, která má smíšené rysy (například železniční trať vedená obcí </w:t>
      </w:r>
      <w:r w:rsidRPr="00717D19">
        <w:br/>
        <w:t xml:space="preserve">po ulici). Zároveň je plánováno testování na železničních přejezdech, přičemž organizace </w:t>
      </w:r>
      <w:r w:rsidR="00493C2E">
        <w:t>SŽ</w:t>
      </w:r>
      <w:r w:rsidRPr="00717D19">
        <w:t xml:space="preserve"> vyčlenila pro tyto účely dva zabezpečené přejezdy v Pardubickém kraji s cílem zvýšit bezpečnost a snížit tak počet zraněných a usmrcených lidí v důsledku střetu vlaku se silničním dopravním prostředkem informováním řidičů vozidel v blízkém okolí přejezdu o blížícím </w:t>
      </w:r>
      <w:r w:rsidRPr="00717D19">
        <w:br/>
        <w:t>se vlaku.</w:t>
      </w:r>
    </w:p>
    <w:p w:rsidR="00860150" w:rsidRPr="00717D19" w:rsidRDefault="00860150" w:rsidP="00860150">
      <w:pPr>
        <w:pStyle w:val="Styl1"/>
      </w:pPr>
      <w:r w:rsidRPr="00717D19">
        <w:t>Projekt se nebude zabývat pouze vlastním technickým návrhem, implementací a pilotním provozováním kooperativních systémů, ale tento provoz vyhodnotí pro stanovení technických specifikací, pro vytvoření podkladů k evropským normativním dokumentům a případně i pro oblast právních předpisů, oblast testování a zavádění bezpečnostních prvků pro C-ITS systémy.</w:t>
      </w:r>
    </w:p>
    <w:p w:rsidR="00860150" w:rsidRPr="00717D19" w:rsidRDefault="00860150" w:rsidP="00860150">
      <w:pPr>
        <w:pStyle w:val="Styl1"/>
      </w:pPr>
      <w:r w:rsidRPr="00717D19">
        <w:lastRenderedPageBreak/>
        <w:t xml:space="preserve">Nedílnou součástí řešení národního projektu budou také integrační práce vedoucí </w:t>
      </w:r>
      <w:r w:rsidRPr="00717D19">
        <w:br/>
        <w:t>k vytvoření národní C-ITS platformy, která umožní výměnu informací mezi partnery projektu a dalšími organizacemi (národními i mezinárodními). Vybudovaná národní platforma bude poskytnuta pro mezinárodní testování v rámci iniciativy C-ROADS zahraničním partnerům, během které dojde k ověření interoperability systému mezi jednotlivými výrobci HW, poskytovateli služeb apod.</w:t>
      </w:r>
    </w:p>
    <w:p w:rsidR="00860150" w:rsidRPr="00717D19" w:rsidRDefault="00860150" w:rsidP="00860150">
      <w:pPr>
        <w:pStyle w:val="Styl1"/>
      </w:pPr>
      <w:r w:rsidRPr="00717D19">
        <w:t xml:space="preserve">Mezi závazky MD v rámci projektu C-Roads Czech Republic patří zajištění řízení partnerů projektu na národní úrovni a koordinace jejich prací, spolupráce a projednávání společného postupu v rámci evropské platformy C-Roads, dále administrativní stránky projektu, koordinace prací na mezinárodní i národní úrovni, identifikace možných problémů </w:t>
      </w:r>
      <w:r w:rsidRPr="00717D19">
        <w:br/>
        <w:t>a návrhy na jejich vyřešení, zpracování zpráv o dosaženém pokroku a poskytnutí informací požadovaných Evropskou komisí.</w:t>
      </w:r>
    </w:p>
    <w:p w:rsidR="00860150" w:rsidRPr="00717D19" w:rsidRDefault="00860150" w:rsidP="00860150">
      <w:pPr>
        <w:pStyle w:val="Styl1"/>
      </w:pPr>
      <w:r w:rsidRPr="00717D19">
        <w:t>Dále budou jako forma komunikace s odbornou veřejností pořádány MD odborné semináře, výsledky projektu budou představeny prostřednictvím odborných tiskovin a problematika řešená v projektu bude propagována v odborných i hromadných sdělovacích prostředcích.</w:t>
      </w:r>
    </w:p>
    <w:p w:rsidR="00860150" w:rsidRPr="00717D19" w:rsidRDefault="00860150" w:rsidP="00860150">
      <w:pPr>
        <w:pStyle w:val="Styl1"/>
      </w:pPr>
      <w:r w:rsidRPr="00717D19">
        <w:t xml:space="preserve">Projekt C-ROADS CZ je financován v rámci finančního nástroje CEF 2014+ </w:t>
      </w:r>
      <w:r w:rsidRPr="00717D19">
        <w:br/>
        <w:t xml:space="preserve">a s předpokládaným termínem ukončení k 31. 12. 2020. V roce 2020 bylo požádáno </w:t>
      </w:r>
      <w:r w:rsidRPr="00717D19">
        <w:br/>
        <w:t>o prodloužení projektu do k 31. 12. 2021.</w:t>
      </w:r>
    </w:p>
    <w:p w:rsidR="00860150" w:rsidRPr="00717D19" w:rsidRDefault="00860150" w:rsidP="00860150">
      <w:pPr>
        <w:pStyle w:val="Titulek"/>
        <w:keepNext/>
        <w:rPr>
          <w:noProof/>
        </w:rPr>
      </w:pPr>
      <w:r w:rsidRPr="00717D19">
        <w:t xml:space="preserve">Tabulka č. </w:t>
      </w:r>
      <w:r w:rsidRPr="00717D19">
        <w:rPr>
          <w:noProof/>
        </w:rPr>
        <w:fldChar w:fldCharType="begin"/>
      </w:r>
      <w:r w:rsidRPr="00717D19">
        <w:rPr>
          <w:noProof/>
        </w:rPr>
        <w:instrText xml:space="preserve"> SEQ Tabulka \* ARABIC </w:instrText>
      </w:r>
      <w:r w:rsidRPr="00717D19">
        <w:rPr>
          <w:noProof/>
        </w:rPr>
        <w:fldChar w:fldCharType="separate"/>
      </w:r>
      <w:r w:rsidR="006076E7">
        <w:rPr>
          <w:noProof/>
        </w:rPr>
        <w:t>51</w:t>
      </w:r>
      <w:r w:rsidRPr="00717D19">
        <w:rPr>
          <w:noProof/>
        </w:rPr>
        <w:fldChar w:fldCharType="end"/>
      </w:r>
      <w:r w:rsidRPr="00717D19">
        <w:rPr>
          <w:noProof/>
        </w:rPr>
        <w:t xml:space="preserve"> Komunitární projekt CEF_C ROADS CZ (v tis. Kč)</w:t>
      </w:r>
    </w:p>
    <w:tbl>
      <w:tblPr>
        <w:tblW w:w="502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tblBorders>
        <w:tblLayout w:type="fixed"/>
        <w:tblLook w:val="00A0" w:firstRow="1" w:lastRow="0" w:firstColumn="1" w:lastColumn="0" w:noHBand="0" w:noVBand="0"/>
      </w:tblPr>
      <w:tblGrid>
        <w:gridCol w:w="4728"/>
        <w:gridCol w:w="1455"/>
        <w:gridCol w:w="1455"/>
        <w:gridCol w:w="1455"/>
      </w:tblGrid>
      <w:tr w:rsidR="00860150" w:rsidRPr="00FA1AA6" w:rsidTr="001B037B">
        <w:trPr>
          <w:jc w:val="center"/>
        </w:trPr>
        <w:tc>
          <w:tcPr>
            <w:tcW w:w="2600" w:type="pct"/>
            <w:tcBorders>
              <w:top w:val="single" w:sz="8"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860150" w:rsidRPr="00717D19" w:rsidRDefault="00860150" w:rsidP="001B037B">
            <w:pPr>
              <w:spacing w:before="40" w:after="40"/>
              <w:rPr>
                <w:rFonts w:eastAsia="Times New Roman" w:cs="Times New Roman"/>
                <w:b/>
                <w:lang w:eastAsia="cs-CZ"/>
              </w:rPr>
            </w:pPr>
            <w:r w:rsidRPr="00717D19">
              <w:rPr>
                <w:rFonts w:eastAsia="Times New Roman" w:cs="Times New Roman"/>
                <w:b/>
                <w:lang w:eastAsia="cs-CZ"/>
              </w:rPr>
              <w:t>Název programu (projektu)</w:t>
            </w:r>
          </w:p>
        </w:tc>
        <w:tc>
          <w:tcPr>
            <w:tcW w:w="800" w:type="pct"/>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860150" w:rsidRPr="00717D19" w:rsidRDefault="00860150" w:rsidP="001B037B">
            <w:pPr>
              <w:spacing w:before="40" w:after="40"/>
              <w:ind w:firstLine="539"/>
              <w:rPr>
                <w:rFonts w:eastAsia="Times New Roman" w:cs="Times New Roman"/>
                <w:b/>
                <w:lang w:eastAsia="cs-CZ"/>
              </w:rPr>
            </w:pPr>
            <w:r w:rsidRPr="00717D19">
              <w:rPr>
                <w:rFonts w:eastAsia="Times New Roman" w:cs="Times New Roman"/>
                <w:b/>
                <w:lang w:eastAsia="cs-CZ"/>
              </w:rPr>
              <w:t>EU</w:t>
            </w:r>
          </w:p>
        </w:tc>
        <w:tc>
          <w:tcPr>
            <w:tcW w:w="800" w:type="pct"/>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860150" w:rsidRPr="00717D19" w:rsidRDefault="00860150" w:rsidP="001B037B">
            <w:pPr>
              <w:spacing w:before="40" w:after="40"/>
              <w:ind w:firstLine="539"/>
              <w:rPr>
                <w:rFonts w:eastAsia="Times New Roman" w:cs="Times New Roman"/>
                <w:b/>
                <w:lang w:eastAsia="cs-CZ"/>
              </w:rPr>
            </w:pPr>
            <w:r w:rsidRPr="00717D19">
              <w:rPr>
                <w:rFonts w:eastAsia="Times New Roman" w:cs="Times New Roman"/>
                <w:b/>
                <w:lang w:eastAsia="cs-CZ"/>
              </w:rPr>
              <w:t>SR</w:t>
            </w:r>
          </w:p>
        </w:tc>
        <w:tc>
          <w:tcPr>
            <w:tcW w:w="800" w:type="pct"/>
            <w:tcBorders>
              <w:top w:val="single" w:sz="8" w:space="0" w:color="7F7F7F" w:themeColor="text1" w:themeTint="80"/>
              <w:left w:val="single" w:sz="4"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717D19" w:rsidRDefault="00860150" w:rsidP="001B037B">
            <w:pPr>
              <w:spacing w:before="40" w:after="40"/>
              <w:jc w:val="center"/>
              <w:rPr>
                <w:rFonts w:eastAsia="Times New Roman" w:cs="Times New Roman"/>
                <w:b/>
                <w:lang w:eastAsia="cs-CZ"/>
              </w:rPr>
            </w:pPr>
            <w:r w:rsidRPr="00717D19">
              <w:rPr>
                <w:rFonts w:eastAsia="Times New Roman" w:cs="Times New Roman"/>
                <w:b/>
                <w:lang w:eastAsia="cs-CZ"/>
              </w:rPr>
              <w:t>Celkem</w:t>
            </w:r>
          </w:p>
        </w:tc>
      </w:tr>
      <w:tr w:rsidR="00860150" w:rsidRPr="00FA1AA6" w:rsidTr="001B037B">
        <w:trPr>
          <w:jc w:val="center"/>
        </w:trPr>
        <w:tc>
          <w:tcPr>
            <w:tcW w:w="2600" w:type="pct"/>
            <w:tcBorders>
              <w:top w:val="single" w:sz="4" w:space="0" w:color="7F7F7F" w:themeColor="text1" w:themeTint="80"/>
              <w:right w:val="single" w:sz="4" w:space="0" w:color="7F7F7F" w:themeColor="text1" w:themeTint="80"/>
            </w:tcBorders>
            <w:shd w:val="clear" w:color="auto" w:fill="auto"/>
          </w:tcPr>
          <w:p w:rsidR="00860150" w:rsidRPr="00463ABD" w:rsidRDefault="00860150" w:rsidP="001B037B">
            <w:pPr>
              <w:spacing w:before="40" w:after="40"/>
              <w:rPr>
                <w:rFonts w:eastAsia="Times New Roman" w:cs="Times New Roman"/>
                <w:lang w:eastAsia="cs-CZ"/>
              </w:rPr>
            </w:pPr>
            <w:r w:rsidRPr="00463ABD">
              <w:rPr>
                <w:rFonts w:eastAsia="Times New Roman" w:cs="Times New Roman"/>
                <w:lang w:eastAsia="cs-CZ"/>
              </w:rPr>
              <w:t>CEF_C ROADS CZ (ÚO MD)</w:t>
            </w:r>
            <w:r>
              <w:rPr>
                <w:rFonts w:eastAsia="Times New Roman" w:cs="Times New Roman"/>
                <w:lang w:eastAsia="cs-CZ"/>
              </w:rPr>
              <w:t xml:space="preserve"> </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860150" w:rsidRPr="00463ABD" w:rsidRDefault="00195130" w:rsidP="001B037B">
            <w:pPr>
              <w:spacing w:before="40" w:after="40"/>
              <w:jc w:val="right"/>
              <w:rPr>
                <w:rFonts w:eastAsia="Times New Roman" w:cs="Times New Roman"/>
                <w:lang w:eastAsia="cs-CZ"/>
              </w:rPr>
            </w:pPr>
            <w:r>
              <w:rPr>
                <w:rFonts w:eastAsia="Times New Roman" w:cs="Times New Roman"/>
                <w:lang w:eastAsia="cs-CZ"/>
              </w:rPr>
              <w:t>5 928</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860150" w:rsidRPr="00FA1AA6" w:rsidRDefault="00195130" w:rsidP="001B037B">
            <w:pPr>
              <w:spacing w:before="40" w:after="40"/>
              <w:jc w:val="right"/>
              <w:rPr>
                <w:rFonts w:eastAsia="Times New Roman" w:cs="Times New Roman"/>
                <w:color w:val="FF0000"/>
                <w:lang w:eastAsia="cs-CZ"/>
              </w:rPr>
            </w:pPr>
            <w:r w:rsidRPr="00195130">
              <w:rPr>
                <w:rFonts w:eastAsia="Times New Roman" w:cs="Times New Roman"/>
                <w:lang w:eastAsia="cs-CZ"/>
              </w:rPr>
              <w:t>885</w:t>
            </w:r>
          </w:p>
        </w:tc>
        <w:tc>
          <w:tcPr>
            <w:tcW w:w="800" w:type="pct"/>
            <w:tcBorders>
              <w:top w:val="single" w:sz="4" w:space="0" w:color="7F7F7F" w:themeColor="text1" w:themeTint="80"/>
              <w:left w:val="single" w:sz="4" w:space="0" w:color="7F7F7F" w:themeColor="text1" w:themeTint="80"/>
            </w:tcBorders>
            <w:shd w:val="clear" w:color="auto" w:fill="auto"/>
            <w:vAlign w:val="center"/>
          </w:tcPr>
          <w:p w:rsidR="00860150" w:rsidRPr="00FA1AA6" w:rsidRDefault="00195130" w:rsidP="001B037B">
            <w:pPr>
              <w:spacing w:before="40" w:after="40"/>
              <w:jc w:val="right"/>
              <w:rPr>
                <w:rFonts w:eastAsia="Times New Roman" w:cs="Times New Roman"/>
                <w:b/>
                <w:color w:val="FF0000"/>
                <w:lang w:eastAsia="cs-CZ"/>
              </w:rPr>
            </w:pPr>
            <w:r w:rsidRPr="00195130">
              <w:rPr>
                <w:rFonts w:eastAsia="Times New Roman" w:cs="Times New Roman"/>
                <w:b/>
                <w:lang w:eastAsia="cs-CZ"/>
              </w:rPr>
              <w:t>6 813</w:t>
            </w:r>
          </w:p>
        </w:tc>
      </w:tr>
      <w:tr w:rsidR="00860150" w:rsidRPr="00FA1AA6" w:rsidTr="001B037B">
        <w:trPr>
          <w:jc w:val="center"/>
        </w:trPr>
        <w:tc>
          <w:tcPr>
            <w:tcW w:w="2600" w:type="pct"/>
            <w:tcBorders>
              <w:top w:val="single" w:sz="4" w:space="0" w:color="7F7F7F" w:themeColor="text1" w:themeTint="80"/>
              <w:right w:val="single" w:sz="4" w:space="0" w:color="7F7F7F" w:themeColor="text1" w:themeTint="80"/>
            </w:tcBorders>
            <w:shd w:val="clear" w:color="auto" w:fill="auto"/>
          </w:tcPr>
          <w:p w:rsidR="00860150" w:rsidRPr="00FA1AA6" w:rsidRDefault="00860150" w:rsidP="001B037B">
            <w:pPr>
              <w:spacing w:before="40" w:after="40"/>
              <w:rPr>
                <w:rFonts w:eastAsia="Times New Roman" w:cs="Times New Roman"/>
                <w:color w:val="FF0000"/>
                <w:lang w:eastAsia="cs-CZ"/>
              </w:rPr>
            </w:pPr>
            <w:r w:rsidRPr="00D26644">
              <w:rPr>
                <w:rFonts w:eastAsia="Times New Roman" w:cs="Times New Roman"/>
                <w:lang w:eastAsia="cs-CZ"/>
              </w:rPr>
              <w:t>CEF_C ROADS CZ (SFDI)</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860150" w:rsidRPr="00D26644" w:rsidRDefault="00860150" w:rsidP="001B037B">
            <w:pPr>
              <w:spacing w:before="40" w:after="40"/>
              <w:jc w:val="right"/>
              <w:rPr>
                <w:rFonts w:eastAsia="Times New Roman" w:cs="Times New Roman"/>
                <w:lang w:eastAsia="cs-CZ"/>
              </w:rPr>
            </w:pPr>
            <w:r w:rsidRPr="00D26644">
              <w:rPr>
                <w:rFonts w:eastAsia="Times New Roman" w:cs="Times New Roman"/>
                <w:lang w:eastAsia="cs-CZ"/>
              </w:rPr>
              <w:t>5 440</w:t>
            </w:r>
          </w:p>
        </w:tc>
        <w:tc>
          <w:tcPr>
            <w:tcW w:w="800" w:type="pc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vAlign w:val="center"/>
          </w:tcPr>
          <w:p w:rsidR="00860150" w:rsidRPr="00D26644" w:rsidRDefault="00860150" w:rsidP="001B037B">
            <w:pPr>
              <w:spacing w:before="40" w:after="40"/>
              <w:jc w:val="right"/>
              <w:rPr>
                <w:rFonts w:eastAsia="Times New Roman" w:cs="Times New Roman"/>
                <w:lang w:eastAsia="cs-CZ"/>
              </w:rPr>
            </w:pPr>
            <w:r w:rsidRPr="00D26644">
              <w:rPr>
                <w:rFonts w:eastAsia="Times New Roman" w:cs="Times New Roman"/>
                <w:lang w:eastAsia="cs-CZ"/>
              </w:rPr>
              <w:t>0</w:t>
            </w:r>
          </w:p>
        </w:tc>
        <w:tc>
          <w:tcPr>
            <w:tcW w:w="800" w:type="pct"/>
            <w:tcBorders>
              <w:top w:val="single" w:sz="4" w:space="0" w:color="7F7F7F" w:themeColor="text1" w:themeTint="80"/>
              <w:left w:val="single" w:sz="4" w:space="0" w:color="7F7F7F" w:themeColor="text1" w:themeTint="80"/>
            </w:tcBorders>
            <w:shd w:val="clear" w:color="auto" w:fill="auto"/>
            <w:vAlign w:val="center"/>
          </w:tcPr>
          <w:p w:rsidR="00860150" w:rsidRPr="00D26644" w:rsidRDefault="00860150" w:rsidP="001B037B">
            <w:pPr>
              <w:spacing w:before="40" w:after="40"/>
              <w:jc w:val="right"/>
              <w:rPr>
                <w:rFonts w:eastAsia="Times New Roman" w:cs="Times New Roman"/>
                <w:b/>
                <w:lang w:eastAsia="cs-CZ"/>
              </w:rPr>
            </w:pPr>
            <w:r w:rsidRPr="00D26644">
              <w:rPr>
                <w:rFonts w:eastAsia="Times New Roman" w:cs="Times New Roman"/>
                <w:b/>
                <w:lang w:eastAsia="cs-CZ"/>
              </w:rPr>
              <w:t>5 440</w:t>
            </w:r>
          </w:p>
        </w:tc>
      </w:tr>
      <w:tr w:rsidR="00860150" w:rsidRPr="00FA1AA6" w:rsidTr="001B037B">
        <w:trPr>
          <w:jc w:val="center"/>
        </w:trPr>
        <w:tc>
          <w:tcPr>
            <w:tcW w:w="2600" w:type="pct"/>
            <w:tcBorders>
              <w:bottom w:val="single" w:sz="8" w:space="0" w:color="7F7F7F" w:themeColor="text1" w:themeTint="80"/>
              <w:right w:val="single" w:sz="4" w:space="0" w:color="7F7F7F" w:themeColor="text1" w:themeTint="80"/>
            </w:tcBorders>
            <w:shd w:val="clear" w:color="auto" w:fill="auto"/>
          </w:tcPr>
          <w:p w:rsidR="00860150" w:rsidRPr="00463ABD" w:rsidRDefault="00860150" w:rsidP="001B037B">
            <w:pPr>
              <w:spacing w:before="40" w:after="40"/>
              <w:rPr>
                <w:rFonts w:eastAsia="Times New Roman" w:cs="Times New Roman"/>
                <w:lang w:eastAsia="cs-CZ"/>
              </w:rPr>
            </w:pPr>
            <w:r w:rsidRPr="00463ABD">
              <w:rPr>
                <w:rFonts w:eastAsia="Times New Roman" w:cs="Times New Roman"/>
                <w:lang w:eastAsia="cs-CZ"/>
              </w:rPr>
              <w:t>CEF_C ROADS CZ (PO)</w:t>
            </w:r>
          </w:p>
        </w:tc>
        <w:tc>
          <w:tcPr>
            <w:tcW w:w="800" w:type="pct"/>
            <w:tcBorders>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860150" w:rsidRPr="00463ABD" w:rsidRDefault="00860150" w:rsidP="001B037B">
            <w:pPr>
              <w:spacing w:before="40" w:after="40"/>
              <w:jc w:val="right"/>
              <w:rPr>
                <w:rFonts w:eastAsia="Times New Roman" w:cs="Times New Roman"/>
                <w:lang w:eastAsia="cs-CZ"/>
              </w:rPr>
            </w:pPr>
            <w:r w:rsidRPr="00463ABD">
              <w:rPr>
                <w:rFonts w:eastAsia="Times New Roman" w:cs="Times New Roman"/>
                <w:lang w:eastAsia="cs-CZ"/>
              </w:rPr>
              <w:t>62 337</w:t>
            </w:r>
          </w:p>
        </w:tc>
        <w:tc>
          <w:tcPr>
            <w:tcW w:w="800" w:type="pct"/>
            <w:tcBorders>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860150" w:rsidRPr="00463ABD" w:rsidRDefault="00860150" w:rsidP="001B037B">
            <w:pPr>
              <w:spacing w:before="40" w:after="40"/>
              <w:jc w:val="right"/>
              <w:rPr>
                <w:rFonts w:eastAsia="Times New Roman" w:cs="Times New Roman"/>
                <w:lang w:eastAsia="cs-CZ"/>
              </w:rPr>
            </w:pPr>
            <w:r w:rsidRPr="00463ABD">
              <w:rPr>
                <w:rFonts w:eastAsia="Times New Roman" w:cs="Times New Roman"/>
                <w:lang w:eastAsia="cs-CZ"/>
              </w:rPr>
              <w:t>0</w:t>
            </w:r>
          </w:p>
        </w:tc>
        <w:tc>
          <w:tcPr>
            <w:tcW w:w="800" w:type="pct"/>
            <w:tcBorders>
              <w:left w:val="single" w:sz="4" w:space="0" w:color="7F7F7F" w:themeColor="text1" w:themeTint="80"/>
              <w:bottom w:val="single" w:sz="8" w:space="0" w:color="7F7F7F" w:themeColor="text1" w:themeTint="80"/>
            </w:tcBorders>
            <w:shd w:val="clear" w:color="auto" w:fill="auto"/>
            <w:vAlign w:val="center"/>
          </w:tcPr>
          <w:p w:rsidR="00860150" w:rsidRPr="00FA1AA6" w:rsidRDefault="00860150" w:rsidP="001B037B">
            <w:pPr>
              <w:spacing w:before="40" w:after="40"/>
              <w:jc w:val="right"/>
              <w:rPr>
                <w:rFonts w:eastAsia="Times New Roman" w:cs="Times New Roman"/>
                <w:b/>
                <w:color w:val="FF0000"/>
                <w:lang w:eastAsia="cs-CZ"/>
              </w:rPr>
            </w:pPr>
            <w:r w:rsidRPr="00463ABD">
              <w:rPr>
                <w:rFonts w:eastAsia="Times New Roman" w:cs="Times New Roman"/>
                <w:b/>
                <w:lang w:eastAsia="cs-CZ"/>
              </w:rPr>
              <w:t>62 337</w:t>
            </w:r>
          </w:p>
        </w:tc>
      </w:tr>
      <w:tr w:rsidR="00860150" w:rsidRPr="00FA1AA6" w:rsidTr="001B037B">
        <w:trPr>
          <w:jc w:val="center"/>
        </w:trPr>
        <w:tc>
          <w:tcPr>
            <w:tcW w:w="2600" w:type="pct"/>
            <w:tcBorders>
              <w:bottom w:val="single" w:sz="8" w:space="0" w:color="7F7F7F" w:themeColor="text1" w:themeTint="80"/>
              <w:right w:val="single" w:sz="4" w:space="0" w:color="7F7F7F" w:themeColor="text1" w:themeTint="80"/>
            </w:tcBorders>
            <w:shd w:val="clear" w:color="auto" w:fill="auto"/>
          </w:tcPr>
          <w:p w:rsidR="00860150" w:rsidRPr="00615225" w:rsidRDefault="00860150" w:rsidP="001B037B">
            <w:pPr>
              <w:spacing w:before="40" w:after="40"/>
              <w:ind w:left="454"/>
              <w:rPr>
                <w:rFonts w:eastAsia="Times New Roman" w:cs="Times New Roman"/>
                <w:i/>
                <w:lang w:eastAsia="cs-CZ"/>
              </w:rPr>
            </w:pPr>
            <w:r w:rsidRPr="00615225">
              <w:rPr>
                <w:rFonts w:eastAsia="Times New Roman" w:cs="Times New Roman"/>
                <w:i/>
                <w:lang w:eastAsia="cs-CZ"/>
              </w:rPr>
              <w:t>z toho: program 127 77 Pod. fin. dopravy</w:t>
            </w:r>
          </w:p>
        </w:tc>
        <w:tc>
          <w:tcPr>
            <w:tcW w:w="800" w:type="pct"/>
            <w:tcBorders>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860150" w:rsidRPr="00615225" w:rsidRDefault="00860150" w:rsidP="001B037B">
            <w:pPr>
              <w:spacing w:before="40" w:after="40"/>
              <w:jc w:val="right"/>
              <w:rPr>
                <w:rFonts w:eastAsia="Times New Roman" w:cs="Times New Roman"/>
                <w:i/>
                <w:lang w:eastAsia="cs-CZ"/>
              </w:rPr>
            </w:pPr>
            <w:r w:rsidRPr="00615225">
              <w:rPr>
                <w:rFonts w:eastAsia="Times New Roman" w:cs="Times New Roman"/>
                <w:i/>
                <w:lang w:eastAsia="cs-CZ"/>
              </w:rPr>
              <w:t>42 500</w:t>
            </w:r>
          </w:p>
        </w:tc>
        <w:tc>
          <w:tcPr>
            <w:tcW w:w="800" w:type="pct"/>
            <w:tcBorders>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860150" w:rsidRPr="00615225" w:rsidRDefault="00860150" w:rsidP="001B037B">
            <w:pPr>
              <w:spacing w:before="40" w:after="40"/>
              <w:jc w:val="right"/>
              <w:rPr>
                <w:rFonts w:eastAsia="Times New Roman" w:cs="Times New Roman"/>
                <w:i/>
                <w:lang w:eastAsia="cs-CZ"/>
              </w:rPr>
            </w:pPr>
            <w:r w:rsidRPr="00615225">
              <w:rPr>
                <w:rFonts w:eastAsia="Times New Roman" w:cs="Times New Roman"/>
                <w:i/>
                <w:lang w:eastAsia="cs-CZ"/>
              </w:rPr>
              <w:t>0</w:t>
            </w:r>
          </w:p>
        </w:tc>
        <w:tc>
          <w:tcPr>
            <w:tcW w:w="800" w:type="pct"/>
            <w:tcBorders>
              <w:left w:val="single" w:sz="4" w:space="0" w:color="7F7F7F" w:themeColor="text1" w:themeTint="80"/>
              <w:bottom w:val="single" w:sz="8" w:space="0" w:color="7F7F7F" w:themeColor="text1" w:themeTint="80"/>
            </w:tcBorders>
            <w:shd w:val="clear" w:color="auto" w:fill="auto"/>
            <w:vAlign w:val="center"/>
          </w:tcPr>
          <w:p w:rsidR="00860150" w:rsidRPr="00615225" w:rsidRDefault="00860150" w:rsidP="001B037B">
            <w:pPr>
              <w:spacing w:before="40" w:after="40"/>
              <w:jc w:val="right"/>
              <w:rPr>
                <w:rFonts w:eastAsia="Times New Roman" w:cs="Times New Roman"/>
                <w:b/>
                <w:i/>
                <w:lang w:eastAsia="cs-CZ"/>
              </w:rPr>
            </w:pPr>
            <w:r w:rsidRPr="00615225">
              <w:rPr>
                <w:rFonts w:eastAsia="Times New Roman" w:cs="Times New Roman"/>
                <w:b/>
                <w:i/>
                <w:lang w:eastAsia="cs-CZ"/>
              </w:rPr>
              <w:t>42 500</w:t>
            </w:r>
          </w:p>
        </w:tc>
      </w:tr>
      <w:tr w:rsidR="00860150" w:rsidRPr="00FA1AA6" w:rsidTr="001B037B">
        <w:trPr>
          <w:jc w:val="center"/>
        </w:trPr>
        <w:tc>
          <w:tcPr>
            <w:tcW w:w="2600" w:type="pct"/>
            <w:tcBorders>
              <w:top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860150" w:rsidRPr="00463ABD" w:rsidRDefault="00860150" w:rsidP="001B037B">
            <w:pPr>
              <w:spacing w:before="40" w:after="40"/>
              <w:rPr>
                <w:rFonts w:eastAsia="Times New Roman" w:cs="Times New Roman"/>
                <w:b/>
                <w:bCs/>
                <w:lang w:eastAsia="cs-CZ"/>
              </w:rPr>
            </w:pPr>
            <w:r w:rsidRPr="00463ABD">
              <w:rPr>
                <w:rFonts w:eastAsia="Times New Roman" w:cs="Times New Roman"/>
                <w:b/>
                <w:lang w:eastAsia="cs-CZ"/>
              </w:rPr>
              <w:t>Celkem</w:t>
            </w:r>
          </w:p>
        </w:tc>
        <w:tc>
          <w:tcPr>
            <w:tcW w:w="800" w:type="pct"/>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860150" w:rsidRPr="00FA1AA6" w:rsidRDefault="00195130" w:rsidP="001B037B">
            <w:pPr>
              <w:spacing w:before="40" w:after="40"/>
              <w:jc w:val="right"/>
              <w:rPr>
                <w:rFonts w:eastAsia="Times New Roman" w:cs="Times New Roman"/>
                <w:b/>
                <w:color w:val="FF0000"/>
                <w:lang w:eastAsia="cs-CZ"/>
              </w:rPr>
            </w:pPr>
            <w:r w:rsidRPr="00195130">
              <w:rPr>
                <w:rFonts w:eastAsia="Times New Roman" w:cs="Times New Roman"/>
                <w:b/>
                <w:lang w:eastAsia="cs-CZ"/>
              </w:rPr>
              <w:t>73 705</w:t>
            </w:r>
          </w:p>
        </w:tc>
        <w:tc>
          <w:tcPr>
            <w:tcW w:w="800" w:type="pct"/>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860150" w:rsidRPr="00FA1AA6" w:rsidRDefault="00195130" w:rsidP="001B037B">
            <w:pPr>
              <w:spacing w:before="40" w:after="40"/>
              <w:ind w:firstLine="539"/>
              <w:jc w:val="right"/>
              <w:rPr>
                <w:rFonts w:eastAsia="Times New Roman" w:cs="Times New Roman"/>
                <w:b/>
                <w:color w:val="FF0000"/>
                <w:lang w:eastAsia="cs-CZ"/>
              </w:rPr>
            </w:pPr>
            <w:r w:rsidRPr="00195130">
              <w:rPr>
                <w:rFonts w:eastAsia="Times New Roman" w:cs="Times New Roman"/>
                <w:b/>
                <w:lang w:eastAsia="cs-CZ"/>
              </w:rPr>
              <w:t>885</w:t>
            </w:r>
          </w:p>
        </w:tc>
        <w:tc>
          <w:tcPr>
            <w:tcW w:w="800" w:type="pct"/>
            <w:tcBorders>
              <w:top w:val="single" w:sz="8" w:space="0" w:color="7F7F7F" w:themeColor="text1" w:themeTint="80"/>
              <w:left w:val="single" w:sz="4" w:space="0" w:color="7F7F7F" w:themeColor="text1" w:themeTint="80"/>
              <w:bottom w:val="single" w:sz="8" w:space="0" w:color="7F7F7F" w:themeColor="text1" w:themeTint="80"/>
            </w:tcBorders>
            <w:shd w:val="clear" w:color="auto" w:fill="auto"/>
            <w:vAlign w:val="center"/>
          </w:tcPr>
          <w:p w:rsidR="00860150" w:rsidRPr="00FA1AA6" w:rsidRDefault="00195130" w:rsidP="001B037B">
            <w:pPr>
              <w:spacing w:before="40" w:after="40"/>
              <w:jc w:val="right"/>
              <w:rPr>
                <w:rFonts w:eastAsia="Times New Roman" w:cs="Times New Roman"/>
                <w:b/>
                <w:color w:val="FF0000"/>
                <w:lang w:eastAsia="cs-CZ"/>
              </w:rPr>
            </w:pPr>
            <w:r w:rsidRPr="00195130">
              <w:rPr>
                <w:rFonts w:eastAsia="Times New Roman" w:cs="Times New Roman"/>
                <w:b/>
                <w:lang w:eastAsia="cs-CZ"/>
              </w:rPr>
              <w:t>74 590</w:t>
            </w:r>
          </w:p>
        </w:tc>
      </w:tr>
    </w:tbl>
    <w:p w:rsidR="00860150" w:rsidRPr="00D26644" w:rsidRDefault="00860150" w:rsidP="000D634C">
      <w:pPr>
        <w:pStyle w:val="Nadpis7"/>
      </w:pPr>
      <w:r w:rsidRPr="00D26644">
        <w:t>e) RIS - COMEX</w:t>
      </w:r>
    </w:p>
    <w:p w:rsidR="00860150" w:rsidRPr="00D26644" w:rsidRDefault="00860150" w:rsidP="00860150">
      <w:pPr>
        <w:pStyle w:val="Styl1"/>
      </w:pPr>
      <w:r w:rsidRPr="00D26644">
        <w:t xml:space="preserve">Projekt RIS COMEX jako společný projekt 12 členských států EU a 1 nečlenského (Srbsko), pokrývající téměř celou síť evropských vodních cest TEN-T, je zaměřen na implementaci </w:t>
      </w:r>
      <w:r w:rsidRPr="00D26644">
        <w:br/>
        <w:t xml:space="preserve">a následný spolehlivý provoz služeb ve všech třech úrovních podél hlavních transevropských dopravních koridorů. Koridorové informační služby RIS mají umožnit řízení dopravy pomocí kompetentních úřadů a řízení přepravy pomocí logistiky. </w:t>
      </w:r>
    </w:p>
    <w:p w:rsidR="00860150" w:rsidRPr="00D26644" w:rsidRDefault="00860150" w:rsidP="00860150">
      <w:pPr>
        <w:pStyle w:val="Styl1"/>
      </w:pPr>
      <w:r w:rsidRPr="00D26644">
        <w:t xml:space="preserve">Hlavní cíle navrženého projektu RIS COMEX (společné cíle pro všechny účastníky): </w:t>
      </w:r>
    </w:p>
    <w:p w:rsidR="00860150" w:rsidRPr="00D26644" w:rsidRDefault="00860150" w:rsidP="00860150">
      <w:pPr>
        <w:numPr>
          <w:ilvl w:val="0"/>
          <w:numId w:val="26"/>
        </w:numPr>
        <w:spacing w:before="120" w:after="240" w:line="276" w:lineRule="auto"/>
        <w:ind w:left="568" w:hanging="284"/>
        <w:rPr>
          <w:rFonts w:eastAsia="Times New Roman" w:cs="Times New Roman"/>
          <w:iCs/>
          <w:szCs w:val="24"/>
          <w:lang w:eastAsia="cs-CZ"/>
        </w:rPr>
      </w:pPr>
      <w:r w:rsidRPr="00D26644">
        <w:rPr>
          <w:rFonts w:eastAsia="Times New Roman" w:cs="Times New Roman"/>
          <w:iCs/>
          <w:szCs w:val="24"/>
          <w:lang w:eastAsia="cs-CZ"/>
        </w:rPr>
        <w:t>Zavést koncept koridorového řízení RIS (Corridor RIS Management concept) jako dialog mezi správci RIS a uživateli z oblasti logistiky (vůdci plavidel, provozovatelé plavidel, operátoři přístavů) s cílem zavedení relevantních uživatelsky orientovaných služeb;</w:t>
      </w:r>
    </w:p>
    <w:p w:rsidR="00860150" w:rsidRPr="00D26644" w:rsidRDefault="00860150" w:rsidP="00860150">
      <w:pPr>
        <w:numPr>
          <w:ilvl w:val="0"/>
          <w:numId w:val="26"/>
        </w:numPr>
        <w:spacing w:before="120" w:after="240" w:line="276" w:lineRule="auto"/>
        <w:ind w:left="568" w:hanging="284"/>
        <w:rPr>
          <w:rFonts w:eastAsia="Times New Roman" w:cs="Times New Roman"/>
          <w:iCs/>
          <w:szCs w:val="24"/>
          <w:lang w:eastAsia="cs-CZ"/>
        </w:rPr>
      </w:pPr>
      <w:r w:rsidRPr="00D26644">
        <w:rPr>
          <w:rFonts w:eastAsia="Times New Roman" w:cs="Times New Roman"/>
          <w:iCs/>
          <w:szCs w:val="24"/>
          <w:lang w:eastAsia="cs-CZ"/>
        </w:rPr>
        <w:lastRenderedPageBreak/>
        <w:t>implementovat a trvale provozovat vybrané části celkového konceptu poskytujícího kvalitní a spolehlivé informace, vedoucí primárně k významnému nárůstu efektivnosti vnitrozemské vodní dopravy, příspěvku k růstu bezpečnosti a environmentální ohleduplnosti;</w:t>
      </w:r>
    </w:p>
    <w:p w:rsidR="00860150" w:rsidRPr="00D26644" w:rsidRDefault="00860150" w:rsidP="00860150">
      <w:pPr>
        <w:numPr>
          <w:ilvl w:val="0"/>
          <w:numId w:val="25"/>
        </w:numPr>
        <w:spacing w:before="120" w:after="240" w:line="276" w:lineRule="auto"/>
        <w:ind w:left="568" w:hanging="284"/>
        <w:rPr>
          <w:rFonts w:eastAsia="Times New Roman" w:cs="Times New Roman"/>
          <w:iCs/>
          <w:szCs w:val="24"/>
          <w:lang w:eastAsia="cs-CZ"/>
        </w:rPr>
      </w:pPr>
      <w:r w:rsidRPr="00D26644">
        <w:rPr>
          <w:rFonts w:eastAsia="Times New Roman" w:cs="Times New Roman"/>
          <w:iCs/>
          <w:szCs w:val="24"/>
          <w:lang w:eastAsia="cs-CZ"/>
        </w:rPr>
        <w:t xml:space="preserve">definovat a odsouhlasit provozní administrativní nástroje (právní, organizační, finanční, technické, kvalitativní) na zajištění udržitelného budoucího rozvoje, implementace </w:t>
      </w:r>
      <w:r w:rsidRPr="00D26644">
        <w:rPr>
          <w:rFonts w:eastAsia="Times New Roman" w:cs="Times New Roman"/>
          <w:iCs/>
          <w:szCs w:val="24"/>
          <w:lang w:eastAsia="cs-CZ"/>
        </w:rPr>
        <w:br/>
        <w:t>a trvalého provozu definovaných služeb;</w:t>
      </w:r>
    </w:p>
    <w:p w:rsidR="00860150" w:rsidRPr="00D26644" w:rsidRDefault="00860150" w:rsidP="00860150">
      <w:pPr>
        <w:numPr>
          <w:ilvl w:val="0"/>
          <w:numId w:val="25"/>
        </w:numPr>
        <w:spacing w:before="120" w:after="240" w:line="276" w:lineRule="auto"/>
        <w:ind w:left="568" w:hanging="284"/>
        <w:rPr>
          <w:rFonts w:eastAsia="Times New Roman" w:cs="Times New Roman"/>
          <w:iCs/>
          <w:szCs w:val="24"/>
          <w:lang w:eastAsia="cs-CZ"/>
        </w:rPr>
      </w:pPr>
      <w:r w:rsidRPr="00D26644">
        <w:rPr>
          <w:rFonts w:eastAsia="Times New Roman" w:cs="Times New Roman"/>
          <w:iCs/>
          <w:szCs w:val="24"/>
          <w:lang w:eastAsia="cs-CZ"/>
        </w:rPr>
        <w:t xml:space="preserve">harmonizace konceptů datové výměny RIS dat zavedením koordinovaného řízení </w:t>
      </w:r>
      <w:r w:rsidRPr="00D26644">
        <w:rPr>
          <w:rFonts w:eastAsia="Times New Roman" w:cs="Times New Roman"/>
          <w:iCs/>
          <w:szCs w:val="24"/>
          <w:lang w:eastAsia="cs-CZ"/>
        </w:rPr>
        <w:br/>
        <w:t>na koridorech, eliminující rozdílné koncepty datové výměny;</w:t>
      </w:r>
    </w:p>
    <w:p w:rsidR="00860150" w:rsidRPr="00D26644" w:rsidRDefault="00860150" w:rsidP="00860150">
      <w:pPr>
        <w:numPr>
          <w:ilvl w:val="0"/>
          <w:numId w:val="25"/>
        </w:numPr>
        <w:spacing w:before="120" w:after="240" w:line="276" w:lineRule="auto"/>
        <w:ind w:left="568" w:hanging="284"/>
        <w:rPr>
          <w:rFonts w:eastAsia="Times New Roman" w:cs="Times New Roman"/>
          <w:iCs/>
          <w:szCs w:val="24"/>
          <w:lang w:eastAsia="cs-CZ"/>
        </w:rPr>
      </w:pPr>
      <w:r w:rsidRPr="00D26644">
        <w:rPr>
          <w:rFonts w:eastAsia="Times New Roman" w:cs="Times New Roman"/>
          <w:iCs/>
          <w:szCs w:val="24"/>
          <w:lang w:eastAsia="cs-CZ"/>
        </w:rPr>
        <w:t>výrazný pokrok v zavádění harmonizovaných informačních služeb na evropské nebo koridorové úrovni, vycházející z existujících řešení a technologií;</w:t>
      </w:r>
    </w:p>
    <w:p w:rsidR="00860150" w:rsidRPr="00D26644" w:rsidRDefault="00860150" w:rsidP="00860150">
      <w:pPr>
        <w:numPr>
          <w:ilvl w:val="0"/>
          <w:numId w:val="25"/>
        </w:numPr>
        <w:spacing w:before="120" w:after="240" w:line="276" w:lineRule="auto"/>
        <w:ind w:left="568" w:hanging="284"/>
        <w:rPr>
          <w:rFonts w:eastAsia="Times New Roman" w:cs="Times New Roman"/>
          <w:iCs/>
          <w:szCs w:val="24"/>
          <w:lang w:eastAsia="cs-CZ"/>
        </w:rPr>
      </w:pPr>
      <w:r w:rsidRPr="00D26644">
        <w:rPr>
          <w:rFonts w:eastAsia="Times New Roman" w:cs="Times New Roman"/>
          <w:iCs/>
          <w:szCs w:val="24"/>
          <w:lang w:eastAsia="cs-CZ"/>
        </w:rPr>
        <w:t xml:space="preserve">RIS COMEX, jako společná platforma spojující partnery z veřejného a soukromého sektoru v koridorovém řízení RIS, zajistí dialog mezi poskytovateli RIS a uživateli; </w:t>
      </w:r>
    </w:p>
    <w:p w:rsidR="00860150" w:rsidRPr="00D26644" w:rsidRDefault="00860150" w:rsidP="00860150">
      <w:pPr>
        <w:numPr>
          <w:ilvl w:val="0"/>
          <w:numId w:val="25"/>
        </w:numPr>
        <w:spacing w:before="120" w:after="240" w:line="276" w:lineRule="auto"/>
        <w:ind w:left="568" w:hanging="284"/>
        <w:rPr>
          <w:rFonts w:eastAsia="Times New Roman" w:cs="Times New Roman"/>
          <w:iCs/>
          <w:szCs w:val="24"/>
          <w:lang w:eastAsia="cs-CZ"/>
        </w:rPr>
      </w:pPr>
      <w:r w:rsidRPr="00D26644">
        <w:rPr>
          <w:rFonts w:eastAsia="Times New Roman" w:cs="Times New Roman"/>
          <w:iCs/>
          <w:szCs w:val="24"/>
          <w:lang w:eastAsia="cs-CZ"/>
        </w:rPr>
        <w:t>RIS COMEX zavede harmonizované Říční informační služby zařazené do iniciativy DINA a posune kupředu RIS směrem k integraci s ostatními dopravními módy.</w:t>
      </w:r>
    </w:p>
    <w:p w:rsidR="00860150" w:rsidRPr="00D26644" w:rsidRDefault="00860150" w:rsidP="00860150">
      <w:pPr>
        <w:spacing w:before="120" w:after="240"/>
        <w:rPr>
          <w:rFonts w:eastAsia="Times New Roman" w:cs="Times New Roman"/>
          <w:iCs/>
          <w:szCs w:val="24"/>
          <w:u w:val="single"/>
          <w:lang w:eastAsia="cs-CZ"/>
        </w:rPr>
      </w:pPr>
      <w:r w:rsidRPr="00D26644">
        <w:rPr>
          <w:rFonts w:eastAsia="Times New Roman" w:cs="Times New Roman"/>
          <w:iCs/>
          <w:szCs w:val="24"/>
          <w:u w:val="single"/>
          <w:lang w:eastAsia="cs-CZ"/>
        </w:rPr>
        <w:t>Specifické cíle projektu:</w:t>
      </w:r>
    </w:p>
    <w:p w:rsidR="00860150" w:rsidRPr="00D26644" w:rsidRDefault="00860150" w:rsidP="00860150">
      <w:pPr>
        <w:numPr>
          <w:ilvl w:val="0"/>
          <w:numId w:val="24"/>
        </w:numPr>
        <w:spacing w:before="120" w:line="240" w:lineRule="auto"/>
        <w:ind w:left="567" w:hanging="283"/>
        <w:rPr>
          <w:rFonts w:eastAsia="Times New Roman" w:cs="Times New Roman"/>
          <w:iCs/>
          <w:szCs w:val="24"/>
          <w:lang w:eastAsia="cs-CZ"/>
        </w:rPr>
      </w:pPr>
      <w:r w:rsidRPr="00D26644">
        <w:rPr>
          <w:rFonts w:eastAsia="Times New Roman" w:cs="Times New Roman"/>
          <w:iCs/>
          <w:szCs w:val="24"/>
          <w:lang w:eastAsia="cs-CZ"/>
        </w:rPr>
        <w:t>lepší plánování přepravní vnitrozemskou vodní dopravou</w:t>
      </w:r>
    </w:p>
    <w:p w:rsidR="00860150" w:rsidRPr="00D26644" w:rsidRDefault="00860150" w:rsidP="00860150">
      <w:pPr>
        <w:numPr>
          <w:ilvl w:val="0"/>
          <w:numId w:val="24"/>
        </w:numPr>
        <w:spacing w:before="120" w:line="240" w:lineRule="auto"/>
        <w:ind w:left="567" w:hanging="283"/>
        <w:rPr>
          <w:rFonts w:eastAsia="Times New Roman" w:cs="Times New Roman"/>
          <w:iCs/>
          <w:szCs w:val="24"/>
          <w:lang w:eastAsia="cs-CZ"/>
        </w:rPr>
      </w:pPr>
      <w:r w:rsidRPr="00D26644">
        <w:rPr>
          <w:rFonts w:eastAsia="Times New Roman" w:cs="Times New Roman"/>
          <w:iCs/>
          <w:szCs w:val="24"/>
          <w:lang w:eastAsia="cs-CZ"/>
        </w:rPr>
        <w:t>redukce časů čekání a přepravy</w:t>
      </w:r>
    </w:p>
    <w:p w:rsidR="00860150" w:rsidRPr="00D26644" w:rsidRDefault="00860150" w:rsidP="00860150">
      <w:pPr>
        <w:numPr>
          <w:ilvl w:val="0"/>
          <w:numId w:val="24"/>
        </w:numPr>
        <w:spacing w:before="120" w:line="240" w:lineRule="auto"/>
        <w:ind w:left="567" w:hanging="283"/>
        <w:rPr>
          <w:rFonts w:eastAsia="Times New Roman" w:cs="Times New Roman"/>
          <w:iCs/>
          <w:szCs w:val="24"/>
          <w:lang w:eastAsia="cs-CZ"/>
        </w:rPr>
      </w:pPr>
      <w:r w:rsidRPr="00D26644">
        <w:rPr>
          <w:rFonts w:eastAsia="Times New Roman" w:cs="Times New Roman"/>
          <w:iCs/>
          <w:szCs w:val="24"/>
          <w:lang w:eastAsia="cs-CZ"/>
        </w:rPr>
        <w:t>růst efektivnosti přepravy vnitrozemskou vodní dopravou</w:t>
      </w:r>
    </w:p>
    <w:p w:rsidR="00860150" w:rsidRPr="00D26644" w:rsidRDefault="00860150" w:rsidP="00860150">
      <w:pPr>
        <w:numPr>
          <w:ilvl w:val="0"/>
          <w:numId w:val="24"/>
        </w:numPr>
        <w:spacing w:before="120" w:line="240" w:lineRule="auto"/>
        <w:ind w:left="567" w:hanging="283"/>
        <w:rPr>
          <w:rFonts w:eastAsia="Times New Roman" w:cs="Times New Roman"/>
          <w:iCs/>
          <w:szCs w:val="24"/>
          <w:lang w:eastAsia="cs-CZ"/>
        </w:rPr>
      </w:pPr>
      <w:r w:rsidRPr="00D26644">
        <w:rPr>
          <w:rFonts w:eastAsia="Times New Roman" w:cs="Times New Roman"/>
          <w:iCs/>
          <w:szCs w:val="24"/>
          <w:lang w:eastAsia="cs-CZ"/>
        </w:rPr>
        <w:t xml:space="preserve">optimální využití infrastruktury </w:t>
      </w:r>
    </w:p>
    <w:p w:rsidR="00860150" w:rsidRPr="00D26644" w:rsidRDefault="00860150" w:rsidP="00860150">
      <w:pPr>
        <w:numPr>
          <w:ilvl w:val="0"/>
          <w:numId w:val="24"/>
        </w:numPr>
        <w:spacing w:before="120" w:line="240" w:lineRule="auto"/>
        <w:ind w:left="567" w:hanging="283"/>
        <w:rPr>
          <w:rFonts w:eastAsia="Times New Roman" w:cs="Times New Roman"/>
          <w:iCs/>
          <w:szCs w:val="24"/>
          <w:lang w:eastAsia="cs-CZ"/>
        </w:rPr>
      </w:pPr>
      <w:r w:rsidRPr="00D26644">
        <w:rPr>
          <w:rFonts w:eastAsia="Times New Roman" w:cs="Times New Roman"/>
          <w:iCs/>
          <w:szCs w:val="24"/>
          <w:lang w:eastAsia="cs-CZ"/>
        </w:rPr>
        <w:t xml:space="preserve">redukce administrativních překážek </w:t>
      </w:r>
    </w:p>
    <w:p w:rsidR="00860150" w:rsidRPr="00D26644" w:rsidRDefault="00860150" w:rsidP="00860150">
      <w:pPr>
        <w:pStyle w:val="Styl1"/>
      </w:pPr>
      <w:r w:rsidRPr="00D26644">
        <w:t>Projekt RIS-COMEX je financován v rámci finančního nástroje CEF 2014+ měl být původně ukončen k 31. 12. 2020. Projekt byl prodloužen do 31. 12. 2021.</w:t>
      </w:r>
    </w:p>
    <w:p w:rsidR="00860150" w:rsidRPr="00463ABD" w:rsidRDefault="00860150" w:rsidP="00860150">
      <w:pPr>
        <w:pStyle w:val="Titulek"/>
        <w:keepNext/>
      </w:pPr>
      <w:r w:rsidRPr="00463ABD">
        <w:t xml:space="preserve">Tabulka č. </w:t>
      </w:r>
      <w:r w:rsidRPr="00463ABD">
        <w:rPr>
          <w:noProof/>
        </w:rPr>
        <w:fldChar w:fldCharType="begin"/>
      </w:r>
      <w:r w:rsidRPr="00463ABD">
        <w:rPr>
          <w:noProof/>
        </w:rPr>
        <w:instrText xml:space="preserve"> SEQ Tabulka \* ARABIC </w:instrText>
      </w:r>
      <w:r w:rsidRPr="00463ABD">
        <w:rPr>
          <w:noProof/>
        </w:rPr>
        <w:fldChar w:fldCharType="separate"/>
      </w:r>
      <w:r w:rsidR="006076E7">
        <w:rPr>
          <w:noProof/>
        </w:rPr>
        <w:t>52</w:t>
      </w:r>
      <w:r w:rsidRPr="00463ABD">
        <w:rPr>
          <w:noProof/>
        </w:rPr>
        <w:fldChar w:fldCharType="end"/>
      </w:r>
      <w:r w:rsidRPr="00463ABD">
        <w:rPr>
          <w:noProof/>
        </w:rPr>
        <w:t xml:space="preserve"> Komunitární projekt CEF_RIS COMEX (v tis. Kč)</w:t>
      </w:r>
    </w:p>
    <w:tbl>
      <w:tblPr>
        <w:tblW w:w="502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28"/>
        <w:gridCol w:w="1455"/>
        <w:gridCol w:w="1455"/>
        <w:gridCol w:w="1455"/>
      </w:tblGrid>
      <w:tr w:rsidR="00860150" w:rsidRPr="00FA1AA6" w:rsidTr="001B037B">
        <w:trPr>
          <w:jc w:val="center"/>
        </w:trPr>
        <w:tc>
          <w:tcPr>
            <w:tcW w:w="26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A94FFB" w:rsidRDefault="00860150" w:rsidP="001B037B">
            <w:pPr>
              <w:spacing w:before="40" w:after="40"/>
              <w:rPr>
                <w:rFonts w:eastAsia="Times New Roman" w:cs="Times New Roman"/>
                <w:b/>
                <w:lang w:eastAsia="cs-CZ"/>
              </w:rPr>
            </w:pPr>
            <w:r w:rsidRPr="00A94FFB">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A94FFB" w:rsidRDefault="00860150" w:rsidP="001B037B">
            <w:pPr>
              <w:spacing w:before="40" w:after="40"/>
              <w:ind w:firstLine="539"/>
              <w:rPr>
                <w:rFonts w:eastAsia="Times New Roman" w:cs="Times New Roman"/>
                <w:b/>
                <w:lang w:eastAsia="cs-CZ"/>
              </w:rPr>
            </w:pPr>
            <w:r w:rsidRPr="00A94FFB">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A94FFB" w:rsidRDefault="00860150" w:rsidP="001B037B">
            <w:pPr>
              <w:spacing w:before="40" w:after="40"/>
              <w:ind w:firstLine="539"/>
              <w:rPr>
                <w:rFonts w:eastAsia="Times New Roman" w:cs="Times New Roman"/>
                <w:b/>
                <w:lang w:eastAsia="cs-CZ"/>
              </w:rPr>
            </w:pPr>
            <w:r w:rsidRPr="00A94FFB">
              <w:rPr>
                <w:rFonts w:eastAsia="Times New Roman" w:cs="Times New Roman"/>
                <w:b/>
                <w:lang w:eastAsia="cs-CZ"/>
              </w:rPr>
              <w:t>SR</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A94FFB" w:rsidRDefault="00860150" w:rsidP="001B037B">
            <w:pPr>
              <w:spacing w:before="40" w:after="40"/>
              <w:jc w:val="center"/>
              <w:rPr>
                <w:rFonts w:eastAsia="Times New Roman" w:cs="Times New Roman"/>
                <w:b/>
                <w:lang w:eastAsia="cs-CZ"/>
              </w:rPr>
            </w:pPr>
            <w:r w:rsidRPr="00A94FFB">
              <w:rPr>
                <w:rFonts w:eastAsia="Times New Roman" w:cs="Times New Roman"/>
                <w:b/>
                <w:lang w:eastAsia="cs-CZ"/>
              </w:rPr>
              <w:t>Celkem</w:t>
            </w:r>
          </w:p>
        </w:tc>
      </w:tr>
      <w:tr w:rsidR="00860150" w:rsidRPr="00FA1AA6" w:rsidTr="001B037B">
        <w:trPr>
          <w:jc w:val="center"/>
        </w:trPr>
        <w:tc>
          <w:tcPr>
            <w:tcW w:w="2600" w:type="pct"/>
            <w:tcBorders>
              <w:top w:val="single" w:sz="4" w:space="0" w:color="7F7F7F" w:themeColor="text1" w:themeTint="80"/>
            </w:tcBorders>
            <w:shd w:val="clear" w:color="auto" w:fill="auto"/>
          </w:tcPr>
          <w:p w:rsidR="00860150" w:rsidRPr="00A94FFB" w:rsidRDefault="00860150" w:rsidP="001B037B">
            <w:pPr>
              <w:spacing w:before="40" w:after="40"/>
              <w:rPr>
                <w:rFonts w:eastAsia="Times New Roman" w:cs="Times New Roman"/>
                <w:lang w:eastAsia="cs-CZ"/>
              </w:rPr>
            </w:pPr>
            <w:r w:rsidRPr="00A94FFB">
              <w:rPr>
                <w:rFonts w:eastAsia="Times New Roman" w:cs="Times New Roman"/>
                <w:lang w:eastAsia="cs-CZ"/>
              </w:rPr>
              <w:t>CEF_ RIS COMEX (SPS)</w:t>
            </w:r>
          </w:p>
        </w:tc>
        <w:tc>
          <w:tcPr>
            <w:tcW w:w="800" w:type="pct"/>
            <w:tcBorders>
              <w:top w:val="single" w:sz="4" w:space="0" w:color="7F7F7F" w:themeColor="text1" w:themeTint="80"/>
            </w:tcBorders>
            <w:shd w:val="clear" w:color="auto" w:fill="auto"/>
            <w:vAlign w:val="center"/>
          </w:tcPr>
          <w:p w:rsidR="00860150" w:rsidRPr="00A94FFB" w:rsidRDefault="00195130" w:rsidP="001B037B">
            <w:pPr>
              <w:spacing w:before="40" w:after="40"/>
              <w:jc w:val="right"/>
              <w:rPr>
                <w:rFonts w:eastAsia="Times New Roman" w:cs="Times New Roman"/>
                <w:lang w:eastAsia="cs-CZ"/>
              </w:rPr>
            </w:pPr>
            <w:r>
              <w:rPr>
                <w:rFonts w:eastAsia="Times New Roman" w:cs="Times New Roman"/>
                <w:lang w:eastAsia="cs-CZ"/>
              </w:rPr>
              <w:t>946</w:t>
            </w:r>
          </w:p>
        </w:tc>
        <w:tc>
          <w:tcPr>
            <w:tcW w:w="800" w:type="pct"/>
            <w:tcBorders>
              <w:top w:val="single" w:sz="4" w:space="0" w:color="7F7F7F" w:themeColor="text1" w:themeTint="80"/>
            </w:tcBorders>
            <w:shd w:val="clear" w:color="auto" w:fill="auto"/>
            <w:vAlign w:val="center"/>
          </w:tcPr>
          <w:p w:rsidR="00860150" w:rsidRPr="00A94FFB" w:rsidRDefault="00195130" w:rsidP="00195130">
            <w:pPr>
              <w:spacing w:before="40" w:after="40"/>
              <w:jc w:val="right"/>
              <w:rPr>
                <w:rFonts w:eastAsia="Times New Roman" w:cs="Times New Roman"/>
                <w:lang w:eastAsia="cs-CZ"/>
              </w:rPr>
            </w:pPr>
            <w:r>
              <w:rPr>
                <w:rFonts w:eastAsia="Times New Roman" w:cs="Times New Roman"/>
                <w:lang w:eastAsia="cs-CZ"/>
              </w:rPr>
              <w:t>167</w:t>
            </w:r>
          </w:p>
        </w:tc>
        <w:tc>
          <w:tcPr>
            <w:tcW w:w="800" w:type="pct"/>
            <w:tcBorders>
              <w:top w:val="single" w:sz="4" w:space="0" w:color="7F7F7F" w:themeColor="text1" w:themeTint="80"/>
            </w:tcBorders>
            <w:shd w:val="clear" w:color="auto" w:fill="auto"/>
            <w:vAlign w:val="center"/>
          </w:tcPr>
          <w:p w:rsidR="00860150" w:rsidRPr="00A94FFB" w:rsidRDefault="00195130" w:rsidP="001B037B">
            <w:pPr>
              <w:spacing w:before="40" w:after="40"/>
              <w:jc w:val="right"/>
              <w:rPr>
                <w:rFonts w:eastAsia="Times New Roman" w:cs="Times New Roman"/>
                <w:b/>
                <w:lang w:eastAsia="cs-CZ"/>
              </w:rPr>
            </w:pPr>
            <w:r>
              <w:rPr>
                <w:rFonts w:eastAsia="Times New Roman" w:cs="Times New Roman"/>
                <w:b/>
                <w:lang w:eastAsia="cs-CZ"/>
              </w:rPr>
              <w:t>1 113</w:t>
            </w:r>
          </w:p>
        </w:tc>
      </w:tr>
      <w:tr w:rsidR="00860150" w:rsidRPr="00FA1AA6" w:rsidTr="001B037B">
        <w:trPr>
          <w:jc w:val="center"/>
        </w:trPr>
        <w:tc>
          <w:tcPr>
            <w:tcW w:w="2600" w:type="pct"/>
            <w:tcBorders>
              <w:bottom w:val="single" w:sz="8" w:space="0" w:color="7F7F7F" w:themeColor="text1" w:themeTint="80"/>
            </w:tcBorders>
            <w:shd w:val="clear" w:color="auto" w:fill="auto"/>
          </w:tcPr>
          <w:p w:rsidR="00860150" w:rsidRPr="00615225" w:rsidRDefault="00860150" w:rsidP="001B037B">
            <w:pPr>
              <w:spacing w:before="40" w:after="40"/>
              <w:rPr>
                <w:rFonts w:eastAsia="Times New Roman" w:cs="Times New Roman"/>
                <w:lang w:eastAsia="cs-CZ"/>
              </w:rPr>
            </w:pPr>
            <w:r>
              <w:rPr>
                <w:rFonts w:eastAsia="Times New Roman" w:cs="Times New Roman"/>
                <w:lang w:eastAsia="cs-CZ"/>
              </w:rPr>
              <w:t>CEF_ RIS COMEX  (SFDI)</w:t>
            </w:r>
          </w:p>
        </w:tc>
        <w:tc>
          <w:tcPr>
            <w:tcW w:w="800" w:type="pct"/>
            <w:tcBorders>
              <w:bottom w:val="single" w:sz="8" w:space="0" w:color="7F7F7F" w:themeColor="text1" w:themeTint="80"/>
            </w:tcBorders>
            <w:shd w:val="clear" w:color="auto" w:fill="auto"/>
            <w:vAlign w:val="center"/>
          </w:tcPr>
          <w:p w:rsidR="00860150" w:rsidRPr="00463ABD" w:rsidRDefault="00860150" w:rsidP="001B037B">
            <w:pPr>
              <w:spacing w:before="40" w:after="40"/>
              <w:jc w:val="right"/>
              <w:rPr>
                <w:rFonts w:eastAsia="Times New Roman" w:cs="Times New Roman"/>
                <w:lang w:eastAsia="cs-CZ"/>
              </w:rPr>
            </w:pPr>
            <w:r w:rsidRPr="00463ABD">
              <w:rPr>
                <w:rFonts w:eastAsia="Times New Roman" w:cs="Times New Roman"/>
                <w:lang w:eastAsia="cs-CZ"/>
              </w:rPr>
              <w:t>6 008</w:t>
            </w:r>
          </w:p>
        </w:tc>
        <w:tc>
          <w:tcPr>
            <w:tcW w:w="800" w:type="pct"/>
            <w:tcBorders>
              <w:bottom w:val="single" w:sz="8" w:space="0" w:color="7F7F7F" w:themeColor="text1" w:themeTint="80"/>
            </w:tcBorders>
            <w:shd w:val="clear" w:color="auto" w:fill="auto"/>
            <w:vAlign w:val="center"/>
          </w:tcPr>
          <w:p w:rsidR="00860150" w:rsidRPr="00463ABD" w:rsidRDefault="00860150" w:rsidP="001B037B">
            <w:pPr>
              <w:spacing w:before="40" w:after="40"/>
              <w:jc w:val="right"/>
              <w:rPr>
                <w:rFonts w:eastAsia="Times New Roman" w:cs="Times New Roman"/>
                <w:lang w:eastAsia="cs-CZ"/>
              </w:rPr>
            </w:pPr>
            <w:r w:rsidRPr="00463ABD">
              <w:rPr>
                <w:rFonts w:eastAsia="Times New Roman" w:cs="Times New Roman"/>
                <w:lang w:eastAsia="cs-CZ"/>
              </w:rPr>
              <w:t>0</w:t>
            </w:r>
          </w:p>
        </w:tc>
        <w:tc>
          <w:tcPr>
            <w:tcW w:w="800" w:type="pct"/>
            <w:tcBorders>
              <w:bottom w:val="single" w:sz="8" w:space="0" w:color="7F7F7F" w:themeColor="text1" w:themeTint="80"/>
            </w:tcBorders>
            <w:shd w:val="clear" w:color="auto" w:fill="auto"/>
            <w:vAlign w:val="center"/>
          </w:tcPr>
          <w:p w:rsidR="00860150" w:rsidRPr="00463ABD" w:rsidRDefault="00860150" w:rsidP="001B037B">
            <w:pPr>
              <w:spacing w:before="40" w:after="40"/>
              <w:jc w:val="right"/>
              <w:rPr>
                <w:rFonts w:eastAsia="Times New Roman" w:cs="Times New Roman"/>
                <w:b/>
                <w:lang w:eastAsia="cs-CZ"/>
              </w:rPr>
            </w:pPr>
            <w:r w:rsidRPr="00463ABD">
              <w:rPr>
                <w:rFonts w:eastAsia="Times New Roman" w:cs="Times New Roman"/>
                <w:b/>
                <w:lang w:eastAsia="cs-CZ"/>
              </w:rPr>
              <w:t>6 008</w:t>
            </w:r>
          </w:p>
        </w:tc>
      </w:tr>
      <w:tr w:rsidR="00860150" w:rsidRPr="00FA1AA6" w:rsidTr="001B037B">
        <w:trPr>
          <w:jc w:val="center"/>
        </w:trPr>
        <w:tc>
          <w:tcPr>
            <w:tcW w:w="2600" w:type="pct"/>
            <w:tcBorders>
              <w:bottom w:val="single" w:sz="8" w:space="0" w:color="7F7F7F" w:themeColor="text1" w:themeTint="80"/>
            </w:tcBorders>
            <w:shd w:val="clear" w:color="auto" w:fill="auto"/>
          </w:tcPr>
          <w:p w:rsidR="00860150" w:rsidRPr="00615225" w:rsidRDefault="00860150" w:rsidP="001B037B">
            <w:pPr>
              <w:spacing w:before="40" w:after="40"/>
              <w:ind w:left="454"/>
              <w:rPr>
                <w:rFonts w:eastAsia="Times New Roman" w:cs="Times New Roman"/>
                <w:i/>
                <w:lang w:eastAsia="cs-CZ"/>
              </w:rPr>
            </w:pPr>
            <w:r>
              <w:rPr>
                <w:rFonts w:eastAsia="Times New Roman" w:cs="Times New Roman"/>
                <w:i/>
                <w:lang w:eastAsia="cs-CZ"/>
              </w:rPr>
              <w:t>v tom</w:t>
            </w:r>
            <w:r w:rsidRPr="00615225">
              <w:rPr>
                <w:rFonts w:eastAsia="Times New Roman" w:cs="Times New Roman"/>
                <w:i/>
                <w:lang w:eastAsia="cs-CZ"/>
              </w:rPr>
              <w:t>: program 127 77 Pod. fin. dopravy</w:t>
            </w:r>
          </w:p>
        </w:tc>
        <w:tc>
          <w:tcPr>
            <w:tcW w:w="800" w:type="pct"/>
            <w:tcBorders>
              <w:bottom w:val="single" w:sz="8" w:space="0" w:color="7F7F7F" w:themeColor="text1" w:themeTint="80"/>
            </w:tcBorders>
            <w:shd w:val="clear" w:color="auto" w:fill="auto"/>
            <w:vAlign w:val="center"/>
          </w:tcPr>
          <w:p w:rsidR="00860150" w:rsidRPr="00615225" w:rsidRDefault="00860150" w:rsidP="001B037B">
            <w:pPr>
              <w:spacing w:before="40" w:after="40"/>
              <w:jc w:val="right"/>
              <w:rPr>
                <w:rFonts w:eastAsia="Times New Roman" w:cs="Times New Roman"/>
                <w:i/>
                <w:lang w:eastAsia="cs-CZ"/>
              </w:rPr>
            </w:pPr>
            <w:r>
              <w:rPr>
                <w:rFonts w:eastAsia="Times New Roman" w:cs="Times New Roman"/>
                <w:i/>
                <w:lang w:eastAsia="cs-CZ"/>
              </w:rPr>
              <w:t>6 008</w:t>
            </w:r>
          </w:p>
        </w:tc>
        <w:tc>
          <w:tcPr>
            <w:tcW w:w="800" w:type="pct"/>
            <w:tcBorders>
              <w:bottom w:val="single" w:sz="8" w:space="0" w:color="7F7F7F" w:themeColor="text1" w:themeTint="80"/>
            </w:tcBorders>
            <w:shd w:val="clear" w:color="auto" w:fill="auto"/>
            <w:vAlign w:val="center"/>
          </w:tcPr>
          <w:p w:rsidR="00860150" w:rsidRPr="00615225" w:rsidRDefault="00860150" w:rsidP="001B037B">
            <w:pPr>
              <w:spacing w:before="40" w:after="40"/>
              <w:jc w:val="right"/>
              <w:rPr>
                <w:rFonts w:eastAsia="Times New Roman" w:cs="Times New Roman"/>
                <w:i/>
                <w:lang w:eastAsia="cs-CZ"/>
              </w:rPr>
            </w:pPr>
            <w:r>
              <w:rPr>
                <w:rFonts w:eastAsia="Times New Roman" w:cs="Times New Roman"/>
                <w:i/>
                <w:lang w:eastAsia="cs-CZ"/>
              </w:rPr>
              <w:t>0</w:t>
            </w:r>
          </w:p>
        </w:tc>
        <w:tc>
          <w:tcPr>
            <w:tcW w:w="800" w:type="pct"/>
            <w:tcBorders>
              <w:bottom w:val="single" w:sz="8" w:space="0" w:color="7F7F7F" w:themeColor="text1" w:themeTint="80"/>
            </w:tcBorders>
            <w:shd w:val="clear" w:color="auto" w:fill="auto"/>
            <w:vAlign w:val="center"/>
          </w:tcPr>
          <w:p w:rsidR="00860150" w:rsidRPr="00615225" w:rsidRDefault="00860150" w:rsidP="001B037B">
            <w:pPr>
              <w:spacing w:before="40" w:after="40"/>
              <w:jc w:val="right"/>
              <w:rPr>
                <w:rFonts w:eastAsia="Times New Roman" w:cs="Times New Roman"/>
                <w:b/>
                <w:i/>
                <w:lang w:eastAsia="cs-CZ"/>
              </w:rPr>
            </w:pPr>
            <w:r>
              <w:rPr>
                <w:rFonts w:eastAsia="Times New Roman" w:cs="Times New Roman"/>
                <w:b/>
                <w:i/>
                <w:lang w:eastAsia="cs-CZ"/>
              </w:rPr>
              <w:t>6 008</w:t>
            </w:r>
          </w:p>
        </w:tc>
      </w:tr>
      <w:tr w:rsidR="00860150" w:rsidRPr="00463ABD" w:rsidTr="001B037B">
        <w:trPr>
          <w:jc w:val="center"/>
        </w:trPr>
        <w:tc>
          <w:tcPr>
            <w:tcW w:w="2600" w:type="pct"/>
            <w:tcBorders>
              <w:top w:val="single" w:sz="8" w:space="0" w:color="7F7F7F" w:themeColor="text1" w:themeTint="80"/>
              <w:bottom w:val="single" w:sz="8" w:space="0" w:color="7F7F7F" w:themeColor="text1" w:themeTint="80"/>
            </w:tcBorders>
            <w:shd w:val="clear" w:color="auto" w:fill="auto"/>
          </w:tcPr>
          <w:p w:rsidR="00860150" w:rsidRPr="00463ABD" w:rsidRDefault="00860150" w:rsidP="001B037B">
            <w:pPr>
              <w:spacing w:before="40" w:after="40"/>
              <w:rPr>
                <w:rFonts w:eastAsia="Times New Roman" w:cs="Times New Roman"/>
                <w:b/>
                <w:bCs/>
                <w:lang w:eastAsia="cs-CZ"/>
              </w:rPr>
            </w:pPr>
            <w:r w:rsidRPr="00463ABD">
              <w:rPr>
                <w:rFonts w:eastAsia="Times New Roman" w:cs="Times New Roman"/>
                <w:b/>
                <w:lang w:eastAsia="cs-CZ"/>
              </w:rPr>
              <w:t>Celkem</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860150" w:rsidRPr="00463ABD" w:rsidRDefault="00195130" w:rsidP="001B037B">
            <w:pPr>
              <w:spacing w:before="40" w:after="40"/>
              <w:ind w:firstLine="539"/>
              <w:jc w:val="right"/>
              <w:rPr>
                <w:rFonts w:eastAsia="Times New Roman" w:cs="Times New Roman"/>
                <w:b/>
                <w:lang w:eastAsia="cs-CZ"/>
              </w:rPr>
            </w:pPr>
            <w:r>
              <w:rPr>
                <w:rFonts w:eastAsia="Times New Roman" w:cs="Times New Roman"/>
                <w:b/>
                <w:lang w:eastAsia="cs-CZ"/>
              </w:rPr>
              <w:t>6 954</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860150" w:rsidRPr="00463ABD" w:rsidRDefault="00195130" w:rsidP="001B037B">
            <w:pPr>
              <w:spacing w:before="40" w:after="40"/>
              <w:ind w:firstLine="539"/>
              <w:jc w:val="right"/>
              <w:rPr>
                <w:rFonts w:eastAsia="Times New Roman" w:cs="Times New Roman"/>
                <w:b/>
                <w:lang w:eastAsia="cs-CZ"/>
              </w:rPr>
            </w:pPr>
            <w:r>
              <w:rPr>
                <w:rFonts w:eastAsia="Times New Roman" w:cs="Times New Roman"/>
                <w:b/>
                <w:lang w:eastAsia="cs-CZ"/>
              </w:rPr>
              <w:t>167</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860150" w:rsidRPr="00463ABD" w:rsidRDefault="00195130" w:rsidP="001B037B">
            <w:pPr>
              <w:spacing w:before="40" w:after="40"/>
              <w:ind w:firstLine="539"/>
              <w:jc w:val="right"/>
              <w:rPr>
                <w:rFonts w:eastAsia="Times New Roman" w:cs="Times New Roman"/>
                <w:b/>
                <w:lang w:eastAsia="cs-CZ"/>
              </w:rPr>
            </w:pPr>
            <w:r>
              <w:rPr>
                <w:rFonts w:eastAsia="Times New Roman" w:cs="Times New Roman"/>
                <w:b/>
                <w:lang w:eastAsia="cs-CZ"/>
              </w:rPr>
              <w:t>7 121</w:t>
            </w:r>
          </w:p>
        </w:tc>
      </w:tr>
    </w:tbl>
    <w:p w:rsidR="00860150" w:rsidRPr="00D26644" w:rsidRDefault="00860150" w:rsidP="000D634C">
      <w:pPr>
        <w:pStyle w:val="Nadpis7"/>
      </w:pPr>
      <w:bookmarkStart w:id="117" w:name="_Toc462314411"/>
      <w:bookmarkStart w:id="118" w:name="_Toc21609487"/>
      <w:r>
        <w:t>f) CEF C – Roads Austria 2</w:t>
      </w:r>
    </w:p>
    <w:p w:rsidR="00860150" w:rsidRPr="00165E5F" w:rsidRDefault="00956A67" w:rsidP="00860150">
      <w:pPr>
        <w:pStyle w:val="Styl1"/>
      </w:pPr>
      <w:r>
        <w:t>Český projekt C-Roads Czech Republic</w:t>
      </w:r>
      <w:r w:rsidR="00860150" w:rsidRPr="00165E5F">
        <w:t xml:space="preserve"> spolufinancovaný z nástroje CEF je součástí evropské platformy C-Roads, jejímž cílem je vytvořit mezi jednotlivými evropskými projekty harmonizovaný funkční systém pro přeshraniční využití služeb C-ITS, a připravit tak prostředí pro nástup kooperativních a v blízké budoucnosti i autonomních vozidel.</w:t>
      </w:r>
    </w:p>
    <w:p w:rsidR="00860150" w:rsidRPr="00165E5F" w:rsidRDefault="00860150" w:rsidP="00860150">
      <w:pPr>
        <w:pStyle w:val="Styl1"/>
      </w:pPr>
      <w:r w:rsidRPr="00165E5F">
        <w:lastRenderedPageBreak/>
        <w:t>ČR se se do této společné iniciat</w:t>
      </w:r>
      <w:r w:rsidR="002A3F1C">
        <w:t>ivy zapojila prostřednictvím MD</w:t>
      </w:r>
      <w:r w:rsidRPr="00165E5F">
        <w:t xml:space="preserve"> a společně s dalšími partnery ze soukromé a akademické sféry započali zavádění kooperativních ITS systémů v ČR v rámci projektu C-Roads Czech Republic. Realizací projektu C-Roads Czech Republic a spoluprací v rámci C-Roads Platform tak Česká republika naplňuje záměr ministra dopravy zavést C-ITS do roku 2019 deklarovaný v Amsterodamském prohlášení a evropskou strat</w:t>
      </w:r>
      <w:r w:rsidR="000D634C">
        <w:t xml:space="preserve">egii týkající se kooperativních </w:t>
      </w:r>
      <w:r w:rsidRPr="00165E5F">
        <w:t>(spolupracujících), (datově) propojených a automatizovaných vozidel.</w:t>
      </w:r>
    </w:p>
    <w:p w:rsidR="00860150" w:rsidRPr="00165E5F" w:rsidRDefault="00860150" w:rsidP="00860150">
      <w:pPr>
        <w:pStyle w:val="Styl1"/>
      </w:pPr>
      <w:r w:rsidRPr="00165E5F">
        <w:t xml:space="preserve">Evropská komise vyhlásila v roce 2018 v rámci program CEF Transport novou výzvu, v rámci které členské státy budou, podávaly projektové přihlášky, tj. záměry zavádět C-ITS ve spolupráci s mezinárodní platformou C-Roads Platform. Tímto krokem vnikla 2. fáze projektů C-Roads i jejich mezinárodní koordinační platformy (Platforma C-Roads 2). Do zmíněné výzvy se už nemohly hlásit státy zapojené do C-Roads, fáze 1 (pozn.: ve výzvě bylo jasně uvedeno, že budou upřednostněny státy, které ještě C-Roads projekty neřeší. Výzva také podporovala zapojení měst). I když MD indikovalo zájem a připravenost (některých statutárních měst) podat projektovou přihlášku do CEF, přes komplikovanou situaci ve velkých městech po volbách do zastupitelstev žádné město z ČR nepodalo projektovou přihlášku do tehdy vyhlášené výzvy CEF. </w:t>
      </w:r>
    </w:p>
    <w:p w:rsidR="00860150" w:rsidRPr="00165E5F" w:rsidRDefault="00860150" w:rsidP="00860150">
      <w:pPr>
        <w:pStyle w:val="Styl1"/>
      </w:pPr>
      <w:r w:rsidRPr="00165E5F">
        <w:t>ČR byla první zemí (projektem C-Roads Czech Republic) v rámci kterého bylo zapojeno město (Brno prostřednictvím Brněnských komunikací, a.s.) a jako asociovaný partner dopravní podniky (Ostrava, Plzeň, Brno). V rámci současné Platformy C-Roads (fáze 1) navrhuje řešení C-ITS pro města, dopravní podniky (a železniční přejezdy).</w:t>
      </w:r>
    </w:p>
    <w:p w:rsidR="00860150" w:rsidRDefault="00860150" w:rsidP="00860150">
      <w:pPr>
        <w:pStyle w:val="Styl1"/>
      </w:pPr>
      <w:r w:rsidRPr="00165E5F">
        <w:t>Pro rozvoj C-ITS v ČR je zásadní, aby se ČR zapojila do Platformy C-Roads 2, aby ČR zůstal přístup k informacím a možnost ovlivnit podobu technických dokumentů platformy. V opačném případě by dosud vynaložené úsilí (a související finanční prostředky) mohly být zmařeny, protože by už ČR neměla možnost ovlivňovat podobu technických dokumentů, a tím také hájit zájmy ČR.</w:t>
      </w:r>
    </w:p>
    <w:p w:rsidR="00860150" w:rsidRPr="008B7FC2" w:rsidRDefault="00860150" w:rsidP="00860150">
      <w:pPr>
        <w:pStyle w:val="Titulek"/>
        <w:keepNext/>
      </w:pPr>
      <w:r w:rsidRPr="008B7FC2">
        <w:t xml:space="preserve">Tabulka č. </w:t>
      </w:r>
      <w:r w:rsidRPr="008B7FC2">
        <w:rPr>
          <w:noProof/>
        </w:rPr>
        <w:fldChar w:fldCharType="begin"/>
      </w:r>
      <w:r w:rsidRPr="008B7FC2">
        <w:rPr>
          <w:noProof/>
        </w:rPr>
        <w:instrText xml:space="preserve"> SEQ Tabulka \* ARABIC </w:instrText>
      </w:r>
      <w:r w:rsidRPr="008B7FC2">
        <w:rPr>
          <w:noProof/>
        </w:rPr>
        <w:fldChar w:fldCharType="separate"/>
      </w:r>
      <w:r w:rsidR="006076E7">
        <w:rPr>
          <w:noProof/>
        </w:rPr>
        <w:t>53</w:t>
      </w:r>
      <w:r w:rsidRPr="008B7FC2">
        <w:rPr>
          <w:noProof/>
        </w:rPr>
        <w:fldChar w:fldCharType="end"/>
      </w:r>
      <w:r w:rsidRPr="008B7FC2">
        <w:rPr>
          <w:noProof/>
        </w:rPr>
        <w:t xml:space="preserve"> Komunitární projekt CEF C – ROADS Austria 2 (v tis. Kč)</w:t>
      </w:r>
    </w:p>
    <w:tbl>
      <w:tblPr>
        <w:tblW w:w="502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28"/>
        <w:gridCol w:w="1455"/>
        <w:gridCol w:w="1455"/>
        <w:gridCol w:w="1455"/>
      </w:tblGrid>
      <w:tr w:rsidR="00860150" w:rsidRPr="00FA1AA6" w:rsidTr="001B037B">
        <w:trPr>
          <w:jc w:val="center"/>
        </w:trPr>
        <w:tc>
          <w:tcPr>
            <w:tcW w:w="26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8B7FC2" w:rsidRDefault="00860150" w:rsidP="001B037B">
            <w:pPr>
              <w:spacing w:before="40" w:after="40"/>
              <w:rPr>
                <w:rFonts w:eastAsia="Times New Roman" w:cs="Times New Roman"/>
                <w:b/>
                <w:lang w:eastAsia="cs-CZ"/>
              </w:rPr>
            </w:pPr>
            <w:r w:rsidRPr="008B7FC2">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8B7FC2" w:rsidRDefault="00860150" w:rsidP="001B037B">
            <w:pPr>
              <w:spacing w:before="40" w:after="40"/>
              <w:ind w:firstLine="539"/>
              <w:rPr>
                <w:rFonts w:eastAsia="Times New Roman" w:cs="Times New Roman"/>
                <w:b/>
                <w:lang w:eastAsia="cs-CZ"/>
              </w:rPr>
            </w:pPr>
            <w:r w:rsidRPr="008B7FC2">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8B7FC2" w:rsidRDefault="00860150" w:rsidP="001B037B">
            <w:pPr>
              <w:spacing w:before="40" w:after="40"/>
              <w:ind w:firstLine="539"/>
              <w:rPr>
                <w:rFonts w:eastAsia="Times New Roman" w:cs="Times New Roman"/>
                <w:b/>
                <w:lang w:eastAsia="cs-CZ"/>
              </w:rPr>
            </w:pPr>
            <w:r w:rsidRPr="008B7FC2">
              <w:rPr>
                <w:rFonts w:eastAsia="Times New Roman" w:cs="Times New Roman"/>
                <w:b/>
                <w:lang w:eastAsia="cs-CZ"/>
              </w:rPr>
              <w:t>SR</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8B7FC2" w:rsidRDefault="00860150" w:rsidP="001B037B">
            <w:pPr>
              <w:spacing w:before="40" w:after="40"/>
              <w:jc w:val="center"/>
              <w:rPr>
                <w:rFonts w:eastAsia="Times New Roman" w:cs="Times New Roman"/>
                <w:b/>
                <w:lang w:eastAsia="cs-CZ"/>
              </w:rPr>
            </w:pPr>
            <w:r w:rsidRPr="008B7FC2">
              <w:rPr>
                <w:rFonts w:eastAsia="Times New Roman" w:cs="Times New Roman"/>
                <w:b/>
                <w:lang w:eastAsia="cs-CZ"/>
              </w:rPr>
              <w:t>Celkem</w:t>
            </w:r>
          </w:p>
        </w:tc>
      </w:tr>
      <w:tr w:rsidR="00860150" w:rsidRPr="00FA1AA6" w:rsidTr="001B037B">
        <w:trPr>
          <w:jc w:val="center"/>
        </w:trPr>
        <w:tc>
          <w:tcPr>
            <w:tcW w:w="2600" w:type="pct"/>
            <w:tcBorders>
              <w:top w:val="single" w:sz="4" w:space="0" w:color="7F7F7F" w:themeColor="text1" w:themeTint="80"/>
            </w:tcBorders>
            <w:shd w:val="clear" w:color="auto" w:fill="auto"/>
          </w:tcPr>
          <w:p w:rsidR="00860150" w:rsidRPr="00C85C1E" w:rsidRDefault="00860150" w:rsidP="001B037B">
            <w:pPr>
              <w:spacing w:before="40" w:after="40"/>
              <w:rPr>
                <w:rFonts w:eastAsia="Times New Roman" w:cs="Times New Roman"/>
                <w:lang w:eastAsia="cs-CZ"/>
              </w:rPr>
            </w:pPr>
            <w:r w:rsidRPr="00C85C1E">
              <w:rPr>
                <w:rFonts w:eastAsia="Times New Roman" w:cs="Times New Roman"/>
                <w:lang w:eastAsia="cs-CZ"/>
              </w:rPr>
              <w:t>CEF_C-Roads Austria 2 (MD)</w:t>
            </w:r>
          </w:p>
        </w:tc>
        <w:tc>
          <w:tcPr>
            <w:tcW w:w="800" w:type="pct"/>
            <w:tcBorders>
              <w:top w:val="single" w:sz="4" w:space="0" w:color="7F7F7F" w:themeColor="text1" w:themeTint="80"/>
            </w:tcBorders>
            <w:shd w:val="clear" w:color="auto" w:fill="auto"/>
            <w:vAlign w:val="center"/>
          </w:tcPr>
          <w:p w:rsidR="00860150" w:rsidRPr="00C85C1E" w:rsidRDefault="00860150" w:rsidP="001B037B">
            <w:pPr>
              <w:spacing w:before="40" w:after="40"/>
              <w:jc w:val="right"/>
              <w:rPr>
                <w:rFonts w:eastAsia="Times New Roman" w:cs="Times New Roman"/>
                <w:lang w:eastAsia="cs-CZ"/>
              </w:rPr>
            </w:pPr>
            <w:r w:rsidRPr="00C85C1E">
              <w:rPr>
                <w:rFonts w:eastAsia="Times New Roman" w:cs="Times New Roman"/>
                <w:lang w:eastAsia="cs-CZ"/>
              </w:rPr>
              <w:t>4</w:t>
            </w:r>
            <w:r>
              <w:rPr>
                <w:rFonts w:eastAsia="Times New Roman" w:cs="Times New Roman"/>
                <w:lang w:eastAsia="cs-CZ"/>
              </w:rPr>
              <w:t>15</w:t>
            </w:r>
          </w:p>
        </w:tc>
        <w:tc>
          <w:tcPr>
            <w:tcW w:w="800" w:type="pct"/>
            <w:tcBorders>
              <w:top w:val="single" w:sz="4" w:space="0" w:color="7F7F7F" w:themeColor="text1" w:themeTint="80"/>
            </w:tcBorders>
            <w:shd w:val="clear" w:color="auto" w:fill="auto"/>
            <w:vAlign w:val="center"/>
          </w:tcPr>
          <w:p w:rsidR="00860150" w:rsidRPr="00C85C1E" w:rsidRDefault="00860150" w:rsidP="0058617B">
            <w:pPr>
              <w:spacing w:before="40" w:after="40"/>
              <w:jc w:val="right"/>
              <w:rPr>
                <w:rFonts w:eastAsia="Times New Roman" w:cs="Times New Roman"/>
                <w:lang w:eastAsia="cs-CZ"/>
              </w:rPr>
            </w:pPr>
            <w:r w:rsidRPr="00C85C1E">
              <w:rPr>
                <w:rFonts w:eastAsia="Times New Roman" w:cs="Times New Roman"/>
                <w:lang w:eastAsia="cs-CZ"/>
              </w:rPr>
              <w:t>41</w:t>
            </w:r>
            <w:r w:rsidR="0058617B">
              <w:rPr>
                <w:rFonts w:eastAsia="Times New Roman" w:cs="Times New Roman"/>
                <w:lang w:eastAsia="cs-CZ"/>
              </w:rPr>
              <w:t>4</w:t>
            </w:r>
          </w:p>
        </w:tc>
        <w:tc>
          <w:tcPr>
            <w:tcW w:w="800" w:type="pct"/>
            <w:tcBorders>
              <w:top w:val="single" w:sz="4" w:space="0" w:color="7F7F7F" w:themeColor="text1" w:themeTint="80"/>
            </w:tcBorders>
            <w:shd w:val="clear" w:color="auto" w:fill="auto"/>
            <w:vAlign w:val="center"/>
          </w:tcPr>
          <w:p w:rsidR="00860150" w:rsidRPr="00C85C1E" w:rsidRDefault="00860150" w:rsidP="001B037B">
            <w:pPr>
              <w:spacing w:before="40" w:after="40"/>
              <w:jc w:val="right"/>
              <w:rPr>
                <w:rFonts w:eastAsia="Times New Roman" w:cs="Times New Roman"/>
                <w:b/>
                <w:lang w:eastAsia="cs-CZ"/>
              </w:rPr>
            </w:pPr>
            <w:r>
              <w:rPr>
                <w:rFonts w:eastAsia="Times New Roman" w:cs="Times New Roman"/>
                <w:b/>
                <w:lang w:eastAsia="cs-CZ"/>
              </w:rPr>
              <w:t>829</w:t>
            </w:r>
          </w:p>
        </w:tc>
      </w:tr>
    </w:tbl>
    <w:p w:rsidR="00860150" w:rsidRPr="008B7FC2" w:rsidRDefault="00860150" w:rsidP="000D634C">
      <w:pPr>
        <w:pStyle w:val="Nadpis7"/>
      </w:pPr>
      <w:r w:rsidRPr="008B7FC2">
        <w:lastRenderedPageBreak/>
        <w:t>g) CEF C – PSA – NAP Governance</w:t>
      </w:r>
    </w:p>
    <w:p w:rsidR="00860150" w:rsidRPr="008B7FC2" w:rsidRDefault="00860150" w:rsidP="00860150">
      <w:pPr>
        <w:pStyle w:val="Styl1"/>
        <w:rPr>
          <w:sz w:val="22"/>
        </w:rPr>
      </w:pPr>
      <w:r w:rsidRPr="008B7FC2">
        <w:t>Dne 19. února 2020 zveřejnila Evropská komise tzv. digitální balíček, který obsahoval tři strategické dokumenty v oblasti digitálních ekonomiky. Jedním ze tří dokumentů je </w:t>
      </w:r>
      <w:r w:rsidRPr="008B7FC2">
        <w:rPr>
          <w:b/>
          <w:bCs/>
        </w:rPr>
        <w:t>Evropská datová strategie</w:t>
      </w:r>
      <w:r w:rsidRPr="008B7FC2">
        <w:t>, přičemž jedním z jejich cílů je podpořit výměnu a sdílení dat napříč různými odvětvími (cross-sectoral governance) a členskými státy. Příslušný útvar Evropské komise – Generální ředitelství mobilitu a dopravu</w:t>
      </w:r>
      <w:r w:rsidRPr="008B7FC2">
        <w:rPr>
          <w:sz w:val="21"/>
          <w:szCs w:val="21"/>
          <w:shd w:val="clear" w:color="auto" w:fill="FFFFFF"/>
        </w:rPr>
        <w:t> </w:t>
      </w:r>
      <w:r w:rsidRPr="008B7FC2">
        <w:t xml:space="preserve">(DG MOVE) plánuje v této souvislosti vytvoření </w:t>
      </w:r>
      <w:r w:rsidR="000D634C">
        <w:br/>
      </w:r>
      <w:r w:rsidRPr="008B7FC2">
        <w:t xml:space="preserve">tzv. „Mobility Data Space“ s cílem zajistit interoperabilitu dat mezi národními přístupovými body zřízenými podle směrnice EU o ITS (NAP), tzn., že kromě základního předpokladu disponovat dopravními daty a poskytnout tato data dotčeným subjektům nebo třetím stranám </w:t>
      </w:r>
      <w:r w:rsidR="00EB08FD">
        <w:br/>
      </w:r>
      <w:r w:rsidRPr="008B7FC2">
        <w:t>je nezbytné také vytvořit síť pro výměnu těchto dat a stejně tak mechanismy, jak ověřovat kvalitu dat. Tento aspekt bude zapracován do nového pracovního programu EK pro realizaci akcí stanovených směrnicí EU o ITS (</w:t>
      </w:r>
      <w:r w:rsidRPr="0058617B">
        <w:t>new working programme</w:t>
      </w:r>
      <w:r w:rsidRPr="008B7FC2">
        <w:t xml:space="preserve">) a rovněž tak bude zohledněn při revizi stávající směrnice EU o ITS. V podmínkách ČR je národním přístupovým místem Národní dopravní informační centrum (NDIC). </w:t>
      </w:r>
    </w:p>
    <w:p w:rsidR="00860150" w:rsidRPr="008B7FC2" w:rsidRDefault="00860150" w:rsidP="00860150">
      <w:pPr>
        <w:pStyle w:val="Styl1"/>
      </w:pPr>
      <w:r w:rsidRPr="008B7FC2">
        <w:t xml:space="preserve">V této souvislosti DG MOVE připravuje projekt, který je v zájmu EK, a proto je iniciován přímo komisí, neboť projekt má realizovat strategické cíle EK a z tohoto důvodu bude řešen v režimu CEF PSA – Programme Support Action. Projekt se zaměří na spolupráci koordinovanou EK, tzn., že hlavním výsledkem projektu budou koordinované návrhy dalšího řešení. Je třeba detailněji zanalyzovat (a to nejen ze zpráv o naplňování směrnice ITS pro EK) jaká je přesná situace, jaká je přístupnost a dostupnost dat, zda jsou v dobré (odpovídající kvalitě), tj. nejen co reálně existuje (je vybudováno), ale také čeho je třeba pro zlepšení situace dosáhnout. Studijní část projektu bude obsahovat dlouhodobější vizi (potřebné kroky po roce 2023). Po technické stránce se projekt zaměří na harmonizaci datových formátů, aktualizaci rozvoje technických norem pro minimální profily interoperabilní v EU, validační nástroje </w:t>
      </w:r>
      <w:r w:rsidR="00EB08FD">
        <w:br/>
      </w:r>
      <w:r w:rsidRPr="008B7FC2">
        <w:t xml:space="preserve">a testovací platformy. Kromě technické stránky věci bude řešena organizační otázka, tj. otázka spolupráce - spravování systému - mezi NAPy (NDICy), Je třeba definovat jednotlivé prvky, procesy, postupy a harmonizovat řízení z tohoto úhlu pohledu, což bude mít vliv na technické řešení. </w:t>
      </w:r>
    </w:p>
    <w:p w:rsidR="00860150" w:rsidRDefault="00860150" w:rsidP="00860150">
      <w:pPr>
        <w:pStyle w:val="Styl1"/>
      </w:pPr>
      <w:r w:rsidRPr="008B7FC2">
        <w:t>Projekt bude zařazen do tzv. nového programu CEF (CEF 2) s délkou řešení 3 nebo 4 roky (není ještě rozhodnuto). Předpokládá se, že výzva pro předkládání návrhů projektů bude zveřejněna v září, max. v říjnu 2020. Ještě není oficiálně stanoven rozpočet projektu (probíhá vnitrokomisní projednávání) a ani výše spolufinancování (projekt by měl být 100% financovaný z EU, ale vzhledem k zaváděným úsporným opatřením kvůli pandemii koronaviru se toto může změnit).</w:t>
      </w:r>
    </w:p>
    <w:p w:rsidR="00860150" w:rsidRPr="008B7FC2" w:rsidRDefault="00860150" w:rsidP="00860150">
      <w:pPr>
        <w:pStyle w:val="Titulek"/>
        <w:keepNext/>
      </w:pPr>
      <w:r w:rsidRPr="008B7FC2">
        <w:t xml:space="preserve">Tabulka č. </w:t>
      </w:r>
      <w:r w:rsidRPr="008B7FC2">
        <w:rPr>
          <w:noProof/>
        </w:rPr>
        <w:fldChar w:fldCharType="begin"/>
      </w:r>
      <w:r w:rsidRPr="008B7FC2">
        <w:rPr>
          <w:noProof/>
        </w:rPr>
        <w:instrText xml:space="preserve"> SEQ Tabulka \* ARABIC </w:instrText>
      </w:r>
      <w:r w:rsidRPr="008B7FC2">
        <w:rPr>
          <w:noProof/>
        </w:rPr>
        <w:fldChar w:fldCharType="separate"/>
      </w:r>
      <w:r w:rsidR="006076E7">
        <w:rPr>
          <w:noProof/>
        </w:rPr>
        <w:t>54</w:t>
      </w:r>
      <w:r w:rsidRPr="008B7FC2">
        <w:rPr>
          <w:noProof/>
        </w:rPr>
        <w:fldChar w:fldCharType="end"/>
      </w:r>
      <w:r w:rsidRPr="008B7FC2">
        <w:rPr>
          <w:noProof/>
        </w:rPr>
        <w:t xml:space="preserve"> Komunitární projekt CEF C – </w:t>
      </w:r>
      <w:r>
        <w:rPr>
          <w:noProof/>
        </w:rPr>
        <w:t>PSA – NAP Governance</w:t>
      </w:r>
      <w:r w:rsidRPr="008B7FC2">
        <w:rPr>
          <w:noProof/>
        </w:rPr>
        <w:t>(v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860150" w:rsidRPr="00FA1AA6" w:rsidTr="00EB08FD">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8B7FC2" w:rsidRDefault="00860150" w:rsidP="001B037B">
            <w:pPr>
              <w:spacing w:before="40" w:after="40"/>
              <w:rPr>
                <w:rFonts w:eastAsia="Times New Roman" w:cs="Times New Roman"/>
                <w:b/>
                <w:lang w:eastAsia="cs-CZ"/>
              </w:rPr>
            </w:pPr>
            <w:r w:rsidRPr="008B7FC2">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8B7FC2" w:rsidRDefault="00860150" w:rsidP="001B037B">
            <w:pPr>
              <w:spacing w:before="40" w:after="40"/>
              <w:ind w:firstLine="539"/>
              <w:rPr>
                <w:rFonts w:eastAsia="Times New Roman" w:cs="Times New Roman"/>
                <w:b/>
                <w:lang w:eastAsia="cs-CZ"/>
              </w:rPr>
            </w:pPr>
            <w:r w:rsidRPr="008B7FC2">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8B7FC2" w:rsidRDefault="00860150" w:rsidP="001B037B">
            <w:pPr>
              <w:spacing w:before="40" w:after="40"/>
              <w:ind w:firstLine="539"/>
              <w:rPr>
                <w:rFonts w:eastAsia="Times New Roman" w:cs="Times New Roman"/>
                <w:b/>
                <w:lang w:eastAsia="cs-CZ"/>
              </w:rPr>
            </w:pPr>
            <w:r w:rsidRPr="008B7FC2">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60150" w:rsidRPr="008B7FC2" w:rsidRDefault="00860150" w:rsidP="001B037B">
            <w:pPr>
              <w:spacing w:before="40" w:after="40"/>
              <w:jc w:val="center"/>
              <w:rPr>
                <w:rFonts w:eastAsia="Times New Roman" w:cs="Times New Roman"/>
                <w:b/>
                <w:lang w:eastAsia="cs-CZ"/>
              </w:rPr>
            </w:pPr>
            <w:r w:rsidRPr="008B7FC2">
              <w:rPr>
                <w:rFonts w:eastAsia="Times New Roman" w:cs="Times New Roman"/>
                <w:b/>
                <w:lang w:eastAsia="cs-CZ"/>
              </w:rPr>
              <w:t>Celkem</w:t>
            </w:r>
          </w:p>
        </w:tc>
      </w:tr>
      <w:tr w:rsidR="00860150" w:rsidRPr="00FA1AA6" w:rsidTr="00EB08FD">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rsidR="00860150" w:rsidRPr="00FA1AA6" w:rsidRDefault="00860150" w:rsidP="001B037B">
            <w:pPr>
              <w:spacing w:before="40" w:after="40"/>
              <w:rPr>
                <w:rFonts w:eastAsia="Times New Roman" w:cs="Times New Roman"/>
                <w:color w:val="FF0000"/>
                <w:lang w:eastAsia="cs-CZ"/>
              </w:rPr>
            </w:pPr>
            <w:r>
              <w:rPr>
                <w:rFonts w:eastAsia="Times New Roman" w:cs="Times New Roman"/>
                <w:lang w:eastAsia="cs-CZ"/>
              </w:rPr>
              <w:t>CEF</w:t>
            </w:r>
            <w:r w:rsidRPr="008B7FC2">
              <w:rPr>
                <w:rFonts w:eastAsia="Times New Roman" w:cs="Times New Roman"/>
                <w:lang w:eastAsia="cs-CZ"/>
              </w:rPr>
              <w:t xml:space="preserve"> PSA – NAP Governance</w:t>
            </w:r>
            <w:r>
              <w:rPr>
                <w:rFonts w:eastAsia="Times New Roman" w:cs="Times New Roman"/>
                <w:lang w:eastAsia="cs-CZ"/>
              </w:rPr>
              <w:t xml:space="preserve">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860150" w:rsidRPr="008B7FC2" w:rsidRDefault="00860150" w:rsidP="001B037B">
            <w:pPr>
              <w:spacing w:before="40" w:after="40"/>
              <w:jc w:val="right"/>
              <w:rPr>
                <w:rFonts w:eastAsia="Times New Roman" w:cs="Times New Roman"/>
                <w:lang w:eastAsia="cs-CZ"/>
              </w:rPr>
            </w:pPr>
            <w:r>
              <w:rPr>
                <w:rFonts w:eastAsia="Times New Roman" w:cs="Times New Roman"/>
                <w:lang w:eastAsia="cs-CZ"/>
              </w:rPr>
              <w:t>705</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860150" w:rsidRPr="008B7FC2" w:rsidRDefault="00860150" w:rsidP="001B037B">
            <w:pPr>
              <w:spacing w:before="40" w:after="40"/>
              <w:jc w:val="right"/>
              <w:rPr>
                <w:rFonts w:eastAsia="Times New Roman" w:cs="Times New Roman"/>
                <w:lang w:eastAsia="cs-CZ"/>
              </w:rPr>
            </w:pPr>
            <w:r>
              <w:rPr>
                <w:rFonts w:eastAsia="Times New Roman" w:cs="Times New Roman"/>
                <w:lang w:eastAsia="cs-CZ"/>
              </w:rPr>
              <w:t>124</w:t>
            </w:r>
          </w:p>
        </w:tc>
        <w:tc>
          <w:tcPr>
            <w:tcW w:w="799" w:type="pct"/>
            <w:tcBorders>
              <w:top w:val="single" w:sz="4" w:space="0" w:color="7F7F7F" w:themeColor="text1" w:themeTint="80"/>
              <w:bottom w:val="single" w:sz="4" w:space="0" w:color="7F7F7F" w:themeColor="text1" w:themeTint="80"/>
            </w:tcBorders>
            <w:shd w:val="clear" w:color="auto" w:fill="auto"/>
            <w:vAlign w:val="center"/>
          </w:tcPr>
          <w:p w:rsidR="00860150" w:rsidRPr="008B7FC2" w:rsidRDefault="00860150" w:rsidP="001B037B">
            <w:pPr>
              <w:spacing w:before="40" w:after="40"/>
              <w:jc w:val="right"/>
              <w:rPr>
                <w:rFonts w:eastAsia="Times New Roman" w:cs="Times New Roman"/>
                <w:b/>
                <w:lang w:eastAsia="cs-CZ"/>
              </w:rPr>
            </w:pPr>
            <w:r w:rsidRPr="008B7FC2">
              <w:rPr>
                <w:rFonts w:eastAsia="Times New Roman" w:cs="Times New Roman"/>
                <w:b/>
                <w:lang w:eastAsia="cs-CZ"/>
              </w:rPr>
              <w:t>829</w:t>
            </w:r>
          </w:p>
        </w:tc>
      </w:tr>
    </w:tbl>
    <w:p w:rsidR="00860150" w:rsidRPr="00D26644" w:rsidRDefault="00860150" w:rsidP="00860150">
      <w:pPr>
        <w:pStyle w:val="Nadpis3"/>
      </w:pPr>
      <w:bookmarkStart w:id="119" w:name="_Toc53750589"/>
      <w:r w:rsidRPr="00D26644">
        <w:lastRenderedPageBreak/>
        <w:t>Rozdělení prostředků EU a podílu SR dle jednotlivých programů na rok 20</w:t>
      </w:r>
      <w:bookmarkEnd w:id="116"/>
      <w:bookmarkEnd w:id="117"/>
      <w:r w:rsidRPr="00D26644">
        <w:t>2</w:t>
      </w:r>
      <w:bookmarkEnd w:id="118"/>
      <w:r w:rsidRPr="00D26644">
        <w:t>1</w:t>
      </w:r>
      <w:bookmarkEnd w:id="119"/>
    </w:p>
    <w:p w:rsidR="00860150" w:rsidRPr="00D26644" w:rsidRDefault="00860150" w:rsidP="00860150">
      <w:pPr>
        <w:pStyle w:val="Styl1"/>
      </w:pPr>
      <w:r w:rsidRPr="00D26644">
        <w:t>V následující tabulce je uvedena výše prostředků podle jednotlivých zdr</w:t>
      </w:r>
      <w:r>
        <w:t>ojů EU navrhovaných pro rok 2021</w:t>
      </w:r>
      <w:r w:rsidRPr="00D26644">
        <w:rPr>
          <w:color w:val="FF0000"/>
        </w:rPr>
        <w:t xml:space="preserve"> </w:t>
      </w:r>
      <w:r w:rsidRPr="00D26644">
        <w:t>a výše prostředků určená na spolufinancování prostřednictvím kapitoly 327 MD.</w:t>
      </w:r>
    </w:p>
    <w:p w:rsidR="00860150" w:rsidRPr="00D26644" w:rsidRDefault="00860150" w:rsidP="00860150">
      <w:pPr>
        <w:pStyle w:val="Titulek"/>
        <w:keepNext/>
        <w:rPr>
          <w:noProof/>
        </w:rPr>
      </w:pPr>
      <w:r w:rsidRPr="00D26644">
        <w:t xml:space="preserve">Tabulka č. </w:t>
      </w:r>
      <w:r w:rsidRPr="00D26644">
        <w:rPr>
          <w:noProof/>
        </w:rPr>
        <w:fldChar w:fldCharType="begin"/>
      </w:r>
      <w:r w:rsidRPr="00D26644">
        <w:rPr>
          <w:noProof/>
        </w:rPr>
        <w:instrText xml:space="preserve"> SEQ Tabulka \* ARABIC </w:instrText>
      </w:r>
      <w:r w:rsidRPr="00D26644">
        <w:rPr>
          <w:noProof/>
        </w:rPr>
        <w:fldChar w:fldCharType="separate"/>
      </w:r>
      <w:r w:rsidR="006076E7">
        <w:rPr>
          <w:noProof/>
        </w:rPr>
        <w:t>55</w:t>
      </w:r>
      <w:r w:rsidRPr="00D26644">
        <w:rPr>
          <w:noProof/>
        </w:rPr>
        <w:fldChar w:fldCharType="end"/>
      </w:r>
      <w:r w:rsidRPr="00D26644">
        <w:rPr>
          <w:noProof/>
        </w:rPr>
        <w:t xml:space="preserve"> Přehled celkových prostředků fondů EU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810"/>
        <w:gridCol w:w="1984"/>
        <w:gridCol w:w="2257"/>
      </w:tblGrid>
      <w:tr w:rsidR="00860150" w:rsidRPr="00FA1AA6" w:rsidTr="001B03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60150" w:rsidRPr="00D26644" w:rsidRDefault="00860150" w:rsidP="001B037B">
            <w:pPr>
              <w:spacing w:before="40" w:after="40"/>
              <w:rPr>
                <w:rFonts w:eastAsia="Times New Roman" w:cs="Times New Roman"/>
                <w:lang w:eastAsia="cs-CZ"/>
              </w:rPr>
            </w:pPr>
            <w:r w:rsidRPr="00D26644">
              <w:rPr>
                <w:rFonts w:eastAsia="Times New Roman" w:cs="Times New Roman"/>
                <w:lang w:eastAsia="cs-CZ"/>
              </w:rPr>
              <w:t>Název programu</w:t>
            </w:r>
          </w:p>
        </w:tc>
        <w:tc>
          <w:tcPr>
            <w:tcW w:w="109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60150" w:rsidRPr="00D26644" w:rsidRDefault="00860150" w:rsidP="001B037B">
            <w:pPr>
              <w:spacing w:before="40" w:after="4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D26644">
              <w:rPr>
                <w:rFonts w:eastAsia="Times New Roman" w:cs="Times New Roman"/>
                <w:lang w:eastAsia="cs-CZ"/>
              </w:rPr>
              <w:t>EU</w:t>
            </w:r>
          </w:p>
        </w:tc>
        <w:tc>
          <w:tcPr>
            <w:tcW w:w="124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860150" w:rsidRPr="00D26644" w:rsidRDefault="00860150" w:rsidP="001B037B">
            <w:pPr>
              <w:spacing w:before="40" w:after="4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D26644">
              <w:rPr>
                <w:rFonts w:eastAsia="Times New Roman" w:cs="Times New Roman"/>
                <w:lang w:eastAsia="cs-CZ"/>
              </w:rPr>
              <w:t>SR</w:t>
            </w:r>
          </w:p>
        </w:tc>
      </w:tr>
      <w:tr w:rsidR="00860150" w:rsidRPr="00FA1AA6" w:rsidTr="001B037B">
        <w:tc>
          <w:tcPr>
            <w:cnfStyle w:val="001000000000" w:firstRow="0" w:lastRow="0" w:firstColumn="1" w:lastColumn="0" w:oddVBand="0" w:evenVBand="0" w:oddHBand="0" w:evenHBand="0" w:firstRowFirstColumn="0" w:firstRowLastColumn="0" w:lastRowFirstColumn="0" w:lastRowLastColumn="0"/>
            <w:tcW w:w="2657" w:type="pct"/>
            <w:tcBorders>
              <w:top w:val="single" w:sz="4" w:space="0" w:color="7F7F7F" w:themeColor="text1" w:themeTint="80"/>
            </w:tcBorders>
            <w:shd w:val="clear" w:color="auto" w:fill="auto"/>
          </w:tcPr>
          <w:p w:rsidR="00860150" w:rsidRPr="00D26644" w:rsidRDefault="00860150" w:rsidP="001B037B">
            <w:pPr>
              <w:spacing w:before="40" w:after="40"/>
              <w:rPr>
                <w:rFonts w:eastAsia="Times New Roman" w:cs="Times New Roman"/>
                <w:b w:val="0"/>
                <w:lang w:eastAsia="cs-CZ"/>
              </w:rPr>
            </w:pPr>
            <w:r>
              <w:rPr>
                <w:rFonts w:eastAsia="Times New Roman" w:cs="Times New Roman"/>
                <w:b w:val="0"/>
                <w:lang w:eastAsia="cs-CZ"/>
              </w:rPr>
              <w:t>Facilita na podporu oživení a odolnosti</w:t>
            </w:r>
          </w:p>
        </w:tc>
        <w:tc>
          <w:tcPr>
            <w:tcW w:w="1096" w:type="pct"/>
            <w:tcBorders>
              <w:top w:val="single" w:sz="4" w:space="0" w:color="7F7F7F" w:themeColor="text1" w:themeTint="80"/>
            </w:tcBorders>
            <w:shd w:val="clear" w:color="auto" w:fill="auto"/>
          </w:tcPr>
          <w:p w:rsidR="00860150" w:rsidRPr="00D26644" w:rsidRDefault="00860150" w:rsidP="001B037B">
            <w:pPr>
              <w:spacing w:before="40" w:after="40"/>
              <w:jc w:val="right"/>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Pr>
                <w:rFonts w:eastAsia="Times New Roman" w:cs="Times New Roman"/>
                <w:lang w:eastAsia="cs-CZ"/>
              </w:rPr>
              <w:t>15</w:t>
            </w:r>
            <w:r w:rsidRPr="00D26644">
              <w:rPr>
                <w:rFonts w:eastAsia="Times New Roman" w:cs="Times New Roman"/>
                <w:lang w:eastAsia="cs-CZ"/>
              </w:rPr>
              <w:t> 000 000</w:t>
            </w:r>
          </w:p>
        </w:tc>
        <w:tc>
          <w:tcPr>
            <w:tcW w:w="1247" w:type="pct"/>
            <w:tcBorders>
              <w:top w:val="single" w:sz="4" w:space="0" w:color="7F7F7F" w:themeColor="text1" w:themeTint="80"/>
            </w:tcBorders>
            <w:shd w:val="clear" w:color="auto" w:fill="auto"/>
          </w:tcPr>
          <w:p w:rsidR="00860150" w:rsidRPr="00D26644" w:rsidRDefault="00860150" w:rsidP="001B037B">
            <w:pPr>
              <w:spacing w:before="40" w:after="40"/>
              <w:jc w:val="right"/>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D26644">
              <w:rPr>
                <w:rFonts w:eastAsia="Times New Roman" w:cs="Times New Roman"/>
                <w:lang w:eastAsia="cs-CZ"/>
              </w:rPr>
              <w:t>0</w:t>
            </w:r>
          </w:p>
        </w:tc>
      </w:tr>
      <w:tr w:rsidR="00860150" w:rsidRPr="00FA1AA6" w:rsidTr="001B037B">
        <w:tc>
          <w:tcPr>
            <w:cnfStyle w:val="001000000000" w:firstRow="0" w:lastRow="0" w:firstColumn="1" w:lastColumn="0" w:oddVBand="0" w:evenVBand="0" w:oddHBand="0" w:evenHBand="0" w:firstRowFirstColumn="0" w:firstRowLastColumn="0" w:lastRowFirstColumn="0" w:lastRowLastColumn="0"/>
            <w:tcW w:w="2657" w:type="pct"/>
            <w:tcBorders>
              <w:top w:val="single" w:sz="4" w:space="0" w:color="7F7F7F" w:themeColor="text1" w:themeTint="80"/>
            </w:tcBorders>
            <w:shd w:val="clear" w:color="auto" w:fill="auto"/>
          </w:tcPr>
          <w:p w:rsidR="00860150" w:rsidRPr="00D26644" w:rsidRDefault="00860150" w:rsidP="001B037B">
            <w:pPr>
              <w:spacing w:before="40" w:after="40"/>
              <w:rPr>
                <w:rFonts w:eastAsia="Times New Roman" w:cs="Times New Roman"/>
                <w:b w:val="0"/>
                <w:lang w:eastAsia="cs-CZ"/>
              </w:rPr>
            </w:pPr>
            <w:r w:rsidRPr="00D26644">
              <w:rPr>
                <w:rFonts w:eastAsia="Times New Roman" w:cs="Times New Roman"/>
                <w:b w:val="0"/>
                <w:lang w:eastAsia="cs-CZ"/>
              </w:rPr>
              <w:t>Operační program Doprava 2014 - 2020</w:t>
            </w:r>
          </w:p>
        </w:tc>
        <w:tc>
          <w:tcPr>
            <w:tcW w:w="1096" w:type="pct"/>
            <w:tcBorders>
              <w:top w:val="single" w:sz="4" w:space="0" w:color="7F7F7F" w:themeColor="text1" w:themeTint="80"/>
            </w:tcBorders>
            <w:shd w:val="clear" w:color="auto" w:fill="auto"/>
          </w:tcPr>
          <w:p w:rsidR="00860150" w:rsidRPr="00FA1AA6" w:rsidRDefault="00860150" w:rsidP="001B037B">
            <w:pPr>
              <w:spacing w:before="40" w:after="40"/>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lang w:eastAsia="cs-CZ"/>
              </w:rPr>
            </w:pPr>
            <w:r w:rsidRPr="00D26644">
              <w:rPr>
                <w:rFonts w:eastAsia="Times New Roman" w:cs="Times New Roman"/>
                <w:lang w:eastAsia="cs-CZ"/>
              </w:rPr>
              <w:t>19 279 627</w:t>
            </w:r>
          </w:p>
        </w:tc>
        <w:tc>
          <w:tcPr>
            <w:tcW w:w="1247" w:type="pct"/>
            <w:tcBorders>
              <w:top w:val="single" w:sz="4" w:space="0" w:color="7F7F7F" w:themeColor="text1" w:themeTint="80"/>
            </w:tcBorders>
            <w:shd w:val="clear" w:color="auto" w:fill="auto"/>
          </w:tcPr>
          <w:p w:rsidR="00860150" w:rsidRPr="00FA1AA6" w:rsidRDefault="00860150" w:rsidP="001B037B">
            <w:pPr>
              <w:spacing w:before="40" w:after="40"/>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lang w:eastAsia="cs-CZ"/>
              </w:rPr>
            </w:pPr>
            <w:r w:rsidRPr="00D26644">
              <w:rPr>
                <w:rFonts w:eastAsia="Times New Roman" w:cs="Times New Roman"/>
                <w:lang w:eastAsia="cs-CZ"/>
              </w:rPr>
              <w:t>11 830</w:t>
            </w:r>
          </w:p>
        </w:tc>
      </w:tr>
      <w:tr w:rsidR="00860150" w:rsidRPr="00FA1AA6" w:rsidTr="001B037B">
        <w:tc>
          <w:tcPr>
            <w:cnfStyle w:val="001000000000" w:firstRow="0" w:lastRow="0" w:firstColumn="1" w:lastColumn="0" w:oddVBand="0" w:evenVBand="0" w:oddHBand="0" w:evenHBand="0" w:firstRowFirstColumn="0" w:firstRowLastColumn="0" w:lastRowFirstColumn="0" w:lastRowLastColumn="0"/>
            <w:tcW w:w="2657" w:type="pct"/>
            <w:tcBorders>
              <w:bottom w:val="single" w:sz="8" w:space="0" w:color="7F7F7F" w:themeColor="text1" w:themeTint="80"/>
            </w:tcBorders>
            <w:shd w:val="clear" w:color="auto" w:fill="auto"/>
          </w:tcPr>
          <w:p w:rsidR="00860150" w:rsidRPr="00FA1AA6" w:rsidRDefault="00860150" w:rsidP="001B037B">
            <w:pPr>
              <w:spacing w:before="40" w:after="40"/>
              <w:rPr>
                <w:rFonts w:eastAsia="Times New Roman" w:cs="Times New Roman"/>
                <w:b w:val="0"/>
                <w:color w:val="FF0000"/>
                <w:lang w:eastAsia="cs-CZ"/>
              </w:rPr>
            </w:pPr>
            <w:r w:rsidRPr="00D26644">
              <w:rPr>
                <w:rFonts w:eastAsia="Times New Roman" w:cs="Times New Roman"/>
                <w:b w:val="0"/>
                <w:lang w:eastAsia="cs-CZ"/>
              </w:rPr>
              <w:t xml:space="preserve">Komunitární programy </w:t>
            </w:r>
          </w:p>
        </w:tc>
        <w:tc>
          <w:tcPr>
            <w:tcW w:w="1096" w:type="pct"/>
            <w:tcBorders>
              <w:bottom w:val="single" w:sz="8" w:space="0" w:color="7F7F7F" w:themeColor="text1" w:themeTint="80"/>
            </w:tcBorders>
            <w:shd w:val="clear" w:color="auto" w:fill="auto"/>
          </w:tcPr>
          <w:p w:rsidR="00860150" w:rsidRPr="00FA1AA6" w:rsidRDefault="00860150" w:rsidP="001B037B">
            <w:pPr>
              <w:spacing w:before="40" w:after="40"/>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lang w:eastAsia="cs-CZ"/>
              </w:rPr>
            </w:pPr>
            <w:r w:rsidRPr="00D26644">
              <w:rPr>
                <w:rFonts w:eastAsia="Times New Roman" w:cs="Times New Roman"/>
                <w:lang w:eastAsia="cs-CZ"/>
              </w:rPr>
              <w:t>5 423 396</w:t>
            </w:r>
          </w:p>
        </w:tc>
        <w:tc>
          <w:tcPr>
            <w:tcW w:w="1247" w:type="pct"/>
            <w:tcBorders>
              <w:bottom w:val="single" w:sz="8" w:space="0" w:color="7F7F7F" w:themeColor="text1" w:themeTint="80"/>
            </w:tcBorders>
            <w:shd w:val="clear" w:color="auto" w:fill="auto"/>
          </w:tcPr>
          <w:p w:rsidR="00860150" w:rsidRPr="00FA1AA6" w:rsidRDefault="00860150" w:rsidP="008811AE">
            <w:pPr>
              <w:spacing w:before="40" w:after="40"/>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lang w:eastAsia="cs-CZ"/>
              </w:rPr>
            </w:pPr>
            <w:r w:rsidRPr="00165E5F">
              <w:rPr>
                <w:rFonts w:eastAsia="Times New Roman" w:cs="Times New Roman"/>
                <w:lang w:eastAsia="cs-CZ"/>
              </w:rPr>
              <w:t>1 79</w:t>
            </w:r>
            <w:r w:rsidR="008811AE">
              <w:rPr>
                <w:rFonts w:eastAsia="Times New Roman" w:cs="Times New Roman"/>
                <w:lang w:eastAsia="cs-CZ"/>
              </w:rPr>
              <w:t>3</w:t>
            </w:r>
          </w:p>
        </w:tc>
      </w:tr>
      <w:tr w:rsidR="00860150" w:rsidRPr="00FA1AA6" w:rsidTr="001B037B">
        <w:tc>
          <w:tcPr>
            <w:cnfStyle w:val="001000000000" w:firstRow="0" w:lastRow="0" w:firstColumn="1" w:lastColumn="0" w:oddVBand="0" w:evenVBand="0" w:oddHBand="0" w:evenHBand="0" w:firstRowFirstColumn="0" w:firstRowLastColumn="0" w:lastRowFirstColumn="0" w:lastRowLastColumn="0"/>
            <w:tcW w:w="2657" w:type="pct"/>
            <w:tcBorders>
              <w:top w:val="single" w:sz="8" w:space="0" w:color="7F7F7F" w:themeColor="text1" w:themeTint="80"/>
              <w:bottom w:val="single" w:sz="8" w:space="0" w:color="7F7F7F" w:themeColor="text1" w:themeTint="80"/>
            </w:tcBorders>
            <w:shd w:val="clear" w:color="auto" w:fill="auto"/>
          </w:tcPr>
          <w:p w:rsidR="00860150" w:rsidRPr="00FA1AA6" w:rsidRDefault="00860150" w:rsidP="001B037B">
            <w:pPr>
              <w:spacing w:before="40" w:after="40"/>
              <w:rPr>
                <w:rFonts w:eastAsia="Times New Roman" w:cs="Times New Roman"/>
                <w:b w:val="0"/>
                <w:color w:val="FF0000"/>
                <w:lang w:eastAsia="cs-CZ"/>
              </w:rPr>
            </w:pPr>
            <w:r w:rsidRPr="00165E5F">
              <w:rPr>
                <w:rFonts w:eastAsia="Times New Roman" w:cs="Times New Roman"/>
                <w:lang w:eastAsia="cs-CZ"/>
              </w:rPr>
              <w:t>CELKEM</w:t>
            </w:r>
          </w:p>
        </w:tc>
        <w:tc>
          <w:tcPr>
            <w:tcW w:w="1096" w:type="pct"/>
            <w:tcBorders>
              <w:top w:val="single" w:sz="8" w:space="0" w:color="7F7F7F" w:themeColor="text1" w:themeTint="80"/>
              <w:bottom w:val="single" w:sz="8" w:space="0" w:color="7F7F7F" w:themeColor="text1" w:themeTint="80"/>
            </w:tcBorders>
            <w:shd w:val="clear" w:color="auto" w:fill="auto"/>
          </w:tcPr>
          <w:p w:rsidR="00860150" w:rsidRPr="00FA1AA6" w:rsidRDefault="00860150" w:rsidP="001B037B">
            <w:pPr>
              <w:spacing w:before="40" w:after="40"/>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color w:val="FF0000"/>
                <w:lang w:eastAsia="cs-CZ"/>
              </w:rPr>
            </w:pPr>
            <w:r>
              <w:rPr>
                <w:rFonts w:eastAsia="Times New Roman" w:cs="Times New Roman"/>
                <w:b/>
                <w:lang w:eastAsia="cs-CZ"/>
              </w:rPr>
              <w:t>39</w:t>
            </w:r>
            <w:r w:rsidRPr="00165E5F">
              <w:rPr>
                <w:rFonts w:eastAsia="Times New Roman" w:cs="Times New Roman"/>
                <w:b/>
                <w:lang w:eastAsia="cs-CZ"/>
              </w:rPr>
              <w:t> 703 023</w:t>
            </w:r>
          </w:p>
        </w:tc>
        <w:tc>
          <w:tcPr>
            <w:tcW w:w="1247" w:type="pct"/>
            <w:tcBorders>
              <w:top w:val="single" w:sz="8" w:space="0" w:color="7F7F7F" w:themeColor="text1" w:themeTint="80"/>
              <w:bottom w:val="single" w:sz="8" w:space="0" w:color="7F7F7F" w:themeColor="text1" w:themeTint="80"/>
            </w:tcBorders>
            <w:shd w:val="clear" w:color="auto" w:fill="auto"/>
          </w:tcPr>
          <w:p w:rsidR="00860150" w:rsidRPr="00FA1AA6" w:rsidRDefault="00860150" w:rsidP="001B037B">
            <w:pPr>
              <w:spacing w:before="40" w:after="40"/>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color w:val="FF0000"/>
                <w:lang w:eastAsia="cs-CZ"/>
              </w:rPr>
            </w:pPr>
            <w:r w:rsidRPr="00165E5F">
              <w:rPr>
                <w:rFonts w:eastAsia="Times New Roman" w:cs="Times New Roman"/>
                <w:b/>
                <w:lang w:eastAsia="cs-CZ"/>
              </w:rPr>
              <w:t>13 624</w:t>
            </w:r>
          </w:p>
        </w:tc>
      </w:tr>
    </w:tbl>
    <w:p w:rsidR="00860150" w:rsidRPr="00A751D2" w:rsidRDefault="00860150" w:rsidP="00860150">
      <w:pPr>
        <w:pStyle w:val="Styl1"/>
      </w:pPr>
      <w:r w:rsidRPr="00165E5F">
        <w:t xml:space="preserve">Z celkové částky prostředků EU </w:t>
      </w:r>
      <w:r>
        <w:rPr>
          <w:b/>
          <w:bCs/>
        </w:rPr>
        <w:t xml:space="preserve">39 </w:t>
      </w:r>
      <w:r w:rsidRPr="00165E5F">
        <w:rPr>
          <w:b/>
          <w:bCs/>
        </w:rPr>
        <w:t>703 023</w:t>
      </w:r>
      <w:r w:rsidRPr="00165E5F">
        <w:t xml:space="preserve"> </w:t>
      </w:r>
      <w:r w:rsidRPr="00165E5F">
        <w:rPr>
          <w:b/>
        </w:rPr>
        <w:t>tis. Kč</w:t>
      </w:r>
      <w:r w:rsidRPr="00165E5F">
        <w:t xml:space="preserve"> je určena částka </w:t>
      </w:r>
      <w:r w:rsidRPr="00A4463E">
        <w:t xml:space="preserve">39 540 777 </w:t>
      </w:r>
      <w:r w:rsidRPr="00A751D2">
        <w:t xml:space="preserve">tis. Kč do jednotlivých programů programového financování Ministerstva dopravy. Prostředky ve výši </w:t>
      </w:r>
      <w:r>
        <w:t>36 977 257</w:t>
      </w:r>
      <w:r w:rsidRPr="00A751D2">
        <w:t xml:space="preserve"> tis. Kč budou poskytnuty jako dotace Státnímu fondu dopravní infras</w:t>
      </w:r>
      <w:r>
        <w:t xml:space="preserve">truktury </w:t>
      </w:r>
      <w:r w:rsidR="00EB08FD">
        <w:br/>
      </w:r>
      <w:r w:rsidRPr="00A751D2">
        <w:t>na společné programy (projekty) EU a ČR.</w:t>
      </w:r>
    </w:p>
    <w:p w:rsidR="00860150" w:rsidRPr="00FA1AA6" w:rsidRDefault="00860150" w:rsidP="00860150">
      <w:pPr>
        <w:pStyle w:val="Styl1"/>
        <w:rPr>
          <w:color w:val="FF0000"/>
        </w:rPr>
      </w:pPr>
      <w:r w:rsidRPr="00165E5F">
        <w:t xml:space="preserve">Z celkové částky prostředků SR </w:t>
      </w:r>
      <w:r w:rsidRPr="00165E5F">
        <w:rPr>
          <w:b/>
        </w:rPr>
        <w:t>13 624</w:t>
      </w:r>
      <w:r w:rsidRPr="00165E5F">
        <w:t xml:space="preserve"> </w:t>
      </w:r>
      <w:r w:rsidRPr="00165E5F">
        <w:rPr>
          <w:b/>
        </w:rPr>
        <w:t>tis. Kč</w:t>
      </w:r>
      <w:r w:rsidRPr="00F52DB3">
        <w:t xml:space="preserve"> </w:t>
      </w:r>
      <w:r w:rsidR="00AE387F">
        <w:t>ne</w:t>
      </w:r>
      <w:r w:rsidRPr="00F52DB3">
        <w:t>jsou určeny</w:t>
      </w:r>
      <w:r w:rsidR="00AE387F">
        <w:t xml:space="preserve"> žádné</w:t>
      </w:r>
      <w:r w:rsidRPr="00F52DB3">
        <w:t xml:space="preserve"> finanční prostředky do jednotlivých programů programového f</w:t>
      </w:r>
      <w:r w:rsidR="00AE387F">
        <w:t>inancování Ministerstva dopravy.</w:t>
      </w:r>
    </w:p>
    <w:p w:rsidR="00860150" w:rsidRPr="0031314D" w:rsidRDefault="00860150" w:rsidP="00860150">
      <w:pPr>
        <w:keepNext/>
        <w:spacing w:before="240" w:after="120"/>
        <w:rPr>
          <w:rFonts w:eastAsia="Times New Roman" w:cs="Times New Roman"/>
          <w:b/>
          <w:bCs/>
          <w:sz w:val="20"/>
          <w:szCs w:val="20"/>
          <w:lang w:eastAsia="cs-CZ"/>
        </w:rPr>
      </w:pPr>
      <w:bookmarkStart w:id="120" w:name="_Toc21609498"/>
      <w:bookmarkStart w:id="121" w:name="_Toc54190954"/>
      <w:r w:rsidRPr="0031314D">
        <w:rPr>
          <w:rFonts w:cs="Times New Roman"/>
          <w:b/>
          <w:sz w:val="20"/>
          <w:szCs w:val="20"/>
        </w:rPr>
        <w:t xml:space="preserve">Graf č. </w:t>
      </w:r>
      <w:r w:rsidRPr="0031314D">
        <w:rPr>
          <w:rFonts w:cs="Times New Roman"/>
          <w:b/>
          <w:sz w:val="20"/>
          <w:szCs w:val="20"/>
        </w:rPr>
        <w:fldChar w:fldCharType="begin"/>
      </w:r>
      <w:r w:rsidRPr="0031314D">
        <w:rPr>
          <w:rFonts w:cs="Times New Roman"/>
          <w:b/>
          <w:sz w:val="20"/>
          <w:szCs w:val="20"/>
        </w:rPr>
        <w:instrText xml:space="preserve"> SEQ Graf_č. \* ARABIC </w:instrText>
      </w:r>
      <w:r w:rsidRPr="0031314D">
        <w:rPr>
          <w:rFonts w:cs="Times New Roman"/>
          <w:b/>
          <w:sz w:val="20"/>
          <w:szCs w:val="20"/>
        </w:rPr>
        <w:fldChar w:fldCharType="separate"/>
      </w:r>
      <w:r w:rsidR="006076E7">
        <w:rPr>
          <w:rFonts w:cs="Times New Roman"/>
          <w:b/>
          <w:noProof/>
          <w:sz w:val="20"/>
          <w:szCs w:val="20"/>
        </w:rPr>
        <w:t>9</w:t>
      </w:r>
      <w:r w:rsidRPr="0031314D">
        <w:rPr>
          <w:rFonts w:cs="Times New Roman"/>
          <w:b/>
          <w:sz w:val="20"/>
          <w:szCs w:val="20"/>
        </w:rPr>
        <w:fldChar w:fldCharType="end"/>
      </w:r>
      <w:r w:rsidRPr="0031314D">
        <w:rPr>
          <w:rFonts w:eastAsia="Times New Roman" w:cs="Times New Roman"/>
          <w:b/>
          <w:bCs/>
          <w:sz w:val="20"/>
          <w:szCs w:val="20"/>
          <w:lang w:eastAsia="cs-CZ"/>
        </w:rPr>
        <w:t xml:space="preserve"> Rozdělení prostředků z rozpočtu EU dle programů</w:t>
      </w:r>
      <w:bookmarkEnd w:id="120"/>
      <w:bookmarkEnd w:id="121"/>
    </w:p>
    <w:p w:rsidR="00860150" w:rsidRDefault="00860150" w:rsidP="00860150">
      <w:pPr>
        <w:keepNext/>
        <w:spacing w:before="240" w:after="120"/>
        <w:rPr>
          <w:rFonts w:eastAsia="Times New Roman" w:cs="Times New Roman"/>
          <w:b/>
          <w:bCs/>
          <w:color w:val="FF0000"/>
          <w:sz w:val="20"/>
          <w:szCs w:val="20"/>
          <w:lang w:eastAsia="cs-CZ"/>
        </w:rPr>
      </w:pPr>
      <w:r>
        <w:rPr>
          <w:noProof/>
          <w:color w:val="FF0000"/>
          <w:lang w:eastAsia="cs-CZ"/>
        </w:rPr>
        <w:drawing>
          <wp:inline distT="0" distB="0" distL="0" distR="0" wp14:anchorId="7DE77BDB" wp14:editId="34876CFB">
            <wp:extent cx="5760720" cy="2699385"/>
            <wp:effectExtent l="0" t="0" r="11430" b="5715"/>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7171C5" w:rsidRPr="00E24034" w:rsidRDefault="007171C5" w:rsidP="00860150">
      <w:pPr>
        <w:pStyle w:val="Styl1"/>
        <w:rPr>
          <w:b/>
          <w:bCs/>
          <w:color w:val="FF0000"/>
          <w:sz w:val="20"/>
          <w:szCs w:val="20"/>
        </w:rPr>
      </w:pPr>
    </w:p>
    <w:p w:rsidR="007171C5" w:rsidRPr="00E24034" w:rsidRDefault="007171C5" w:rsidP="00D4300A">
      <w:pPr>
        <w:keepNext/>
        <w:spacing w:before="240" w:after="120" w:line="240" w:lineRule="auto"/>
        <w:rPr>
          <w:rFonts w:eastAsia="Times New Roman" w:cs="Times New Roman"/>
          <w:b/>
          <w:bCs/>
          <w:color w:val="FF0000"/>
          <w:sz w:val="20"/>
          <w:szCs w:val="20"/>
          <w:lang w:eastAsia="cs-CZ"/>
        </w:rPr>
      </w:pPr>
    </w:p>
    <w:p w:rsidR="00D4300A" w:rsidRPr="00E24034" w:rsidRDefault="00D4300A" w:rsidP="00D4300A">
      <w:pPr>
        <w:spacing w:line="240" w:lineRule="auto"/>
        <w:rPr>
          <w:rFonts w:eastAsia="Times New Roman" w:cs="Times New Roman"/>
          <w:color w:val="FF0000"/>
          <w:szCs w:val="24"/>
          <w:lang w:eastAsia="cs-CZ"/>
        </w:rPr>
      </w:pPr>
    </w:p>
    <w:p w:rsidR="00D4300A" w:rsidRPr="00E24034" w:rsidRDefault="00D4300A" w:rsidP="00D4300A">
      <w:pPr>
        <w:rPr>
          <w:rFonts w:eastAsia="Times New Roman" w:cs="Times New Roman"/>
          <w:color w:val="FF0000"/>
          <w:szCs w:val="24"/>
          <w:lang w:eastAsia="cs-CZ"/>
        </w:rPr>
      </w:pPr>
      <w:r w:rsidRPr="00E24034">
        <w:rPr>
          <w:rFonts w:eastAsia="Times New Roman" w:cs="Times New Roman"/>
          <w:color w:val="FF0000"/>
          <w:szCs w:val="24"/>
          <w:lang w:eastAsia="cs-CZ"/>
        </w:rPr>
        <w:br w:type="page"/>
      </w:r>
    </w:p>
    <w:p w:rsidR="00A36B40" w:rsidRPr="00D51FC1" w:rsidRDefault="00A36B40" w:rsidP="001C010B">
      <w:pPr>
        <w:pStyle w:val="Nadpis2"/>
      </w:pPr>
      <w:bookmarkStart w:id="122" w:name="_Toc53750590"/>
      <w:r w:rsidRPr="00D51FC1">
        <w:lastRenderedPageBreak/>
        <w:t>Výdaje na výzkum, vývoj a inovace</w:t>
      </w:r>
      <w:bookmarkEnd w:id="108"/>
      <w:bookmarkEnd w:id="122"/>
    </w:p>
    <w:p w:rsidR="005779DE" w:rsidRPr="00E24034" w:rsidRDefault="00D51FC1" w:rsidP="005779DE">
      <w:pPr>
        <w:pStyle w:val="Styl1"/>
        <w:rPr>
          <w:color w:val="FF0000"/>
        </w:rPr>
      </w:pPr>
      <w:bookmarkStart w:id="123" w:name="_Toc462314413"/>
      <w:r w:rsidRPr="00F765CF">
        <w:rPr>
          <w:rFonts w:eastAsiaTheme="minorHAnsi" w:cstheme="minorBidi"/>
          <w:iCs w:val="0"/>
          <w:szCs w:val="22"/>
          <w:lang w:eastAsia="en-US"/>
        </w:rPr>
        <w:t xml:space="preserve">Pro rok 2021 jsou navrhovány výdaje na výzkum, vývoj a inovace ve výši 93 907 tis Kč (neinvestiční prostředky 55 000 tis. Kč a investiční prostředky 38 907 tis. Kč), v plné výši jde </w:t>
      </w:r>
      <w:r w:rsidRPr="00F765CF">
        <w:rPr>
          <w:rFonts w:eastAsiaTheme="minorHAnsi" w:cstheme="minorBidi"/>
          <w:iCs w:val="0"/>
          <w:szCs w:val="22"/>
          <w:lang w:eastAsia="en-US"/>
        </w:rPr>
        <w:br/>
        <w:t>o institucionální podporu. Tyto výdaje jsou určeny pro veřejnou výzkumnou instituci Centrum dopravního výzkumu, jejímž zřizovatelem je Ministerstvo dopravy. Navrhovaná částka pro 2021 je o 38 907 tis. Kč vyšší, než v roce 2020 a je rozdělena na neinvestiční a investiční část.</w:t>
      </w:r>
    </w:p>
    <w:p w:rsidR="00A36B40" w:rsidRPr="00860150" w:rsidRDefault="00A36B40" w:rsidP="001C010B">
      <w:pPr>
        <w:pStyle w:val="Nadpis2"/>
      </w:pPr>
      <w:bookmarkStart w:id="124" w:name="_Toc53750591"/>
      <w:r w:rsidRPr="00860150">
        <w:t>Výdaje na významné veřejné zakázky</w:t>
      </w:r>
      <w:bookmarkEnd w:id="123"/>
      <w:bookmarkEnd w:id="124"/>
    </w:p>
    <w:p w:rsidR="003A0B78" w:rsidRPr="00010EFF" w:rsidRDefault="003A0B78" w:rsidP="003A0B78">
      <w:pPr>
        <w:pStyle w:val="Styl1"/>
        <w:rPr>
          <w:b/>
        </w:rPr>
      </w:pPr>
      <w:r w:rsidRPr="00010EFF">
        <w:t xml:space="preserve">Ministerstvo dopravy pro rok 2021 eviduje ve výdajích státního rozpočtu 3 veřejné zakázky </w:t>
      </w:r>
      <w:r w:rsidRPr="00010EFF">
        <w:br/>
        <w:t xml:space="preserve">o předpokládané hodnotě  nad 300 mil. Kč, všechny smlouvy jsou již podepsané. Konkrétně se jedná o: </w:t>
      </w:r>
      <w:r w:rsidRPr="00010EFF">
        <w:tab/>
      </w:r>
    </w:p>
    <w:p w:rsidR="003A0B78" w:rsidRPr="00010EFF" w:rsidRDefault="003A0B78" w:rsidP="00EB08FD">
      <w:pPr>
        <w:pStyle w:val="Styl1"/>
        <w:numPr>
          <w:ilvl w:val="0"/>
          <w:numId w:val="43"/>
        </w:numPr>
        <w:spacing w:after="120"/>
        <w:ind w:left="714" w:hanging="357"/>
      </w:pPr>
      <w:r w:rsidRPr="00010EFF">
        <w:t xml:space="preserve">Výrobu a dodání řidičských průkazů a průkazů profesní způsobilosti řidiče </w:t>
      </w:r>
      <w:r w:rsidRPr="00010EFF">
        <w:br/>
        <w:t xml:space="preserve">(S-285-160/2018);  </w:t>
      </w:r>
    </w:p>
    <w:p w:rsidR="003A0B78" w:rsidRPr="00010EFF" w:rsidRDefault="003A0B78" w:rsidP="00EB08FD">
      <w:pPr>
        <w:pStyle w:val="Styl1"/>
        <w:numPr>
          <w:ilvl w:val="0"/>
          <w:numId w:val="43"/>
        </w:numPr>
        <w:spacing w:after="120"/>
        <w:ind w:left="714" w:hanging="357"/>
      </w:pPr>
      <w:r w:rsidRPr="00010EFF">
        <w:t>Dodávky tabulek registračních značek (S-303-150/2019);</w:t>
      </w:r>
    </w:p>
    <w:p w:rsidR="003A0B78" w:rsidRPr="00010EFF" w:rsidRDefault="003A0B78" w:rsidP="00EB08FD">
      <w:pPr>
        <w:pStyle w:val="Styl1"/>
        <w:numPr>
          <w:ilvl w:val="0"/>
          <w:numId w:val="43"/>
        </w:numPr>
        <w:spacing w:after="120"/>
        <w:ind w:left="714" w:hanging="357"/>
      </w:pPr>
      <w:r w:rsidRPr="00010EFF">
        <w:t xml:space="preserve">Poskytování služeb provozu instrastruktury pro informační systémy Ministerstva dopravy (S-8-330/2017). </w:t>
      </w:r>
    </w:p>
    <w:p w:rsidR="003A0B78" w:rsidRPr="00010EFF" w:rsidRDefault="003A0B78" w:rsidP="003A0B78">
      <w:pPr>
        <w:pStyle w:val="Styl1"/>
      </w:pPr>
      <w:r w:rsidRPr="00010EFF">
        <w:t>Podrobné údaje k jednotlivým smlouvám s uvedením celkových předpokládaných výdajů, s přehledem čerpání do roku 2019, s predikci čerpání pro roky 2020 a dále jsou uvedené v Příloze č. 10.</w:t>
      </w:r>
    </w:p>
    <w:p w:rsidR="00BD28A7" w:rsidRPr="00E24034" w:rsidRDefault="00BD28A7" w:rsidP="00902029">
      <w:pPr>
        <w:spacing w:before="240" w:line="240" w:lineRule="auto"/>
        <w:ind w:firstLine="539"/>
        <w:rPr>
          <w:rFonts w:eastAsia="Times New Roman" w:cs="Times New Roman"/>
          <w:color w:val="FF0000"/>
          <w:szCs w:val="24"/>
          <w:lang w:eastAsia="cs-CZ"/>
        </w:rPr>
      </w:pPr>
    </w:p>
    <w:sectPr w:rsidR="00BD28A7" w:rsidRPr="00E24034" w:rsidSect="00B967C7">
      <w:pgSz w:w="11906" w:h="16838"/>
      <w:pgMar w:top="1417" w:right="1417"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9D9" w:rsidRDefault="00F629D9" w:rsidP="000E081D">
      <w:pPr>
        <w:spacing w:line="240" w:lineRule="auto"/>
      </w:pPr>
      <w:r>
        <w:separator/>
      </w:r>
    </w:p>
  </w:endnote>
  <w:endnote w:type="continuationSeparator" w:id="0">
    <w:p w:rsidR="00F629D9" w:rsidRDefault="00F629D9" w:rsidP="000E08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9D9" w:rsidRDefault="00F629D9">
    <w:pPr>
      <w:pStyle w:val="Zpat"/>
      <w:jc w:val="center"/>
    </w:pPr>
  </w:p>
  <w:p w:rsidR="00F629D9" w:rsidRDefault="00F629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52056"/>
      <w:docPartObj>
        <w:docPartGallery w:val="Page Numbers (Bottom of Page)"/>
        <w:docPartUnique/>
      </w:docPartObj>
    </w:sdtPr>
    <w:sdtEndPr/>
    <w:sdtContent>
      <w:p w:rsidR="00F629D9" w:rsidRDefault="00F629D9">
        <w:pPr>
          <w:pStyle w:val="Zpat"/>
          <w:jc w:val="center"/>
        </w:pPr>
        <w:r>
          <w:fldChar w:fldCharType="begin"/>
        </w:r>
        <w:r>
          <w:instrText>PAGE   \* MERGEFORMAT</w:instrText>
        </w:r>
        <w:r>
          <w:fldChar w:fldCharType="separate"/>
        </w:r>
        <w:r w:rsidR="00406B5C">
          <w:rPr>
            <w:noProof/>
          </w:rPr>
          <w:t>18</w:t>
        </w:r>
        <w:r>
          <w:fldChar w:fldCharType="end"/>
        </w:r>
      </w:p>
    </w:sdtContent>
  </w:sdt>
  <w:p w:rsidR="00F629D9" w:rsidRDefault="00F629D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0812810"/>
      <w:docPartObj>
        <w:docPartGallery w:val="Page Numbers (Bottom of Page)"/>
        <w:docPartUnique/>
      </w:docPartObj>
    </w:sdtPr>
    <w:sdtEndPr/>
    <w:sdtContent>
      <w:p w:rsidR="00F629D9" w:rsidRDefault="00F629D9">
        <w:pPr>
          <w:pStyle w:val="Zpat"/>
          <w:jc w:val="center"/>
        </w:pPr>
        <w:r>
          <w:fldChar w:fldCharType="begin"/>
        </w:r>
        <w:r>
          <w:instrText>PAGE   \* MERGEFORMAT</w:instrText>
        </w:r>
        <w:r>
          <w:fldChar w:fldCharType="separate"/>
        </w:r>
        <w:r w:rsidR="00406B5C">
          <w:rPr>
            <w:noProof/>
          </w:rPr>
          <w:t>1</w:t>
        </w:r>
        <w:r>
          <w:fldChar w:fldCharType="end"/>
        </w:r>
      </w:p>
    </w:sdtContent>
  </w:sdt>
  <w:p w:rsidR="00F629D9" w:rsidRDefault="00F629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9D9" w:rsidRDefault="00F629D9" w:rsidP="000E081D">
      <w:pPr>
        <w:spacing w:line="240" w:lineRule="auto"/>
      </w:pPr>
      <w:r>
        <w:separator/>
      </w:r>
    </w:p>
  </w:footnote>
  <w:footnote w:type="continuationSeparator" w:id="0">
    <w:p w:rsidR="00F629D9" w:rsidRDefault="00F629D9" w:rsidP="000E081D">
      <w:pPr>
        <w:spacing w:line="240" w:lineRule="auto"/>
      </w:pPr>
      <w:r>
        <w:continuationSeparator/>
      </w:r>
    </w:p>
  </w:footnote>
  <w:footnote w:id="1">
    <w:p w:rsidR="00F629D9" w:rsidRDefault="00F629D9" w:rsidP="00CF4BB2">
      <w:pPr>
        <w:pStyle w:val="Textpoznpodarou"/>
      </w:pPr>
      <w:r>
        <w:rPr>
          <w:rStyle w:val="Znakapoznpodarou"/>
        </w:rPr>
        <w:footnoteRef/>
      </w:r>
      <w:r>
        <w:t xml:space="preserve"> UV č. 935/2014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9D9" w:rsidRDefault="00F629D9">
    <w:pPr>
      <w:pStyle w:val="Zhlav"/>
      <w:jc w:val="center"/>
    </w:pPr>
  </w:p>
  <w:p w:rsidR="00F629D9" w:rsidRDefault="00F629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16107"/>
    <w:multiLevelType w:val="hybridMultilevel"/>
    <w:tmpl w:val="2F0A122A"/>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C1524CA"/>
    <w:multiLevelType w:val="hybridMultilevel"/>
    <w:tmpl w:val="79262FF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E31233"/>
    <w:multiLevelType w:val="hybridMultilevel"/>
    <w:tmpl w:val="D162447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0D9C492F"/>
    <w:multiLevelType w:val="hybridMultilevel"/>
    <w:tmpl w:val="F2E4A85A"/>
    <w:lvl w:ilvl="0" w:tplc="2CB0BFFE">
      <w:start w:val="1"/>
      <w:numFmt w:val="bullet"/>
      <w:lvlText w:val=""/>
      <w:lvlJc w:val="left"/>
      <w:pPr>
        <w:ind w:left="1145" w:hanging="360"/>
      </w:pPr>
      <w:rPr>
        <w:rFonts w:ascii="Wingdings" w:hAnsi="Wingdings" w:hint="default"/>
        <w:color w:val="auto"/>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10356925"/>
    <w:multiLevelType w:val="hybridMultilevel"/>
    <w:tmpl w:val="D61C7E3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0A24794"/>
    <w:multiLevelType w:val="hybridMultilevel"/>
    <w:tmpl w:val="7FC66B3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pStyle w:val="OPDnadpis4"/>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5524FB"/>
    <w:multiLevelType w:val="hybridMultilevel"/>
    <w:tmpl w:val="EACC3A56"/>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8A35B3C"/>
    <w:multiLevelType w:val="hybridMultilevel"/>
    <w:tmpl w:val="CAB4E3E2"/>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BB404B2"/>
    <w:multiLevelType w:val="hybridMultilevel"/>
    <w:tmpl w:val="AD7E63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22254A"/>
    <w:multiLevelType w:val="hybridMultilevel"/>
    <w:tmpl w:val="82DE0A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6262E46"/>
    <w:multiLevelType w:val="hybridMultilevel"/>
    <w:tmpl w:val="18F842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4C37BC"/>
    <w:multiLevelType w:val="hybridMultilevel"/>
    <w:tmpl w:val="78EEAC74"/>
    <w:lvl w:ilvl="0" w:tplc="7D7222A0">
      <w:start w:val="1"/>
      <w:numFmt w:val="bullet"/>
      <w:lvlText w:val=""/>
      <w:lvlJc w:val="left"/>
      <w:pPr>
        <w:tabs>
          <w:tab w:val="num" w:pos="644"/>
        </w:tabs>
        <w:ind w:left="644" w:hanging="360"/>
      </w:pPr>
      <w:rPr>
        <w:rFonts w:ascii="Wingdings" w:hAnsi="Wingdings" w:hint="default"/>
        <w:color w:val="auto"/>
      </w:rPr>
    </w:lvl>
    <w:lvl w:ilvl="1" w:tplc="04050003" w:tentative="1">
      <w:start w:val="1"/>
      <w:numFmt w:val="bullet"/>
      <w:lvlText w:val="o"/>
      <w:lvlJc w:val="left"/>
      <w:pPr>
        <w:tabs>
          <w:tab w:val="num" w:pos="1364"/>
        </w:tabs>
        <w:ind w:left="1364" w:hanging="360"/>
      </w:pPr>
      <w:rPr>
        <w:rFonts w:ascii="Courier New" w:hAnsi="Courier New" w:hint="default"/>
      </w:rPr>
    </w:lvl>
    <w:lvl w:ilvl="2" w:tplc="04050005" w:tentative="1">
      <w:start w:val="1"/>
      <w:numFmt w:val="bullet"/>
      <w:lvlText w:val=""/>
      <w:lvlJc w:val="left"/>
      <w:pPr>
        <w:tabs>
          <w:tab w:val="num" w:pos="2084"/>
        </w:tabs>
        <w:ind w:left="2084" w:hanging="360"/>
      </w:pPr>
      <w:rPr>
        <w:rFonts w:ascii="Wingdings" w:hAnsi="Wingdings" w:hint="default"/>
      </w:rPr>
    </w:lvl>
    <w:lvl w:ilvl="3" w:tplc="04050001" w:tentative="1">
      <w:start w:val="1"/>
      <w:numFmt w:val="bullet"/>
      <w:lvlText w:val=""/>
      <w:lvlJc w:val="left"/>
      <w:pPr>
        <w:tabs>
          <w:tab w:val="num" w:pos="2804"/>
        </w:tabs>
        <w:ind w:left="2804" w:hanging="360"/>
      </w:pPr>
      <w:rPr>
        <w:rFonts w:ascii="Symbol" w:hAnsi="Symbol" w:hint="default"/>
      </w:rPr>
    </w:lvl>
    <w:lvl w:ilvl="4" w:tplc="04050003" w:tentative="1">
      <w:start w:val="1"/>
      <w:numFmt w:val="bullet"/>
      <w:lvlText w:val="o"/>
      <w:lvlJc w:val="left"/>
      <w:pPr>
        <w:tabs>
          <w:tab w:val="num" w:pos="3524"/>
        </w:tabs>
        <w:ind w:left="3524" w:hanging="360"/>
      </w:pPr>
      <w:rPr>
        <w:rFonts w:ascii="Courier New" w:hAnsi="Courier New" w:hint="default"/>
      </w:rPr>
    </w:lvl>
    <w:lvl w:ilvl="5" w:tplc="04050005" w:tentative="1">
      <w:start w:val="1"/>
      <w:numFmt w:val="bullet"/>
      <w:lvlText w:val=""/>
      <w:lvlJc w:val="left"/>
      <w:pPr>
        <w:tabs>
          <w:tab w:val="num" w:pos="4244"/>
        </w:tabs>
        <w:ind w:left="4244" w:hanging="360"/>
      </w:pPr>
      <w:rPr>
        <w:rFonts w:ascii="Wingdings" w:hAnsi="Wingdings" w:hint="default"/>
      </w:rPr>
    </w:lvl>
    <w:lvl w:ilvl="6" w:tplc="04050001" w:tentative="1">
      <w:start w:val="1"/>
      <w:numFmt w:val="bullet"/>
      <w:lvlText w:val=""/>
      <w:lvlJc w:val="left"/>
      <w:pPr>
        <w:tabs>
          <w:tab w:val="num" w:pos="4964"/>
        </w:tabs>
        <w:ind w:left="4964" w:hanging="360"/>
      </w:pPr>
      <w:rPr>
        <w:rFonts w:ascii="Symbol" w:hAnsi="Symbol" w:hint="default"/>
      </w:rPr>
    </w:lvl>
    <w:lvl w:ilvl="7" w:tplc="04050003" w:tentative="1">
      <w:start w:val="1"/>
      <w:numFmt w:val="bullet"/>
      <w:lvlText w:val="o"/>
      <w:lvlJc w:val="left"/>
      <w:pPr>
        <w:tabs>
          <w:tab w:val="num" w:pos="5684"/>
        </w:tabs>
        <w:ind w:left="5684" w:hanging="360"/>
      </w:pPr>
      <w:rPr>
        <w:rFonts w:ascii="Courier New" w:hAnsi="Courier New" w:hint="default"/>
      </w:rPr>
    </w:lvl>
    <w:lvl w:ilvl="8" w:tplc="04050005"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2CCC5793"/>
    <w:multiLevelType w:val="hybridMultilevel"/>
    <w:tmpl w:val="62802948"/>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2CF3290F"/>
    <w:multiLevelType w:val="hybridMultilevel"/>
    <w:tmpl w:val="E168FF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EEC53F1"/>
    <w:multiLevelType w:val="hybridMultilevel"/>
    <w:tmpl w:val="0E2AA454"/>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3028252C"/>
    <w:multiLevelType w:val="hybridMultilevel"/>
    <w:tmpl w:val="64EC342A"/>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629"/>
        </w:tabs>
        <w:ind w:left="2629"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151C7D"/>
    <w:multiLevelType w:val="hybridMultilevel"/>
    <w:tmpl w:val="F3E2E9AE"/>
    <w:lvl w:ilvl="0" w:tplc="04050005">
      <w:start w:val="1"/>
      <w:numFmt w:val="bullet"/>
      <w:lvlText w:val=""/>
      <w:lvlJc w:val="left"/>
      <w:pPr>
        <w:tabs>
          <w:tab w:val="num" w:pos="720"/>
        </w:tabs>
        <w:ind w:left="720" w:hanging="360"/>
      </w:pPr>
      <w:rPr>
        <w:rFonts w:ascii="Wingdings" w:hAnsi="Wingdings" w:hint="default"/>
      </w:rPr>
    </w:lvl>
    <w:lvl w:ilvl="1" w:tplc="14BE26C8">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E35736"/>
    <w:multiLevelType w:val="hybridMultilevel"/>
    <w:tmpl w:val="3498F354"/>
    <w:lvl w:ilvl="0" w:tplc="04050005">
      <w:start w:val="1"/>
      <w:numFmt w:val="bullet"/>
      <w:lvlText w:val=""/>
      <w:lvlJc w:val="left"/>
      <w:pPr>
        <w:ind w:left="1287"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36354032"/>
    <w:multiLevelType w:val="hybridMultilevel"/>
    <w:tmpl w:val="7084ED68"/>
    <w:lvl w:ilvl="0" w:tplc="3AC4FFA6">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5">
      <w:start w:val="1"/>
      <w:numFmt w:val="bullet"/>
      <w:lvlText w:val=""/>
      <w:lvlJc w:val="left"/>
      <w:pPr>
        <w:tabs>
          <w:tab w:val="num" w:pos="1440"/>
        </w:tabs>
        <w:ind w:left="1440" w:hanging="360"/>
      </w:pPr>
      <w:rPr>
        <w:rFonts w:ascii="Wingdings" w:hAnsi="Wingdings" w:hint="default"/>
      </w:rPr>
    </w:lvl>
    <w:lvl w:ilvl="2" w:tplc="1A4299BC">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08749C"/>
    <w:multiLevelType w:val="hybridMultilevel"/>
    <w:tmpl w:val="7BD62D26"/>
    <w:lvl w:ilvl="0" w:tplc="68AAAD8E">
      <w:start w:val="1"/>
      <w:numFmt w:val="bullet"/>
      <w:lvlText w:val=""/>
      <w:lvlJc w:val="left"/>
      <w:pPr>
        <w:tabs>
          <w:tab w:val="num" w:pos="1429"/>
        </w:tabs>
        <w:ind w:left="1429" w:hanging="360"/>
      </w:pPr>
      <w:rPr>
        <w:rFonts w:ascii="Wingdings" w:hAnsi="Wingdings"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39390239"/>
    <w:multiLevelType w:val="hybridMultilevel"/>
    <w:tmpl w:val="EA00AF1E"/>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3A9A6152"/>
    <w:multiLevelType w:val="hybridMultilevel"/>
    <w:tmpl w:val="068A54CC"/>
    <w:lvl w:ilvl="0" w:tplc="0405000B">
      <w:start w:val="1"/>
      <w:numFmt w:val="bullet"/>
      <w:lvlText w:val=""/>
      <w:lvlJc w:val="left"/>
      <w:pPr>
        <w:ind w:left="1320" w:hanging="360"/>
      </w:pPr>
      <w:rPr>
        <w:rFonts w:ascii="Wingdings" w:hAnsi="Wingdings"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443569D5"/>
    <w:multiLevelType w:val="hybridMultilevel"/>
    <w:tmpl w:val="B55C07E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4F943B2"/>
    <w:multiLevelType w:val="hybridMultilevel"/>
    <w:tmpl w:val="1818BFF8"/>
    <w:lvl w:ilvl="0" w:tplc="44B2CE02">
      <w:start w:val="1"/>
      <w:numFmt w:val="bullet"/>
      <w:pStyle w:val="KOModrky"/>
      <w:lvlText w:val=""/>
      <w:lvlJc w:val="left"/>
      <w:pPr>
        <w:tabs>
          <w:tab w:val="num" w:pos="1088"/>
        </w:tabs>
        <w:ind w:left="1088" w:hanging="227"/>
      </w:pPr>
      <w:rPr>
        <w:rFonts w:ascii="Wingdings" w:hAnsi="Wingdings" w:hint="default"/>
        <w:color w:val="auto"/>
      </w:rPr>
    </w:lvl>
    <w:lvl w:ilvl="1" w:tplc="04050003" w:tentative="1">
      <w:start w:val="1"/>
      <w:numFmt w:val="bullet"/>
      <w:lvlText w:val="o"/>
      <w:lvlJc w:val="left"/>
      <w:pPr>
        <w:tabs>
          <w:tab w:val="num" w:pos="1734"/>
        </w:tabs>
        <w:ind w:left="1734" w:hanging="360"/>
      </w:pPr>
      <w:rPr>
        <w:rFonts w:ascii="Courier New" w:hAnsi="Courier New" w:cs="Courier New" w:hint="default"/>
      </w:rPr>
    </w:lvl>
    <w:lvl w:ilvl="2" w:tplc="04050005" w:tentative="1">
      <w:start w:val="1"/>
      <w:numFmt w:val="bullet"/>
      <w:lvlText w:val=""/>
      <w:lvlJc w:val="left"/>
      <w:pPr>
        <w:tabs>
          <w:tab w:val="num" w:pos="2454"/>
        </w:tabs>
        <w:ind w:left="2454" w:hanging="360"/>
      </w:pPr>
      <w:rPr>
        <w:rFonts w:ascii="Wingdings" w:hAnsi="Wingdings" w:hint="default"/>
      </w:rPr>
    </w:lvl>
    <w:lvl w:ilvl="3" w:tplc="04050001" w:tentative="1">
      <w:start w:val="1"/>
      <w:numFmt w:val="bullet"/>
      <w:lvlText w:val=""/>
      <w:lvlJc w:val="left"/>
      <w:pPr>
        <w:tabs>
          <w:tab w:val="num" w:pos="3174"/>
        </w:tabs>
        <w:ind w:left="3174" w:hanging="360"/>
      </w:pPr>
      <w:rPr>
        <w:rFonts w:ascii="Symbol" w:hAnsi="Symbol" w:hint="default"/>
      </w:rPr>
    </w:lvl>
    <w:lvl w:ilvl="4" w:tplc="04050003" w:tentative="1">
      <w:start w:val="1"/>
      <w:numFmt w:val="bullet"/>
      <w:lvlText w:val="o"/>
      <w:lvlJc w:val="left"/>
      <w:pPr>
        <w:tabs>
          <w:tab w:val="num" w:pos="3894"/>
        </w:tabs>
        <w:ind w:left="3894" w:hanging="360"/>
      </w:pPr>
      <w:rPr>
        <w:rFonts w:ascii="Courier New" w:hAnsi="Courier New" w:cs="Courier New" w:hint="default"/>
      </w:rPr>
    </w:lvl>
    <w:lvl w:ilvl="5" w:tplc="04050005" w:tentative="1">
      <w:start w:val="1"/>
      <w:numFmt w:val="bullet"/>
      <w:lvlText w:val=""/>
      <w:lvlJc w:val="left"/>
      <w:pPr>
        <w:tabs>
          <w:tab w:val="num" w:pos="4614"/>
        </w:tabs>
        <w:ind w:left="4614" w:hanging="360"/>
      </w:pPr>
      <w:rPr>
        <w:rFonts w:ascii="Wingdings" w:hAnsi="Wingdings" w:hint="default"/>
      </w:rPr>
    </w:lvl>
    <w:lvl w:ilvl="6" w:tplc="04050001" w:tentative="1">
      <w:start w:val="1"/>
      <w:numFmt w:val="bullet"/>
      <w:lvlText w:val=""/>
      <w:lvlJc w:val="left"/>
      <w:pPr>
        <w:tabs>
          <w:tab w:val="num" w:pos="5334"/>
        </w:tabs>
        <w:ind w:left="5334" w:hanging="360"/>
      </w:pPr>
      <w:rPr>
        <w:rFonts w:ascii="Symbol" w:hAnsi="Symbol" w:hint="default"/>
      </w:rPr>
    </w:lvl>
    <w:lvl w:ilvl="7" w:tplc="04050003" w:tentative="1">
      <w:start w:val="1"/>
      <w:numFmt w:val="bullet"/>
      <w:lvlText w:val="o"/>
      <w:lvlJc w:val="left"/>
      <w:pPr>
        <w:tabs>
          <w:tab w:val="num" w:pos="6054"/>
        </w:tabs>
        <w:ind w:left="6054" w:hanging="360"/>
      </w:pPr>
      <w:rPr>
        <w:rFonts w:ascii="Courier New" w:hAnsi="Courier New" w:cs="Courier New" w:hint="default"/>
      </w:rPr>
    </w:lvl>
    <w:lvl w:ilvl="8" w:tplc="04050005" w:tentative="1">
      <w:start w:val="1"/>
      <w:numFmt w:val="bullet"/>
      <w:lvlText w:val=""/>
      <w:lvlJc w:val="left"/>
      <w:pPr>
        <w:tabs>
          <w:tab w:val="num" w:pos="6774"/>
        </w:tabs>
        <w:ind w:left="6774" w:hanging="360"/>
      </w:pPr>
      <w:rPr>
        <w:rFonts w:ascii="Wingdings" w:hAnsi="Wingdings" w:hint="default"/>
      </w:rPr>
    </w:lvl>
  </w:abstractNum>
  <w:abstractNum w:abstractNumId="24" w15:restartNumberingAfterBreak="0">
    <w:nsid w:val="451E44E4"/>
    <w:multiLevelType w:val="hybridMultilevel"/>
    <w:tmpl w:val="62D2747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629"/>
        </w:tabs>
        <w:ind w:left="2629"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273E93"/>
    <w:multiLevelType w:val="hybridMultilevel"/>
    <w:tmpl w:val="91AABDA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4565035D"/>
    <w:multiLevelType w:val="hybridMultilevel"/>
    <w:tmpl w:val="E8708E76"/>
    <w:lvl w:ilvl="0" w:tplc="CF047120">
      <w:start w:val="1"/>
      <w:numFmt w:val="bullet"/>
      <w:lvlText w:val=""/>
      <w:lvlJc w:val="left"/>
      <w:pPr>
        <w:ind w:left="644"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46614754"/>
    <w:multiLevelType w:val="hybridMultilevel"/>
    <w:tmpl w:val="356E14F8"/>
    <w:lvl w:ilvl="0" w:tplc="04050005">
      <w:start w:val="1"/>
      <w:numFmt w:val="bullet"/>
      <w:lvlText w:val=""/>
      <w:lvlJc w:val="left"/>
      <w:pPr>
        <w:ind w:left="1259" w:hanging="360"/>
      </w:pPr>
      <w:rPr>
        <w:rFonts w:ascii="Wingdings" w:hAnsi="Wingdings"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8" w15:restartNumberingAfterBreak="0">
    <w:nsid w:val="4A950CD3"/>
    <w:multiLevelType w:val="hybridMultilevel"/>
    <w:tmpl w:val="496661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B885D49"/>
    <w:multiLevelType w:val="multilevel"/>
    <w:tmpl w:val="A062697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i w:val="0"/>
      </w:rPr>
    </w:lvl>
    <w:lvl w:ilvl="2">
      <w:start w:val="1"/>
      <w:numFmt w:val="decimal"/>
      <w:pStyle w:val="Nadpis3"/>
      <w:lvlText w:val="%1.%2.%3"/>
      <w:lvlJc w:val="left"/>
      <w:pPr>
        <w:tabs>
          <w:tab w:val="num" w:pos="720"/>
        </w:tabs>
        <w:ind w:left="720" w:hanging="720"/>
      </w:pPr>
      <w:rPr>
        <w:rFonts w:ascii="Times New Roman" w:hAnsi="Times New Roman" w:cs="Times New Roman"/>
        <w:b/>
        <w:bCs w:val="0"/>
        <w:i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3924"/>
        </w:tabs>
        <w:ind w:left="3924" w:hanging="1584"/>
      </w:pPr>
      <w:rPr>
        <w:rFonts w:hint="default"/>
      </w:rPr>
    </w:lvl>
  </w:abstractNum>
  <w:abstractNum w:abstractNumId="30" w15:restartNumberingAfterBreak="0">
    <w:nsid w:val="4B9A1B42"/>
    <w:multiLevelType w:val="hybridMultilevel"/>
    <w:tmpl w:val="C5107F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65C5B48"/>
    <w:multiLevelType w:val="hybridMultilevel"/>
    <w:tmpl w:val="22465D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C08573C"/>
    <w:multiLevelType w:val="hybridMultilevel"/>
    <w:tmpl w:val="BDB2FC6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A755432"/>
    <w:multiLevelType w:val="hybridMultilevel"/>
    <w:tmpl w:val="CB40F260"/>
    <w:lvl w:ilvl="0" w:tplc="1488107E">
      <w:start w:val="1"/>
      <w:numFmt w:val="bullet"/>
      <w:lvlText w:val=""/>
      <w:lvlJc w:val="left"/>
      <w:pPr>
        <w:ind w:left="1287"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6AAF1A1F"/>
    <w:multiLevelType w:val="multilevel"/>
    <w:tmpl w:val="D152D292"/>
    <w:lvl w:ilvl="0">
      <w:start w:val="1"/>
      <w:numFmt w:val="decimal"/>
      <w:pStyle w:val="Textodstavce"/>
      <w:isLgl/>
      <w:lvlText w:val="(%1)"/>
      <w:lvlJc w:val="left"/>
      <w:pPr>
        <w:tabs>
          <w:tab w:val="num" w:pos="357"/>
        </w:tabs>
        <w:ind w:left="-425"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15:restartNumberingAfterBreak="0">
    <w:nsid w:val="6F572B19"/>
    <w:multiLevelType w:val="multilevel"/>
    <w:tmpl w:val="4A38A2F8"/>
    <w:lvl w:ilvl="0">
      <w:start w:val="1"/>
      <w:numFmt w:val="bullet"/>
      <w:lvlText w:val=""/>
      <w:lvlJc w:val="left"/>
      <w:pPr>
        <w:tabs>
          <w:tab w:val="num" w:pos="432"/>
        </w:tabs>
        <w:ind w:left="432" w:hanging="432"/>
      </w:pPr>
      <w:rPr>
        <w:rFonts w:ascii="Wingdings" w:hAnsi="Wingding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C6153E"/>
    <w:multiLevelType w:val="hybridMultilevel"/>
    <w:tmpl w:val="47B20DDE"/>
    <w:lvl w:ilvl="0" w:tplc="04050005">
      <w:start w:val="1"/>
      <w:numFmt w:val="bullet"/>
      <w:lvlText w:val=""/>
      <w:lvlJc w:val="left"/>
      <w:pPr>
        <w:ind w:left="1259" w:hanging="360"/>
      </w:pPr>
      <w:rPr>
        <w:rFonts w:ascii="Wingdings" w:hAnsi="Wingdings"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37" w15:restartNumberingAfterBreak="0">
    <w:nsid w:val="78EC560C"/>
    <w:multiLevelType w:val="hybridMultilevel"/>
    <w:tmpl w:val="AEEC28D6"/>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8" w15:restartNumberingAfterBreak="0">
    <w:nsid w:val="796D2B8B"/>
    <w:multiLevelType w:val="hybridMultilevel"/>
    <w:tmpl w:val="3E7A216A"/>
    <w:lvl w:ilvl="0" w:tplc="04050005">
      <w:start w:val="1"/>
      <w:numFmt w:val="bullet"/>
      <w:lvlText w:val=""/>
      <w:lvlJc w:val="left"/>
      <w:pPr>
        <w:ind w:left="1260" w:hanging="360"/>
      </w:pPr>
      <w:rPr>
        <w:rFonts w:ascii="Wingdings" w:hAnsi="Wingdings"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39" w15:restartNumberingAfterBreak="0">
    <w:nsid w:val="7A7B2085"/>
    <w:multiLevelType w:val="hybridMultilevel"/>
    <w:tmpl w:val="BAD2A1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23"/>
  </w:num>
  <w:num w:numId="4">
    <w:abstractNumId w:val="11"/>
  </w:num>
  <w:num w:numId="5">
    <w:abstractNumId w:val="18"/>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2"/>
    </w:lvlOverride>
    <w:lvlOverride w:ilvl="1">
      <w:startOverride w:val="1"/>
    </w:lvlOverride>
  </w:num>
  <w:num w:numId="8">
    <w:abstractNumId w:val="5"/>
  </w:num>
  <w:num w:numId="9">
    <w:abstractNumId w:val="21"/>
  </w:num>
  <w:num w:numId="10">
    <w:abstractNumId w:val="35"/>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37"/>
  </w:num>
  <w:num w:numId="14">
    <w:abstractNumId w:val="4"/>
  </w:num>
  <w:num w:numId="15">
    <w:abstractNumId w:val="12"/>
  </w:num>
  <w:num w:numId="16">
    <w:abstractNumId w:val="33"/>
  </w:num>
  <w:num w:numId="17">
    <w:abstractNumId w:val="6"/>
  </w:num>
  <w:num w:numId="18">
    <w:abstractNumId w:val="20"/>
  </w:num>
  <w:num w:numId="19">
    <w:abstractNumId w:val="25"/>
  </w:num>
  <w:num w:numId="20">
    <w:abstractNumId w:val="39"/>
  </w:num>
  <w:num w:numId="21">
    <w:abstractNumId w:val="28"/>
  </w:num>
  <w:num w:numId="22">
    <w:abstractNumId w:val="26"/>
  </w:num>
  <w:num w:numId="23">
    <w:abstractNumId w:val="3"/>
  </w:num>
  <w:num w:numId="24">
    <w:abstractNumId w:val="2"/>
  </w:num>
  <w:num w:numId="25">
    <w:abstractNumId w:val="14"/>
  </w:num>
  <w:num w:numId="26">
    <w:abstractNumId w:val="7"/>
  </w:num>
  <w:num w:numId="27">
    <w:abstractNumId w:val="27"/>
  </w:num>
  <w:num w:numId="28">
    <w:abstractNumId w:val="36"/>
  </w:num>
  <w:num w:numId="29">
    <w:abstractNumId w:val="38"/>
  </w:num>
  <w:num w:numId="30">
    <w:abstractNumId w:val="16"/>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17"/>
  </w:num>
  <w:num w:numId="34">
    <w:abstractNumId w:val="24"/>
  </w:num>
  <w:num w:numId="35">
    <w:abstractNumId w:val="22"/>
  </w:num>
  <w:num w:numId="36">
    <w:abstractNumId w:val="30"/>
  </w:num>
  <w:num w:numId="37">
    <w:abstractNumId w:val="31"/>
  </w:num>
  <w:num w:numId="38">
    <w:abstractNumId w:val="10"/>
  </w:num>
  <w:num w:numId="39">
    <w:abstractNumId w:val="15"/>
  </w:num>
  <w:num w:numId="40">
    <w:abstractNumId w:val="1"/>
  </w:num>
  <w:num w:numId="41">
    <w:abstractNumId w:val="8"/>
  </w:num>
  <w:num w:numId="42">
    <w:abstractNumId w:val="32"/>
  </w:num>
  <w:num w:numId="43">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CC6"/>
    <w:rsid w:val="00005868"/>
    <w:rsid w:val="00011501"/>
    <w:rsid w:val="000130A4"/>
    <w:rsid w:val="0001421C"/>
    <w:rsid w:val="00017072"/>
    <w:rsid w:val="000203BC"/>
    <w:rsid w:val="00022587"/>
    <w:rsid w:val="00023E57"/>
    <w:rsid w:val="00024ED6"/>
    <w:rsid w:val="0002683A"/>
    <w:rsid w:val="0002708E"/>
    <w:rsid w:val="00032A97"/>
    <w:rsid w:val="0003357D"/>
    <w:rsid w:val="000339E1"/>
    <w:rsid w:val="0004122C"/>
    <w:rsid w:val="0004338A"/>
    <w:rsid w:val="00045020"/>
    <w:rsid w:val="00046048"/>
    <w:rsid w:val="000531BB"/>
    <w:rsid w:val="00053933"/>
    <w:rsid w:val="00055DCD"/>
    <w:rsid w:val="000601E6"/>
    <w:rsid w:val="00063DD6"/>
    <w:rsid w:val="00065B71"/>
    <w:rsid w:val="00066398"/>
    <w:rsid w:val="00067432"/>
    <w:rsid w:val="00072BEE"/>
    <w:rsid w:val="00073472"/>
    <w:rsid w:val="00073E09"/>
    <w:rsid w:val="0007455A"/>
    <w:rsid w:val="0007574C"/>
    <w:rsid w:val="000771EB"/>
    <w:rsid w:val="00083E57"/>
    <w:rsid w:val="00085448"/>
    <w:rsid w:val="00086F5F"/>
    <w:rsid w:val="000872F1"/>
    <w:rsid w:val="000A05A0"/>
    <w:rsid w:val="000A0894"/>
    <w:rsid w:val="000B1BAA"/>
    <w:rsid w:val="000B1F1F"/>
    <w:rsid w:val="000B452F"/>
    <w:rsid w:val="000B4DF3"/>
    <w:rsid w:val="000B5BCC"/>
    <w:rsid w:val="000B7D0F"/>
    <w:rsid w:val="000C0ABC"/>
    <w:rsid w:val="000C1E86"/>
    <w:rsid w:val="000D436D"/>
    <w:rsid w:val="000D634C"/>
    <w:rsid w:val="000D6B88"/>
    <w:rsid w:val="000D6EF7"/>
    <w:rsid w:val="000D7F85"/>
    <w:rsid w:val="000E081D"/>
    <w:rsid w:val="000E39FE"/>
    <w:rsid w:val="000F16F7"/>
    <w:rsid w:val="000F2641"/>
    <w:rsid w:val="001004D1"/>
    <w:rsid w:val="00101155"/>
    <w:rsid w:val="001058ED"/>
    <w:rsid w:val="00105D3B"/>
    <w:rsid w:val="00110C1B"/>
    <w:rsid w:val="0011184B"/>
    <w:rsid w:val="0011239A"/>
    <w:rsid w:val="00112A4F"/>
    <w:rsid w:val="00115862"/>
    <w:rsid w:val="00115D59"/>
    <w:rsid w:val="00116485"/>
    <w:rsid w:val="00116AEC"/>
    <w:rsid w:val="00117161"/>
    <w:rsid w:val="0012151B"/>
    <w:rsid w:val="001269F2"/>
    <w:rsid w:val="00131916"/>
    <w:rsid w:val="00136173"/>
    <w:rsid w:val="0013742A"/>
    <w:rsid w:val="001415D2"/>
    <w:rsid w:val="00141A0B"/>
    <w:rsid w:val="00143948"/>
    <w:rsid w:val="00143D39"/>
    <w:rsid w:val="00144267"/>
    <w:rsid w:val="00144ACB"/>
    <w:rsid w:val="0014631D"/>
    <w:rsid w:val="00146324"/>
    <w:rsid w:val="001542CE"/>
    <w:rsid w:val="00155C42"/>
    <w:rsid w:val="00163004"/>
    <w:rsid w:val="00164D4B"/>
    <w:rsid w:val="00181148"/>
    <w:rsid w:val="0018783A"/>
    <w:rsid w:val="00190492"/>
    <w:rsid w:val="0019099E"/>
    <w:rsid w:val="00190F3B"/>
    <w:rsid w:val="00193367"/>
    <w:rsid w:val="00195130"/>
    <w:rsid w:val="00197FCD"/>
    <w:rsid w:val="001A613F"/>
    <w:rsid w:val="001A6FC7"/>
    <w:rsid w:val="001A76C5"/>
    <w:rsid w:val="001B037B"/>
    <w:rsid w:val="001B11C1"/>
    <w:rsid w:val="001B4751"/>
    <w:rsid w:val="001C010B"/>
    <w:rsid w:val="001C12CE"/>
    <w:rsid w:val="001D1C48"/>
    <w:rsid w:val="001E3977"/>
    <w:rsid w:val="001E43D8"/>
    <w:rsid w:val="001E5EC4"/>
    <w:rsid w:val="001E7131"/>
    <w:rsid w:val="001E7801"/>
    <w:rsid w:val="001F0407"/>
    <w:rsid w:val="001F0F2A"/>
    <w:rsid w:val="001F16A2"/>
    <w:rsid w:val="001F5688"/>
    <w:rsid w:val="001F5C00"/>
    <w:rsid w:val="00202B9D"/>
    <w:rsid w:val="002037F2"/>
    <w:rsid w:val="00205789"/>
    <w:rsid w:val="00206AD2"/>
    <w:rsid w:val="00212620"/>
    <w:rsid w:val="002134EC"/>
    <w:rsid w:val="00220130"/>
    <w:rsid w:val="00220906"/>
    <w:rsid w:val="00221DEB"/>
    <w:rsid w:val="00224056"/>
    <w:rsid w:val="00224183"/>
    <w:rsid w:val="002241F7"/>
    <w:rsid w:val="002242A2"/>
    <w:rsid w:val="0022569D"/>
    <w:rsid w:val="00226073"/>
    <w:rsid w:val="0022794A"/>
    <w:rsid w:val="00230345"/>
    <w:rsid w:val="00232042"/>
    <w:rsid w:val="0023222D"/>
    <w:rsid w:val="00233298"/>
    <w:rsid w:val="00244BD2"/>
    <w:rsid w:val="0025008A"/>
    <w:rsid w:val="0025530A"/>
    <w:rsid w:val="002571DB"/>
    <w:rsid w:val="00260323"/>
    <w:rsid w:val="00262A11"/>
    <w:rsid w:val="0026316A"/>
    <w:rsid w:val="00281A1A"/>
    <w:rsid w:val="0028681F"/>
    <w:rsid w:val="0029029B"/>
    <w:rsid w:val="002913C8"/>
    <w:rsid w:val="00291D1F"/>
    <w:rsid w:val="002A2AAC"/>
    <w:rsid w:val="002A3F1C"/>
    <w:rsid w:val="002A658A"/>
    <w:rsid w:val="002B1243"/>
    <w:rsid w:val="002B4A5E"/>
    <w:rsid w:val="002C13D3"/>
    <w:rsid w:val="002C3788"/>
    <w:rsid w:val="002C39E4"/>
    <w:rsid w:val="002C533D"/>
    <w:rsid w:val="002C756F"/>
    <w:rsid w:val="002D0930"/>
    <w:rsid w:val="002D0B03"/>
    <w:rsid w:val="002D4093"/>
    <w:rsid w:val="002D41EF"/>
    <w:rsid w:val="002D7CC6"/>
    <w:rsid w:val="002E1BFA"/>
    <w:rsid w:val="002F1811"/>
    <w:rsid w:val="002F34A8"/>
    <w:rsid w:val="002F6B59"/>
    <w:rsid w:val="002F71C7"/>
    <w:rsid w:val="002F735C"/>
    <w:rsid w:val="002F7C49"/>
    <w:rsid w:val="0030260C"/>
    <w:rsid w:val="00303D6B"/>
    <w:rsid w:val="00305769"/>
    <w:rsid w:val="00310B88"/>
    <w:rsid w:val="00312836"/>
    <w:rsid w:val="003157C6"/>
    <w:rsid w:val="00317FDC"/>
    <w:rsid w:val="00320AD2"/>
    <w:rsid w:val="00323319"/>
    <w:rsid w:val="0032478C"/>
    <w:rsid w:val="00332383"/>
    <w:rsid w:val="00335598"/>
    <w:rsid w:val="00336739"/>
    <w:rsid w:val="003404F2"/>
    <w:rsid w:val="0034196D"/>
    <w:rsid w:val="00342CC6"/>
    <w:rsid w:val="00345FE1"/>
    <w:rsid w:val="00347D30"/>
    <w:rsid w:val="00347E0D"/>
    <w:rsid w:val="00350724"/>
    <w:rsid w:val="00350A4C"/>
    <w:rsid w:val="0035351F"/>
    <w:rsid w:val="003541DC"/>
    <w:rsid w:val="003545E9"/>
    <w:rsid w:val="003575D5"/>
    <w:rsid w:val="0036251C"/>
    <w:rsid w:val="00362D6E"/>
    <w:rsid w:val="00363483"/>
    <w:rsid w:val="003650E4"/>
    <w:rsid w:val="00374DFB"/>
    <w:rsid w:val="00375B9B"/>
    <w:rsid w:val="003870F8"/>
    <w:rsid w:val="00387D62"/>
    <w:rsid w:val="0039128B"/>
    <w:rsid w:val="003949CB"/>
    <w:rsid w:val="003A08D6"/>
    <w:rsid w:val="003A0B78"/>
    <w:rsid w:val="003A13DA"/>
    <w:rsid w:val="003A20EE"/>
    <w:rsid w:val="003B3E63"/>
    <w:rsid w:val="003B5841"/>
    <w:rsid w:val="003C011C"/>
    <w:rsid w:val="003C568E"/>
    <w:rsid w:val="003D6D34"/>
    <w:rsid w:val="003E5705"/>
    <w:rsid w:val="003F0052"/>
    <w:rsid w:val="003F026C"/>
    <w:rsid w:val="003F1D77"/>
    <w:rsid w:val="003F3B96"/>
    <w:rsid w:val="003F710B"/>
    <w:rsid w:val="00403FE2"/>
    <w:rsid w:val="00406ACD"/>
    <w:rsid w:val="00406B5C"/>
    <w:rsid w:val="00406D8F"/>
    <w:rsid w:val="00414940"/>
    <w:rsid w:val="004161DD"/>
    <w:rsid w:val="00421A88"/>
    <w:rsid w:val="00422A53"/>
    <w:rsid w:val="00422F90"/>
    <w:rsid w:val="00423CD3"/>
    <w:rsid w:val="00427E0D"/>
    <w:rsid w:val="00430A33"/>
    <w:rsid w:val="00431B90"/>
    <w:rsid w:val="00433023"/>
    <w:rsid w:val="00433D86"/>
    <w:rsid w:val="00433EE9"/>
    <w:rsid w:val="00436C64"/>
    <w:rsid w:val="004371E3"/>
    <w:rsid w:val="00442E48"/>
    <w:rsid w:val="00444F53"/>
    <w:rsid w:val="004450E8"/>
    <w:rsid w:val="00460067"/>
    <w:rsid w:val="0046074B"/>
    <w:rsid w:val="0046125A"/>
    <w:rsid w:val="004618BA"/>
    <w:rsid w:val="00461F1D"/>
    <w:rsid w:val="00464855"/>
    <w:rsid w:val="0046525A"/>
    <w:rsid w:val="004655A4"/>
    <w:rsid w:val="004661FF"/>
    <w:rsid w:val="004672A8"/>
    <w:rsid w:val="0047075B"/>
    <w:rsid w:val="004717A0"/>
    <w:rsid w:val="004747D3"/>
    <w:rsid w:val="004757E1"/>
    <w:rsid w:val="00482B49"/>
    <w:rsid w:val="004852F4"/>
    <w:rsid w:val="00485912"/>
    <w:rsid w:val="0049013C"/>
    <w:rsid w:val="00490F91"/>
    <w:rsid w:val="004919EE"/>
    <w:rsid w:val="00491AE6"/>
    <w:rsid w:val="00493C2E"/>
    <w:rsid w:val="004A394F"/>
    <w:rsid w:val="004A562C"/>
    <w:rsid w:val="004B2259"/>
    <w:rsid w:val="004B388C"/>
    <w:rsid w:val="004C0D86"/>
    <w:rsid w:val="004C1838"/>
    <w:rsid w:val="004C20FF"/>
    <w:rsid w:val="004C2547"/>
    <w:rsid w:val="004C2AE3"/>
    <w:rsid w:val="004C49D4"/>
    <w:rsid w:val="004C4BA5"/>
    <w:rsid w:val="004C5C28"/>
    <w:rsid w:val="004D0049"/>
    <w:rsid w:val="004D2E15"/>
    <w:rsid w:val="004D5F55"/>
    <w:rsid w:val="004E21CE"/>
    <w:rsid w:val="004E2DB6"/>
    <w:rsid w:val="004E5F55"/>
    <w:rsid w:val="004F0323"/>
    <w:rsid w:val="004F0BE8"/>
    <w:rsid w:val="004F2FD7"/>
    <w:rsid w:val="004F4050"/>
    <w:rsid w:val="004F53D2"/>
    <w:rsid w:val="005005C1"/>
    <w:rsid w:val="0051172E"/>
    <w:rsid w:val="00520005"/>
    <w:rsid w:val="0052265E"/>
    <w:rsid w:val="0052402E"/>
    <w:rsid w:val="00524047"/>
    <w:rsid w:val="00527D9F"/>
    <w:rsid w:val="005310AB"/>
    <w:rsid w:val="0053414F"/>
    <w:rsid w:val="00534536"/>
    <w:rsid w:val="0053563E"/>
    <w:rsid w:val="00535F18"/>
    <w:rsid w:val="005430F0"/>
    <w:rsid w:val="00544EEE"/>
    <w:rsid w:val="005469A7"/>
    <w:rsid w:val="00550241"/>
    <w:rsid w:val="005549A7"/>
    <w:rsid w:val="00554D10"/>
    <w:rsid w:val="0056133A"/>
    <w:rsid w:val="00567007"/>
    <w:rsid w:val="0057092C"/>
    <w:rsid w:val="00570CCB"/>
    <w:rsid w:val="00572152"/>
    <w:rsid w:val="005734BF"/>
    <w:rsid w:val="0057450B"/>
    <w:rsid w:val="005779DE"/>
    <w:rsid w:val="00581375"/>
    <w:rsid w:val="005820C6"/>
    <w:rsid w:val="00583985"/>
    <w:rsid w:val="0058547E"/>
    <w:rsid w:val="0058574C"/>
    <w:rsid w:val="0058617B"/>
    <w:rsid w:val="00591FCC"/>
    <w:rsid w:val="00592AE9"/>
    <w:rsid w:val="005974F4"/>
    <w:rsid w:val="005A0ACC"/>
    <w:rsid w:val="005B2CB2"/>
    <w:rsid w:val="005B44CB"/>
    <w:rsid w:val="005B5111"/>
    <w:rsid w:val="005B5DFE"/>
    <w:rsid w:val="005C480E"/>
    <w:rsid w:val="005D3F44"/>
    <w:rsid w:val="005D4D19"/>
    <w:rsid w:val="005D52B8"/>
    <w:rsid w:val="005D57C3"/>
    <w:rsid w:val="005D61F5"/>
    <w:rsid w:val="005D6C8D"/>
    <w:rsid w:val="005D6CE7"/>
    <w:rsid w:val="005E324C"/>
    <w:rsid w:val="005F4BAD"/>
    <w:rsid w:val="005F7C46"/>
    <w:rsid w:val="00600CFF"/>
    <w:rsid w:val="00600E5D"/>
    <w:rsid w:val="00602512"/>
    <w:rsid w:val="00602E93"/>
    <w:rsid w:val="00604271"/>
    <w:rsid w:val="00604306"/>
    <w:rsid w:val="006076E7"/>
    <w:rsid w:val="00611A31"/>
    <w:rsid w:val="006121FD"/>
    <w:rsid w:val="00616204"/>
    <w:rsid w:val="00621FE8"/>
    <w:rsid w:val="00623C21"/>
    <w:rsid w:val="00625122"/>
    <w:rsid w:val="00625FC3"/>
    <w:rsid w:val="00626359"/>
    <w:rsid w:val="006313B2"/>
    <w:rsid w:val="00633E5F"/>
    <w:rsid w:val="006352F2"/>
    <w:rsid w:val="0063792F"/>
    <w:rsid w:val="00637FFB"/>
    <w:rsid w:val="00642032"/>
    <w:rsid w:val="00643264"/>
    <w:rsid w:val="006437F0"/>
    <w:rsid w:val="00645EFB"/>
    <w:rsid w:val="006465A8"/>
    <w:rsid w:val="00647926"/>
    <w:rsid w:val="006570BC"/>
    <w:rsid w:val="006618D7"/>
    <w:rsid w:val="00661A18"/>
    <w:rsid w:val="00662192"/>
    <w:rsid w:val="006627F2"/>
    <w:rsid w:val="00662839"/>
    <w:rsid w:val="00663987"/>
    <w:rsid w:val="00670C99"/>
    <w:rsid w:val="00671387"/>
    <w:rsid w:val="00672188"/>
    <w:rsid w:val="0067251C"/>
    <w:rsid w:val="006730CA"/>
    <w:rsid w:val="00675DF2"/>
    <w:rsid w:val="00677FCF"/>
    <w:rsid w:val="00684281"/>
    <w:rsid w:val="00687558"/>
    <w:rsid w:val="00690D70"/>
    <w:rsid w:val="006914B8"/>
    <w:rsid w:val="006937A0"/>
    <w:rsid w:val="00694D31"/>
    <w:rsid w:val="006A00FF"/>
    <w:rsid w:val="006A09EA"/>
    <w:rsid w:val="006B18EF"/>
    <w:rsid w:val="006B2976"/>
    <w:rsid w:val="006B3975"/>
    <w:rsid w:val="006B79C8"/>
    <w:rsid w:val="006C0F37"/>
    <w:rsid w:val="006C1B8B"/>
    <w:rsid w:val="006C7E5B"/>
    <w:rsid w:val="006D04FA"/>
    <w:rsid w:val="006D2024"/>
    <w:rsid w:val="006D3855"/>
    <w:rsid w:val="006D6099"/>
    <w:rsid w:val="006D6436"/>
    <w:rsid w:val="006F225C"/>
    <w:rsid w:val="0070066A"/>
    <w:rsid w:val="00700B1F"/>
    <w:rsid w:val="00700F7E"/>
    <w:rsid w:val="00703E01"/>
    <w:rsid w:val="007047F4"/>
    <w:rsid w:val="00706451"/>
    <w:rsid w:val="00707BF8"/>
    <w:rsid w:val="00712028"/>
    <w:rsid w:val="00712C60"/>
    <w:rsid w:val="00714AA8"/>
    <w:rsid w:val="007171C5"/>
    <w:rsid w:val="0072128D"/>
    <w:rsid w:val="0072156B"/>
    <w:rsid w:val="00723009"/>
    <w:rsid w:val="007264DA"/>
    <w:rsid w:val="00730183"/>
    <w:rsid w:val="0073047A"/>
    <w:rsid w:val="00732933"/>
    <w:rsid w:val="00732A5C"/>
    <w:rsid w:val="00737B11"/>
    <w:rsid w:val="00740230"/>
    <w:rsid w:val="00746DBC"/>
    <w:rsid w:val="00747754"/>
    <w:rsid w:val="00755422"/>
    <w:rsid w:val="00762E13"/>
    <w:rsid w:val="00766267"/>
    <w:rsid w:val="00766B6E"/>
    <w:rsid w:val="00770117"/>
    <w:rsid w:val="00773C89"/>
    <w:rsid w:val="00776D61"/>
    <w:rsid w:val="00781D7E"/>
    <w:rsid w:val="00791552"/>
    <w:rsid w:val="00792CE1"/>
    <w:rsid w:val="0079349A"/>
    <w:rsid w:val="00794C0C"/>
    <w:rsid w:val="007B2F4B"/>
    <w:rsid w:val="007B44BD"/>
    <w:rsid w:val="007B52B0"/>
    <w:rsid w:val="007C243A"/>
    <w:rsid w:val="007D1551"/>
    <w:rsid w:val="007D2A71"/>
    <w:rsid w:val="007D43D4"/>
    <w:rsid w:val="007D4648"/>
    <w:rsid w:val="007E0F9B"/>
    <w:rsid w:val="007E1ACB"/>
    <w:rsid w:val="007E30A7"/>
    <w:rsid w:val="007E76D5"/>
    <w:rsid w:val="007F0228"/>
    <w:rsid w:val="007F3B9D"/>
    <w:rsid w:val="007F4210"/>
    <w:rsid w:val="00806C96"/>
    <w:rsid w:val="00811B60"/>
    <w:rsid w:val="00814834"/>
    <w:rsid w:val="00815536"/>
    <w:rsid w:val="00816BE6"/>
    <w:rsid w:val="00820C28"/>
    <w:rsid w:val="00820D43"/>
    <w:rsid w:val="008236E8"/>
    <w:rsid w:val="00823FD9"/>
    <w:rsid w:val="00825BD2"/>
    <w:rsid w:val="00830B4E"/>
    <w:rsid w:val="0083242F"/>
    <w:rsid w:val="008326B0"/>
    <w:rsid w:val="00835EF6"/>
    <w:rsid w:val="00836D9C"/>
    <w:rsid w:val="00841BBE"/>
    <w:rsid w:val="00842FF0"/>
    <w:rsid w:val="00845055"/>
    <w:rsid w:val="008511D7"/>
    <w:rsid w:val="00855CFA"/>
    <w:rsid w:val="00857587"/>
    <w:rsid w:val="00860150"/>
    <w:rsid w:val="008623D0"/>
    <w:rsid w:val="00876F5F"/>
    <w:rsid w:val="00880046"/>
    <w:rsid w:val="00880B40"/>
    <w:rsid w:val="008811AE"/>
    <w:rsid w:val="00886BAC"/>
    <w:rsid w:val="00886FD2"/>
    <w:rsid w:val="00893D04"/>
    <w:rsid w:val="00895323"/>
    <w:rsid w:val="008A1F72"/>
    <w:rsid w:val="008A2ACA"/>
    <w:rsid w:val="008B0438"/>
    <w:rsid w:val="008B1425"/>
    <w:rsid w:val="008B1AB6"/>
    <w:rsid w:val="008B33E9"/>
    <w:rsid w:val="008B3A9C"/>
    <w:rsid w:val="008B655F"/>
    <w:rsid w:val="008C15A3"/>
    <w:rsid w:val="008C15E2"/>
    <w:rsid w:val="008C1678"/>
    <w:rsid w:val="008C24F7"/>
    <w:rsid w:val="008C7EA3"/>
    <w:rsid w:val="008D363F"/>
    <w:rsid w:val="008D41D5"/>
    <w:rsid w:val="008D4374"/>
    <w:rsid w:val="008D483B"/>
    <w:rsid w:val="008D573B"/>
    <w:rsid w:val="008D7F62"/>
    <w:rsid w:val="008E1EBC"/>
    <w:rsid w:val="008E20F6"/>
    <w:rsid w:val="008E64CB"/>
    <w:rsid w:val="008F01B4"/>
    <w:rsid w:val="008F0A56"/>
    <w:rsid w:val="008F2721"/>
    <w:rsid w:val="008F3222"/>
    <w:rsid w:val="008F52F2"/>
    <w:rsid w:val="008F7597"/>
    <w:rsid w:val="008F7D8A"/>
    <w:rsid w:val="009011EC"/>
    <w:rsid w:val="00902029"/>
    <w:rsid w:val="00902A37"/>
    <w:rsid w:val="00903C73"/>
    <w:rsid w:val="00905890"/>
    <w:rsid w:val="009058D2"/>
    <w:rsid w:val="00905AF1"/>
    <w:rsid w:val="009072E6"/>
    <w:rsid w:val="00910074"/>
    <w:rsid w:val="00910632"/>
    <w:rsid w:val="009106F8"/>
    <w:rsid w:val="00911780"/>
    <w:rsid w:val="00911825"/>
    <w:rsid w:val="00920C8E"/>
    <w:rsid w:val="009210B6"/>
    <w:rsid w:val="00921864"/>
    <w:rsid w:val="00924D70"/>
    <w:rsid w:val="00927113"/>
    <w:rsid w:val="009275E0"/>
    <w:rsid w:val="009300E5"/>
    <w:rsid w:val="009301FC"/>
    <w:rsid w:val="00936070"/>
    <w:rsid w:val="00941B24"/>
    <w:rsid w:val="009431FD"/>
    <w:rsid w:val="00950096"/>
    <w:rsid w:val="00951FB4"/>
    <w:rsid w:val="00956A67"/>
    <w:rsid w:val="00956FCB"/>
    <w:rsid w:val="00962597"/>
    <w:rsid w:val="00964F4F"/>
    <w:rsid w:val="0096581A"/>
    <w:rsid w:val="0096585E"/>
    <w:rsid w:val="009675A9"/>
    <w:rsid w:val="00971236"/>
    <w:rsid w:val="009718A8"/>
    <w:rsid w:val="00975A0B"/>
    <w:rsid w:val="00980C65"/>
    <w:rsid w:val="009867B5"/>
    <w:rsid w:val="00990896"/>
    <w:rsid w:val="009A036B"/>
    <w:rsid w:val="009A4F94"/>
    <w:rsid w:val="009A55E6"/>
    <w:rsid w:val="009A5C4F"/>
    <w:rsid w:val="009B54A7"/>
    <w:rsid w:val="009B5D6E"/>
    <w:rsid w:val="009C3C73"/>
    <w:rsid w:val="009C71A0"/>
    <w:rsid w:val="009D035B"/>
    <w:rsid w:val="009D0E0C"/>
    <w:rsid w:val="009D4ADA"/>
    <w:rsid w:val="009E15C7"/>
    <w:rsid w:val="009E6404"/>
    <w:rsid w:val="009E7668"/>
    <w:rsid w:val="009F43A7"/>
    <w:rsid w:val="009F7346"/>
    <w:rsid w:val="009F7752"/>
    <w:rsid w:val="009F7B53"/>
    <w:rsid w:val="009F7BD5"/>
    <w:rsid w:val="00A00538"/>
    <w:rsid w:val="00A05CB5"/>
    <w:rsid w:val="00A063FA"/>
    <w:rsid w:val="00A07849"/>
    <w:rsid w:val="00A12003"/>
    <w:rsid w:val="00A127D0"/>
    <w:rsid w:val="00A13925"/>
    <w:rsid w:val="00A14096"/>
    <w:rsid w:val="00A20D0E"/>
    <w:rsid w:val="00A25498"/>
    <w:rsid w:val="00A33571"/>
    <w:rsid w:val="00A3404B"/>
    <w:rsid w:val="00A34DBA"/>
    <w:rsid w:val="00A36B40"/>
    <w:rsid w:val="00A37456"/>
    <w:rsid w:val="00A434D3"/>
    <w:rsid w:val="00A52449"/>
    <w:rsid w:val="00A5591F"/>
    <w:rsid w:val="00A55A41"/>
    <w:rsid w:val="00A66B15"/>
    <w:rsid w:val="00A73168"/>
    <w:rsid w:val="00A7404E"/>
    <w:rsid w:val="00A757F0"/>
    <w:rsid w:val="00A76297"/>
    <w:rsid w:val="00A76694"/>
    <w:rsid w:val="00A809AF"/>
    <w:rsid w:val="00A916CD"/>
    <w:rsid w:val="00A95104"/>
    <w:rsid w:val="00A956CC"/>
    <w:rsid w:val="00A958FB"/>
    <w:rsid w:val="00AA7B95"/>
    <w:rsid w:val="00AB27D2"/>
    <w:rsid w:val="00AB52D0"/>
    <w:rsid w:val="00AB78C7"/>
    <w:rsid w:val="00AB7F75"/>
    <w:rsid w:val="00AC16D8"/>
    <w:rsid w:val="00AC21BD"/>
    <w:rsid w:val="00AC6E83"/>
    <w:rsid w:val="00AD15DA"/>
    <w:rsid w:val="00AD1E95"/>
    <w:rsid w:val="00AD1F22"/>
    <w:rsid w:val="00AD357D"/>
    <w:rsid w:val="00AE2574"/>
    <w:rsid w:val="00AE3647"/>
    <w:rsid w:val="00AE387F"/>
    <w:rsid w:val="00AE4BD3"/>
    <w:rsid w:val="00AE62C5"/>
    <w:rsid w:val="00AE6B4E"/>
    <w:rsid w:val="00AE7FAC"/>
    <w:rsid w:val="00AF2F16"/>
    <w:rsid w:val="00AF305D"/>
    <w:rsid w:val="00AF5225"/>
    <w:rsid w:val="00B0044D"/>
    <w:rsid w:val="00B0254A"/>
    <w:rsid w:val="00B06578"/>
    <w:rsid w:val="00B06B95"/>
    <w:rsid w:val="00B10425"/>
    <w:rsid w:val="00B130AF"/>
    <w:rsid w:val="00B15F38"/>
    <w:rsid w:val="00B1756C"/>
    <w:rsid w:val="00B179D7"/>
    <w:rsid w:val="00B17A86"/>
    <w:rsid w:val="00B20298"/>
    <w:rsid w:val="00B246BE"/>
    <w:rsid w:val="00B2541F"/>
    <w:rsid w:val="00B27B26"/>
    <w:rsid w:val="00B33AE8"/>
    <w:rsid w:val="00B36209"/>
    <w:rsid w:val="00B42E9B"/>
    <w:rsid w:val="00B443D8"/>
    <w:rsid w:val="00B510CB"/>
    <w:rsid w:val="00B52224"/>
    <w:rsid w:val="00B537FA"/>
    <w:rsid w:val="00B53B0F"/>
    <w:rsid w:val="00B543D7"/>
    <w:rsid w:val="00B57FAD"/>
    <w:rsid w:val="00B605E1"/>
    <w:rsid w:val="00B61C96"/>
    <w:rsid w:val="00B63C58"/>
    <w:rsid w:val="00B72178"/>
    <w:rsid w:val="00B72E65"/>
    <w:rsid w:val="00B73030"/>
    <w:rsid w:val="00B74E3F"/>
    <w:rsid w:val="00B75E55"/>
    <w:rsid w:val="00B81A9B"/>
    <w:rsid w:val="00B83198"/>
    <w:rsid w:val="00B83B99"/>
    <w:rsid w:val="00B86892"/>
    <w:rsid w:val="00B916A1"/>
    <w:rsid w:val="00B94E81"/>
    <w:rsid w:val="00B95BC3"/>
    <w:rsid w:val="00B95D85"/>
    <w:rsid w:val="00B95E2F"/>
    <w:rsid w:val="00B967C7"/>
    <w:rsid w:val="00B96F07"/>
    <w:rsid w:val="00B97E47"/>
    <w:rsid w:val="00BA1C1A"/>
    <w:rsid w:val="00BA2969"/>
    <w:rsid w:val="00BA4EEA"/>
    <w:rsid w:val="00BB459E"/>
    <w:rsid w:val="00BB5816"/>
    <w:rsid w:val="00BB62FD"/>
    <w:rsid w:val="00BB7F56"/>
    <w:rsid w:val="00BC0776"/>
    <w:rsid w:val="00BC4BFF"/>
    <w:rsid w:val="00BC6428"/>
    <w:rsid w:val="00BC7488"/>
    <w:rsid w:val="00BD28A7"/>
    <w:rsid w:val="00BD5F7C"/>
    <w:rsid w:val="00BD6919"/>
    <w:rsid w:val="00BD7493"/>
    <w:rsid w:val="00BD795D"/>
    <w:rsid w:val="00BE1DE9"/>
    <w:rsid w:val="00BE5DDF"/>
    <w:rsid w:val="00BE6537"/>
    <w:rsid w:val="00BE723A"/>
    <w:rsid w:val="00BF77A6"/>
    <w:rsid w:val="00C015AE"/>
    <w:rsid w:val="00C021D6"/>
    <w:rsid w:val="00C02263"/>
    <w:rsid w:val="00C02AA9"/>
    <w:rsid w:val="00C03BEE"/>
    <w:rsid w:val="00C0761A"/>
    <w:rsid w:val="00C11B17"/>
    <w:rsid w:val="00C14965"/>
    <w:rsid w:val="00C14A62"/>
    <w:rsid w:val="00C154F6"/>
    <w:rsid w:val="00C16394"/>
    <w:rsid w:val="00C170FB"/>
    <w:rsid w:val="00C26276"/>
    <w:rsid w:val="00C30A27"/>
    <w:rsid w:val="00C33E2A"/>
    <w:rsid w:val="00C36BFF"/>
    <w:rsid w:val="00C42388"/>
    <w:rsid w:val="00C53292"/>
    <w:rsid w:val="00C57F1A"/>
    <w:rsid w:val="00C601A8"/>
    <w:rsid w:val="00C623B9"/>
    <w:rsid w:val="00C65879"/>
    <w:rsid w:val="00C66DA7"/>
    <w:rsid w:val="00C73CA7"/>
    <w:rsid w:val="00C76F93"/>
    <w:rsid w:val="00C77204"/>
    <w:rsid w:val="00C77948"/>
    <w:rsid w:val="00C81EE0"/>
    <w:rsid w:val="00C822CB"/>
    <w:rsid w:val="00C83010"/>
    <w:rsid w:val="00C84EEC"/>
    <w:rsid w:val="00C87A21"/>
    <w:rsid w:val="00C91526"/>
    <w:rsid w:val="00C9245E"/>
    <w:rsid w:val="00C95DAE"/>
    <w:rsid w:val="00CA24A2"/>
    <w:rsid w:val="00CA2C79"/>
    <w:rsid w:val="00CA4522"/>
    <w:rsid w:val="00CA6123"/>
    <w:rsid w:val="00CA6E2E"/>
    <w:rsid w:val="00CA73F9"/>
    <w:rsid w:val="00CB07DA"/>
    <w:rsid w:val="00CB0F19"/>
    <w:rsid w:val="00CB3004"/>
    <w:rsid w:val="00CB5349"/>
    <w:rsid w:val="00CC2301"/>
    <w:rsid w:val="00CD0B32"/>
    <w:rsid w:val="00CD5258"/>
    <w:rsid w:val="00CD773E"/>
    <w:rsid w:val="00CE2936"/>
    <w:rsid w:val="00CE322F"/>
    <w:rsid w:val="00CE53AD"/>
    <w:rsid w:val="00CE6B30"/>
    <w:rsid w:val="00CE6C9C"/>
    <w:rsid w:val="00CE76D0"/>
    <w:rsid w:val="00CF4767"/>
    <w:rsid w:val="00CF4AED"/>
    <w:rsid w:val="00CF4BB2"/>
    <w:rsid w:val="00D00A45"/>
    <w:rsid w:val="00D05C1A"/>
    <w:rsid w:val="00D1308C"/>
    <w:rsid w:val="00D17ABE"/>
    <w:rsid w:val="00D222B2"/>
    <w:rsid w:val="00D2318A"/>
    <w:rsid w:val="00D23403"/>
    <w:rsid w:val="00D24ABA"/>
    <w:rsid w:val="00D2637B"/>
    <w:rsid w:val="00D26F55"/>
    <w:rsid w:val="00D33A0D"/>
    <w:rsid w:val="00D33F83"/>
    <w:rsid w:val="00D355B6"/>
    <w:rsid w:val="00D4003B"/>
    <w:rsid w:val="00D422A4"/>
    <w:rsid w:val="00D4300A"/>
    <w:rsid w:val="00D46822"/>
    <w:rsid w:val="00D5093B"/>
    <w:rsid w:val="00D51FC1"/>
    <w:rsid w:val="00D52DFD"/>
    <w:rsid w:val="00D56AEE"/>
    <w:rsid w:val="00D6118C"/>
    <w:rsid w:val="00D62ED6"/>
    <w:rsid w:val="00D63137"/>
    <w:rsid w:val="00D639E9"/>
    <w:rsid w:val="00D67FFC"/>
    <w:rsid w:val="00D71937"/>
    <w:rsid w:val="00D72A35"/>
    <w:rsid w:val="00D74EF2"/>
    <w:rsid w:val="00D75C2D"/>
    <w:rsid w:val="00D80C74"/>
    <w:rsid w:val="00D83DEE"/>
    <w:rsid w:val="00D86297"/>
    <w:rsid w:val="00D86ED0"/>
    <w:rsid w:val="00D910C9"/>
    <w:rsid w:val="00D92D54"/>
    <w:rsid w:val="00DA109A"/>
    <w:rsid w:val="00DA42E9"/>
    <w:rsid w:val="00DA5F32"/>
    <w:rsid w:val="00DA689C"/>
    <w:rsid w:val="00DB4FBF"/>
    <w:rsid w:val="00DB5031"/>
    <w:rsid w:val="00DB7982"/>
    <w:rsid w:val="00DC30CF"/>
    <w:rsid w:val="00DC5E41"/>
    <w:rsid w:val="00DC69FE"/>
    <w:rsid w:val="00DD2C8C"/>
    <w:rsid w:val="00DD4791"/>
    <w:rsid w:val="00DD6C96"/>
    <w:rsid w:val="00DD6F9E"/>
    <w:rsid w:val="00DE5E5C"/>
    <w:rsid w:val="00DE7DDE"/>
    <w:rsid w:val="00DF234C"/>
    <w:rsid w:val="00E01950"/>
    <w:rsid w:val="00E04111"/>
    <w:rsid w:val="00E074C6"/>
    <w:rsid w:val="00E0764A"/>
    <w:rsid w:val="00E076EA"/>
    <w:rsid w:val="00E07733"/>
    <w:rsid w:val="00E15865"/>
    <w:rsid w:val="00E15A4D"/>
    <w:rsid w:val="00E22FC8"/>
    <w:rsid w:val="00E24034"/>
    <w:rsid w:val="00E30070"/>
    <w:rsid w:val="00E31FF7"/>
    <w:rsid w:val="00E32497"/>
    <w:rsid w:val="00E32A1E"/>
    <w:rsid w:val="00E35CFB"/>
    <w:rsid w:val="00E371D5"/>
    <w:rsid w:val="00E41381"/>
    <w:rsid w:val="00E447C1"/>
    <w:rsid w:val="00E512B2"/>
    <w:rsid w:val="00E53CC3"/>
    <w:rsid w:val="00E55CA7"/>
    <w:rsid w:val="00E627F9"/>
    <w:rsid w:val="00E649A9"/>
    <w:rsid w:val="00E65B37"/>
    <w:rsid w:val="00E65E0F"/>
    <w:rsid w:val="00E72F30"/>
    <w:rsid w:val="00E73036"/>
    <w:rsid w:val="00E7564D"/>
    <w:rsid w:val="00E822F4"/>
    <w:rsid w:val="00E8415D"/>
    <w:rsid w:val="00E91407"/>
    <w:rsid w:val="00E9256D"/>
    <w:rsid w:val="00E95CB6"/>
    <w:rsid w:val="00E95E33"/>
    <w:rsid w:val="00E97481"/>
    <w:rsid w:val="00EA3EB9"/>
    <w:rsid w:val="00EB08FD"/>
    <w:rsid w:val="00EB1236"/>
    <w:rsid w:val="00EB40EF"/>
    <w:rsid w:val="00EB42A1"/>
    <w:rsid w:val="00EB4B8C"/>
    <w:rsid w:val="00EB5B72"/>
    <w:rsid w:val="00EC0900"/>
    <w:rsid w:val="00EC2B60"/>
    <w:rsid w:val="00EC4B6C"/>
    <w:rsid w:val="00ED1974"/>
    <w:rsid w:val="00ED5EBC"/>
    <w:rsid w:val="00ED7004"/>
    <w:rsid w:val="00EF4D56"/>
    <w:rsid w:val="00F04969"/>
    <w:rsid w:val="00F05261"/>
    <w:rsid w:val="00F0595B"/>
    <w:rsid w:val="00F0784A"/>
    <w:rsid w:val="00F07B29"/>
    <w:rsid w:val="00F11D45"/>
    <w:rsid w:val="00F1563E"/>
    <w:rsid w:val="00F22264"/>
    <w:rsid w:val="00F23ED8"/>
    <w:rsid w:val="00F24499"/>
    <w:rsid w:val="00F252D5"/>
    <w:rsid w:val="00F27EBE"/>
    <w:rsid w:val="00F30024"/>
    <w:rsid w:val="00F3318F"/>
    <w:rsid w:val="00F34BB1"/>
    <w:rsid w:val="00F45D1F"/>
    <w:rsid w:val="00F472F7"/>
    <w:rsid w:val="00F54BDF"/>
    <w:rsid w:val="00F57B0B"/>
    <w:rsid w:val="00F60201"/>
    <w:rsid w:val="00F60261"/>
    <w:rsid w:val="00F61800"/>
    <w:rsid w:val="00F624F2"/>
    <w:rsid w:val="00F629D9"/>
    <w:rsid w:val="00F6584B"/>
    <w:rsid w:val="00F65BC7"/>
    <w:rsid w:val="00F715BF"/>
    <w:rsid w:val="00F7240F"/>
    <w:rsid w:val="00F8208C"/>
    <w:rsid w:val="00F869ED"/>
    <w:rsid w:val="00F91FFD"/>
    <w:rsid w:val="00F92508"/>
    <w:rsid w:val="00F95B31"/>
    <w:rsid w:val="00F96AC1"/>
    <w:rsid w:val="00F97097"/>
    <w:rsid w:val="00FA1DC5"/>
    <w:rsid w:val="00FA2539"/>
    <w:rsid w:val="00FA7EEC"/>
    <w:rsid w:val="00FA7EFE"/>
    <w:rsid w:val="00FB088E"/>
    <w:rsid w:val="00FC2BC8"/>
    <w:rsid w:val="00FC6A62"/>
    <w:rsid w:val="00FD6ED3"/>
    <w:rsid w:val="00FD79CE"/>
    <w:rsid w:val="00FE2CE1"/>
    <w:rsid w:val="00FF287F"/>
    <w:rsid w:val="00FF2B4A"/>
    <w:rsid w:val="00FF3BE9"/>
    <w:rsid w:val="00FF62B5"/>
    <w:rsid w:val="00FF6B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4F9E7A9-5D55-4CEE-BC3D-98808DB42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9E1"/>
    <w:pPr>
      <w:spacing w:after="0"/>
      <w:jc w:val="both"/>
    </w:pPr>
    <w:rPr>
      <w:rFonts w:ascii="Times New Roman" w:hAnsi="Times New Roman"/>
      <w:sz w:val="24"/>
    </w:rPr>
  </w:style>
  <w:style w:type="paragraph" w:styleId="Nadpis1">
    <w:name w:val="heading 1"/>
    <w:basedOn w:val="Normln"/>
    <w:next w:val="Normln"/>
    <w:link w:val="Nadpis1Char"/>
    <w:qFormat/>
    <w:rsid w:val="00AF2F16"/>
    <w:pPr>
      <w:keepNext/>
      <w:numPr>
        <w:numId w:val="2"/>
      </w:numPr>
      <w:overflowPunct w:val="0"/>
      <w:autoSpaceDE w:val="0"/>
      <w:autoSpaceDN w:val="0"/>
      <w:adjustRightInd w:val="0"/>
      <w:spacing w:after="240" w:line="240" w:lineRule="auto"/>
      <w:ind w:left="431" w:hanging="431"/>
      <w:outlineLvl w:val="0"/>
    </w:pPr>
    <w:rPr>
      <w:rFonts w:eastAsia="Times New Roman" w:cs="Times New Roman"/>
      <w:b/>
      <w:caps/>
      <w:sz w:val="28"/>
      <w:szCs w:val="20"/>
      <w:lang w:eastAsia="cs-CZ"/>
    </w:rPr>
  </w:style>
  <w:style w:type="paragraph" w:styleId="Nadpis2">
    <w:name w:val="heading 2"/>
    <w:basedOn w:val="Normln"/>
    <w:next w:val="Normln"/>
    <w:link w:val="Nadpis2Char"/>
    <w:qFormat/>
    <w:rsid w:val="00AF2F16"/>
    <w:pPr>
      <w:keepNext/>
      <w:numPr>
        <w:ilvl w:val="1"/>
        <w:numId w:val="2"/>
      </w:numPr>
      <w:spacing w:before="240" w:after="240" w:line="240" w:lineRule="auto"/>
      <w:ind w:left="578" w:hanging="578"/>
      <w:outlineLvl w:val="1"/>
    </w:pPr>
    <w:rPr>
      <w:rFonts w:eastAsia="Times New Roman" w:cs="Arial"/>
      <w:b/>
      <w:bCs/>
      <w:iCs/>
      <w:sz w:val="26"/>
      <w:szCs w:val="28"/>
      <w:lang w:eastAsia="cs-CZ"/>
    </w:rPr>
  </w:style>
  <w:style w:type="paragraph" w:styleId="Nadpis3">
    <w:name w:val="heading 3"/>
    <w:basedOn w:val="Normln"/>
    <w:next w:val="Normln"/>
    <w:link w:val="Nadpis3Char"/>
    <w:qFormat/>
    <w:rsid w:val="007B2F4B"/>
    <w:pPr>
      <w:keepNext/>
      <w:numPr>
        <w:ilvl w:val="2"/>
        <w:numId w:val="2"/>
      </w:numPr>
      <w:spacing w:before="240" w:after="120" w:line="240" w:lineRule="auto"/>
      <w:outlineLvl w:val="2"/>
    </w:pPr>
    <w:rPr>
      <w:rFonts w:eastAsia="Times New Roman" w:cs="Arial"/>
      <w:b/>
      <w:bCs/>
      <w:szCs w:val="26"/>
      <w:lang w:eastAsia="cs-CZ"/>
    </w:rPr>
  </w:style>
  <w:style w:type="paragraph" w:styleId="Nadpis4">
    <w:name w:val="heading 4"/>
    <w:basedOn w:val="Normln"/>
    <w:next w:val="Normln"/>
    <w:link w:val="Nadpis4Char"/>
    <w:qFormat/>
    <w:rsid w:val="00F3318F"/>
    <w:pPr>
      <w:keepNext/>
      <w:numPr>
        <w:ilvl w:val="3"/>
        <w:numId w:val="2"/>
      </w:numPr>
      <w:spacing w:before="240" w:after="60" w:line="240" w:lineRule="auto"/>
      <w:outlineLvl w:val="3"/>
    </w:pPr>
    <w:rPr>
      <w:rFonts w:eastAsia="Times New Roman" w:cs="Times New Roman"/>
      <w:b/>
      <w:bCs/>
      <w:sz w:val="28"/>
      <w:szCs w:val="28"/>
      <w:lang w:eastAsia="cs-CZ"/>
    </w:rPr>
  </w:style>
  <w:style w:type="paragraph" w:styleId="Nadpis5">
    <w:name w:val="heading 5"/>
    <w:basedOn w:val="Normln"/>
    <w:next w:val="Normln"/>
    <w:link w:val="Nadpis5Char"/>
    <w:qFormat/>
    <w:rsid w:val="00F3318F"/>
    <w:pPr>
      <w:numPr>
        <w:ilvl w:val="4"/>
        <w:numId w:val="2"/>
      </w:numPr>
      <w:spacing w:before="240" w:after="60" w:line="240" w:lineRule="auto"/>
      <w:outlineLvl w:val="4"/>
    </w:pPr>
    <w:rPr>
      <w:rFonts w:eastAsia="Times New Roman" w:cs="Times New Roman"/>
      <w:b/>
      <w:bCs/>
      <w:i/>
      <w:iCs/>
      <w:sz w:val="26"/>
      <w:szCs w:val="26"/>
      <w:lang w:eastAsia="cs-CZ"/>
    </w:rPr>
  </w:style>
  <w:style w:type="paragraph" w:styleId="Nadpis6">
    <w:name w:val="heading 6"/>
    <w:basedOn w:val="Normln"/>
    <w:next w:val="Normln"/>
    <w:link w:val="Nadpis6Char"/>
    <w:qFormat/>
    <w:rsid w:val="00F3318F"/>
    <w:pPr>
      <w:numPr>
        <w:ilvl w:val="5"/>
        <w:numId w:val="2"/>
      </w:numPr>
      <w:spacing w:before="240" w:after="60" w:line="240" w:lineRule="auto"/>
      <w:outlineLvl w:val="5"/>
    </w:pPr>
    <w:rPr>
      <w:rFonts w:eastAsia="Times New Roman" w:cs="Times New Roman"/>
      <w:b/>
      <w:bCs/>
      <w:lang w:eastAsia="cs-CZ"/>
    </w:rPr>
  </w:style>
  <w:style w:type="paragraph" w:styleId="Nadpis7">
    <w:name w:val="heading 7"/>
    <w:basedOn w:val="Normln"/>
    <w:next w:val="Normln"/>
    <w:link w:val="Nadpis7Char"/>
    <w:qFormat/>
    <w:rsid w:val="000D634C"/>
    <w:pPr>
      <w:keepNext/>
      <w:spacing w:before="240" w:after="120"/>
      <w:ind w:firstLine="284"/>
      <w:outlineLvl w:val="6"/>
    </w:pPr>
    <w:rPr>
      <w:rFonts w:eastAsia="Times New Roman" w:cs="Times New Roman"/>
      <w:b/>
      <w:szCs w:val="24"/>
      <w:lang w:eastAsia="cs-CZ"/>
    </w:rPr>
  </w:style>
  <w:style w:type="paragraph" w:styleId="Nadpis8">
    <w:name w:val="heading 8"/>
    <w:basedOn w:val="obyctext"/>
    <w:next w:val="Normln"/>
    <w:link w:val="Nadpis8Char"/>
    <w:qFormat/>
    <w:rsid w:val="00CF4AED"/>
    <w:pPr>
      <w:keepNext/>
      <w:tabs>
        <w:tab w:val="left" w:pos="426"/>
      </w:tabs>
      <w:spacing w:before="240" w:after="120"/>
      <w:ind w:firstLine="0"/>
      <w:outlineLvl w:val="7"/>
    </w:pPr>
    <w:rPr>
      <w:u w:val="single"/>
    </w:rPr>
  </w:style>
  <w:style w:type="paragraph" w:styleId="Nadpis9">
    <w:name w:val="heading 9"/>
    <w:basedOn w:val="Normln"/>
    <w:next w:val="Normln"/>
    <w:link w:val="Nadpis9Char"/>
    <w:qFormat/>
    <w:rsid w:val="00CF4AED"/>
    <w:pPr>
      <w:keepNext/>
      <w:spacing w:before="240" w:after="120"/>
      <w:outlineLvl w:val="8"/>
    </w:pPr>
    <w:rPr>
      <w:rFonts w:cs="Times New Roman"/>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406B5C"/>
    <w:pPr>
      <w:tabs>
        <w:tab w:val="left" w:pos="180"/>
        <w:tab w:val="right" w:leader="dot" w:pos="9060"/>
      </w:tabs>
      <w:spacing w:line="240" w:lineRule="auto"/>
      <w:jc w:val="center"/>
    </w:pPr>
    <w:rPr>
      <w:rFonts w:eastAsia="Times New Roman" w:cs="Times New Roman"/>
      <w:b/>
      <w:noProof/>
      <w:szCs w:val="24"/>
      <w:lang w:eastAsia="cs-CZ"/>
    </w:rPr>
  </w:style>
  <w:style w:type="character" w:customStyle="1" w:styleId="Nadpis1Char">
    <w:name w:val="Nadpis 1 Char"/>
    <w:basedOn w:val="Standardnpsmoodstavce"/>
    <w:link w:val="Nadpis1"/>
    <w:rsid w:val="00AF2F16"/>
    <w:rPr>
      <w:rFonts w:ascii="Times New Roman" w:eastAsia="Times New Roman" w:hAnsi="Times New Roman" w:cs="Times New Roman"/>
      <w:b/>
      <w:caps/>
      <w:sz w:val="28"/>
      <w:szCs w:val="20"/>
      <w:lang w:eastAsia="cs-CZ"/>
    </w:rPr>
  </w:style>
  <w:style w:type="character" w:customStyle="1" w:styleId="Nadpis2Char">
    <w:name w:val="Nadpis 2 Char"/>
    <w:basedOn w:val="Standardnpsmoodstavce"/>
    <w:link w:val="Nadpis2"/>
    <w:rsid w:val="00AF2F16"/>
    <w:rPr>
      <w:rFonts w:ascii="Times New Roman" w:eastAsia="Times New Roman" w:hAnsi="Times New Roman" w:cs="Arial"/>
      <w:b/>
      <w:bCs/>
      <w:iCs/>
      <w:sz w:val="26"/>
      <w:szCs w:val="28"/>
      <w:lang w:eastAsia="cs-CZ"/>
    </w:rPr>
  </w:style>
  <w:style w:type="character" w:customStyle="1" w:styleId="Nadpis3Char">
    <w:name w:val="Nadpis 3 Char"/>
    <w:basedOn w:val="Standardnpsmoodstavce"/>
    <w:link w:val="Nadpis3"/>
    <w:rsid w:val="007B2F4B"/>
    <w:rPr>
      <w:rFonts w:ascii="Times New Roman" w:eastAsia="Times New Roman" w:hAnsi="Times New Roman" w:cs="Arial"/>
      <w:b/>
      <w:bCs/>
      <w:sz w:val="24"/>
      <w:szCs w:val="26"/>
      <w:lang w:eastAsia="cs-CZ"/>
    </w:rPr>
  </w:style>
  <w:style w:type="character" w:customStyle="1" w:styleId="Nadpis4Char">
    <w:name w:val="Nadpis 4 Char"/>
    <w:basedOn w:val="Standardnpsmoodstavce"/>
    <w:link w:val="Nadpis4"/>
    <w:rsid w:val="00F3318F"/>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F3318F"/>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F3318F"/>
    <w:rPr>
      <w:rFonts w:ascii="Times New Roman" w:eastAsia="Times New Roman" w:hAnsi="Times New Roman" w:cs="Times New Roman"/>
      <w:b/>
      <w:bCs/>
      <w:sz w:val="24"/>
      <w:lang w:eastAsia="cs-CZ"/>
    </w:rPr>
  </w:style>
  <w:style w:type="character" w:customStyle="1" w:styleId="Nadpis7Char">
    <w:name w:val="Nadpis 7 Char"/>
    <w:basedOn w:val="Standardnpsmoodstavce"/>
    <w:link w:val="Nadpis7"/>
    <w:rsid w:val="000D634C"/>
    <w:rPr>
      <w:rFonts w:ascii="Times New Roman" w:eastAsia="Times New Roman" w:hAnsi="Times New Roman" w:cs="Times New Roman"/>
      <w:b/>
      <w:sz w:val="24"/>
      <w:szCs w:val="24"/>
      <w:lang w:eastAsia="cs-CZ"/>
    </w:rPr>
  </w:style>
  <w:style w:type="character" w:customStyle="1" w:styleId="Nadpis8Char">
    <w:name w:val="Nadpis 8 Char"/>
    <w:basedOn w:val="Standardnpsmoodstavce"/>
    <w:link w:val="Nadpis8"/>
    <w:rsid w:val="00CF4AED"/>
    <w:rPr>
      <w:rFonts w:ascii="Times New Roman" w:eastAsia="Times New Roman" w:hAnsi="Times New Roman" w:cs="Times New Roman"/>
      <w:sz w:val="24"/>
      <w:szCs w:val="24"/>
      <w:u w:val="single"/>
      <w:lang w:eastAsia="cs-CZ"/>
    </w:rPr>
  </w:style>
  <w:style w:type="character" w:customStyle="1" w:styleId="Nadpis9Char">
    <w:name w:val="Nadpis 9 Char"/>
    <w:basedOn w:val="Standardnpsmoodstavce"/>
    <w:link w:val="Nadpis9"/>
    <w:rsid w:val="00CF4AED"/>
    <w:rPr>
      <w:rFonts w:ascii="Times New Roman" w:hAnsi="Times New Roman" w:cs="Times New Roman"/>
      <w:b/>
      <w:sz w:val="24"/>
      <w:szCs w:val="24"/>
      <w:u w:val="single"/>
    </w:rPr>
  </w:style>
  <w:style w:type="paragraph" w:styleId="Titulek">
    <w:name w:val="caption"/>
    <w:basedOn w:val="Normln"/>
    <w:next w:val="Normln"/>
    <w:qFormat/>
    <w:rsid w:val="002C756F"/>
    <w:pPr>
      <w:spacing w:before="120" w:after="120" w:line="240" w:lineRule="auto"/>
    </w:pPr>
    <w:rPr>
      <w:rFonts w:eastAsia="Times New Roman" w:cs="Times New Roman"/>
      <w:b/>
      <w:bCs/>
      <w:sz w:val="20"/>
      <w:szCs w:val="20"/>
      <w:lang w:eastAsia="cs-CZ"/>
    </w:rPr>
  </w:style>
  <w:style w:type="paragraph" w:customStyle="1" w:styleId="KOModrky">
    <w:name w:val="KOModrážky"/>
    <w:basedOn w:val="Normln"/>
    <w:rsid w:val="00F3318F"/>
    <w:pPr>
      <w:numPr>
        <w:numId w:val="3"/>
      </w:numPr>
      <w:spacing w:line="240" w:lineRule="auto"/>
    </w:pPr>
    <w:rPr>
      <w:rFonts w:eastAsia="Times New Roman" w:cs="Times New Roman"/>
      <w:szCs w:val="24"/>
      <w:lang w:eastAsia="cs-CZ"/>
    </w:rPr>
  </w:style>
  <w:style w:type="paragraph" w:customStyle="1" w:styleId="obyctext">
    <w:name w:val="obyctext"/>
    <w:basedOn w:val="Normln"/>
    <w:link w:val="obyctextChar"/>
    <w:rsid w:val="00F3318F"/>
    <w:pPr>
      <w:spacing w:before="120" w:after="80" w:line="240" w:lineRule="auto"/>
      <w:ind w:firstLine="539"/>
    </w:pPr>
    <w:rPr>
      <w:rFonts w:eastAsia="Times New Roman" w:cs="Times New Roman"/>
      <w:szCs w:val="24"/>
      <w:lang w:eastAsia="cs-CZ"/>
    </w:rPr>
  </w:style>
  <w:style w:type="character" w:customStyle="1" w:styleId="obyctextChar">
    <w:name w:val="obyctext Char"/>
    <w:link w:val="obyctext"/>
    <w:rsid w:val="00F3318F"/>
    <w:rPr>
      <w:rFonts w:ascii="Times New Roman" w:eastAsia="Times New Roman" w:hAnsi="Times New Roman" w:cs="Times New Roman"/>
      <w:sz w:val="24"/>
      <w:szCs w:val="24"/>
      <w:lang w:eastAsia="cs-CZ"/>
    </w:rPr>
  </w:style>
  <w:style w:type="paragraph" w:styleId="Zkladntext">
    <w:name w:val="Body Text"/>
    <w:basedOn w:val="Normln"/>
    <w:link w:val="ZkladntextChar"/>
    <w:rsid w:val="004371E3"/>
    <w:pPr>
      <w:spacing w:line="240" w:lineRule="auto"/>
    </w:pPr>
    <w:rPr>
      <w:rFonts w:eastAsia="Times New Roman" w:cs="Times New Roman"/>
      <w:bCs/>
      <w:iCs/>
      <w:szCs w:val="24"/>
      <w:lang w:eastAsia="cs-CZ"/>
    </w:rPr>
  </w:style>
  <w:style w:type="character" w:customStyle="1" w:styleId="ZkladntextChar">
    <w:name w:val="Základní text Char"/>
    <w:basedOn w:val="Standardnpsmoodstavce"/>
    <w:link w:val="Zkladntext"/>
    <w:rsid w:val="004371E3"/>
    <w:rPr>
      <w:rFonts w:ascii="Times New Roman" w:eastAsia="Times New Roman" w:hAnsi="Times New Roman" w:cs="Times New Roman"/>
      <w:bCs/>
      <w:iCs/>
      <w:sz w:val="24"/>
      <w:szCs w:val="24"/>
      <w:lang w:eastAsia="cs-CZ"/>
    </w:rPr>
  </w:style>
  <w:style w:type="paragraph" w:customStyle="1" w:styleId="xl54">
    <w:name w:val="xl54"/>
    <w:basedOn w:val="Normln"/>
    <w:rsid w:val="004371E3"/>
    <w:pPr>
      <w:pBdr>
        <w:left w:val="single" w:sz="4" w:space="0" w:color="auto"/>
        <w:right w:val="single" w:sz="8" w:space="0" w:color="auto"/>
      </w:pBdr>
      <w:spacing w:before="100" w:beforeAutospacing="1" w:after="100" w:afterAutospacing="1" w:line="240" w:lineRule="auto"/>
      <w:jc w:val="right"/>
    </w:pPr>
    <w:rPr>
      <w:rFonts w:eastAsia="Times New Roman" w:cs="Times New Roman"/>
      <w:szCs w:val="24"/>
      <w:lang w:eastAsia="cs-CZ"/>
    </w:rPr>
  </w:style>
  <w:style w:type="paragraph" w:customStyle="1" w:styleId="Nvod">
    <w:name w:val="Návod"/>
    <w:basedOn w:val="Normln"/>
    <w:rsid w:val="004371E3"/>
    <w:pPr>
      <w:overflowPunct w:val="0"/>
      <w:autoSpaceDE w:val="0"/>
      <w:autoSpaceDN w:val="0"/>
      <w:adjustRightInd w:val="0"/>
      <w:spacing w:line="240" w:lineRule="auto"/>
      <w:ind w:left="340" w:hanging="340"/>
    </w:pPr>
    <w:rPr>
      <w:rFonts w:eastAsia="Times New Roman" w:cs="Times New Roman"/>
      <w:szCs w:val="20"/>
      <w:lang w:eastAsia="cs-CZ"/>
    </w:rPr>
  </w:style>
  <w:style w:type="paragraph" w:customStyle="1" w:styleId="MDSR">
    <w:name w:val="MDS ČR"/>
    <w:basedOn w:val="Normln"/>
    <w:rsid w:val="00F624F2"/>
    <w:pPr>
      <w:suppressAutoHyphens/>
      <w:overflowPunct w:val="0"/>
      <w:autoSpaceDE w:val="0"/>
      <w:autoSpaceDN w:val="0"/>
      <w:adjustRightInd w:val="0"/>
      <w:spacing w:before="120" w:line="240" w:lineRule="auto"/>
      <w:ind w:firstLine="567"/>
      <w:textAlignment w:val="baseline"/>
    </w:pPr>
    <w:rPr>
      <w:rFonts w:eastAsia="Times New Roman" w:cs="Times New Roman"/>
      <w:szCs w:val="20"/>
      <w:lang w:eastAsia="cs-CZ"/>
    </w:rPr>
  </w:style>
  <w:style w:type="paragraph" w:customStyle="1" w:styleId="Style5">
    <w:name w:val="Style5"/>
    <w:basedOn w:val="Normln"/>
    <w:rsid w:val="00F624F2"/>
    <w:pPr>
      <w:widowControl w:val="0"/>
      <w:autoSpaceDE w:val="0"/>
      <w:autoSpaceDN w:val="0"/>
      <w:adjustRightInd w:val="0"/>
      <w:spacing w:line="276" w:lineRule="exact"/>
    </w:pPr>
    <w:rPr>
      <w:rFonts w:eastAsia="MS Mincho" w:cs="Times New Roman"/>
      <w:szCs w:val="24"/>
      <w:lang w:eastAsia="ja-JP"/>
    </w:rPr>
  </w:style>
  <w:style w:type="character" w:customStyle="1" w:styleId="FontStyle26">
    <w:name w:val="Font Style26"/>
    <w:rsid w:val="00F624F2"/>
    <w:rPr>
      <w:rFonts w:ascii="Times New Roman" w:hAnsi="Times New Roman" w:cs="Times New Roman" w:hint="default"/>
      <w:b/>
      <w:bCs/>
      <w:sz w:val="22"/>
      <w:szCs w:val="22"/>
    </w:rPr>
  </w:style>
  <w:style w:type="paragraph" w:styleId="Textbubliny">
    <w:name w:val="Balloon Text"/>
    <w:basedOn w:val="Normln"/>
    <w:link w:val="TextbublinyChar"/>
    <w:semiHidden/>
    <w:unhideWhenUsed/>
    <w:rsid w:val="00BD28A7"/>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BD28A7"/>
    <w:rPr>
      <w:rFonts w:ascii="Segoe UI" w:hAnsi="Segoe UI" w:cs="Segoe UI"/>
      <w:sz w:val="18"/>
      <w:szCs w:val="18"/>
    </w:rPr>
  </w:style>
  <w:style w:type="paragraph" w:styleId="Zkladntextodsazen">
    <w:name w:val="Body Text Indent"/>
    <w:basedOn w:val="Normln"/>
    <w:link w:val="ZkladntextodsazenChar"/>
    <w:unhideWhenUsed/>
    <w:rsid w:val="00BD28A7"/>
    <w:pPr>
      <w:spacing w:after="120"/>
      <w:ind w:left="283"/>
    </w:pPr>
  </w:style>
  <w:style w:type="character" w:customStyle="1" w:styleId="ZkladntextodsazenChar">
    <w:name w:val="Základní text odsazený Char"/>
    <w:basedOn w:val="Standardnpsmoodstavce"/>
    <w:link w:val="Zkladntextodsazen"/>
    <w:rsid w:val="00BD28A7"/>
  </w:style>
  <w:style w:type="paragraph" w:styleId="Zkladntextodsazen2">
    <w:name w:val="Body Text Indent 2"/>
    <w:basedOn w:val="Normln"/>
    <w:link w:val="Zkladntextodsazen2Char"/>
    <w:rsid w:val="00BD28A7"/>
    <w:pPr>
      <w:spacing w:after="120" w:line="480" w:lineRule="auto"/>
      <w:ind w:left="283"/>
    </w:pPr>
    <w:rPr>
      <w:rFonts w:eastAsia="Times New Roman" w:cs="Times New Roman"/>
      <w:szCs w:val="24"/>
      <w:lang w:eastAsia="cs-CZ"/>
    </w:rPr>
  </w:style>
  <w:style w:type="character" w:customStyle="1" w:styleId="Zkladntextodsazen2Char">
    <w:name w:val="Základní text odsazený 2 Char"/>
    <w:basedOn w:val="Standardnpsmoodstavce"/>
    <w:link w:val="Zkladntextodsazen2"/>
    <w:rsid w:val="00BD28A7"/>
    <w:rPr>
      <w:rFonts w:ascii="Times New Roman" w:eastAsia="Times New Roman" w:hAnsi="Times New Roman" w:cs="Times New Roman"/>
      <w:sz w:val="24"/>
      <w:szCs w:val="24"/>
      <w:lang w:eastAsia="cs-CZ"/>
    </w:rPr>
  </w:style>
  <w:style w:type="numbering" w:customStyle="1" w:styleId="Bezseznamu1">
    <w:name w:val="Bez seznamu1"/>
    <w:next w:val="Bezseznamu"/>
    <w:semiHidden/>
    <w:unhideWhenUsed/>
    <w:rsid w:val="00BD28A7"/>
  </w:style>
  <w:style w:type="paragraph" w:styleId="Zpat">
    <w:name w:val="footer"/>
    <w:basedOn w:val="Normln"/>
    <w:link w:val="ZpatChar"/>
    <w:rsid w:val="00BD28A7"/>
    <w:pPr>
      <w:tabs>
        <w:tab w:val="center" w:pos="4536"/>
        <w:tab w:val="right" w:pos="9072"/>
      </w:tabs>
      <w:spacing w:line="240" w:lineRule="auto"/>
    </w:pPr>
    <w:rPr>
      <w:rFonts w:eastAsia="Times New Roman" w:cs="Times New Roman"/>
      <w:szCs w:val="24"/>
      <w:lang w:eastAsia="cs-CZ"/>
    </w:rPr>
  </w:style>
  <w:style w:type="character" w:customStyle="1" w:styleId="ZpatChar">
    <w:name w:val="Zápatí Char"/>
    <w:basedOn w:val="Standardnpsmoodstavce"/>
    <w:link w:val="Zpat"/>
    <w:rsid w:val="00BD28A7"/>
    <w:rPr>
      <w:rFonts w:ascii="Times New Roman" w:eastAsia="Times New Roman" w:hAnsi="Times New Roman" w:cs="Times New Roman"/>
      <w:sz w:val="24"/>
      <w:szCs w:val="24"/>
      <w:lang w:eastAsia="cs-CZ"/>
    </w:rPr>
  </w:style>
  <w:style w:type="character" w:styleId="slostrnky">
    <w:name w:val="page number"/>
    <w:basedOn w:val="Standardnpsmoodstavce"/>
    <w:rsid w:val="00BD28A7"/>
  </w:style>
  <w:style w:type="paragraph" w:styleId="Zkladntextodsazen3">
    <w:name w:val="Body Text Indent 3"/>
    <w:basedOn w:val="Normln"/>
    <w:link w:val="Zkladntextodsazen3Char"/>
    <w:rsid w:val="00BD28A7"/>
    <w:pPr>
      <w:spacing w:after="120" w:line="240" w:lineRule="auto"/>
      <w:ind w:left="283"/>
    </w:pPr>
    <w:rPr>
      <w:rFonts w:eastAsia="Times New Roman" w:cs="Times New Roman"/>
      <w:sz w:val="16"/>
      <w:szCs w:val="16"/>
      <w:lang w:eastAsia="cs-CZ"/>
    </w:rPr>
  </w:style>
  <w:style w:type="character" w:customStyle="1" w:styleId="Zkladntextodsazen3Char">
    <w:name w:val="Základní text odsazený 3 Char"/>
    <w:basedOn w:val="Standardnpsmoodstavce"/>
    <w:link w:val="Zkladntextodsazen3"/>
    <w:rsid w:val="00BD28A7"/>
    <w:rPr>
      <w:rFonts w:ascii="Times New Roman" w:eastAsia="Times New Roman" w:hAnsi="Times New Roman" w:cs="Times New Roman"/>
      <w:sz w:val="16"/>
      <w:szCs w:val="16"/>
      <w:lang w:eastAsia="cs-CZ"/>
    </w:rPr>
  </w:style>
  <w:style w:type="paragraph" w:customStyle="1" w:styleId="xl33">
    <w:name w:val="xl33"/>
    <w:basedOn w:val="Normln"/>
    <w:rsid w:val="00BD28A7"/>
    <w:pPr>
      <w:pBdr>
        <w:left w:val="single" w:sz="8" w:space="0" w:color="auto"/>
      </w:pBdr>
      <w:spacing w:before="100" w:beforeAutospacing="1" w:after="100" w:afterAutospacing="1" w:line="240" w:lineRule="auto"/>
    </w:pPr>
    <w:rPr>
      <w:rFonts w:eastAsia="Times New Roman" w:cs="Times New Roman"/>
      <w:b/>
      <w:bCs/>
      <w:szCs w:val="24"/>
      <w:lang w:eastAsia="cs-CZ"/>
    </w:rPr>
  </w:style>
  <w:style w:type="table" w:styleId="Mkatabulky">
    <w:name w:val="Table Grid"/>
    <w:basedOn w:val="Normlntabulka"/>
    <w:rsid w:val="00BD28A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rsid w:val="00BD28A7"/>
    <w:pPr>
      <w:spacing w:after="120" w:line="480" w:lineRule="auto"/>
    </w:pPr>
    <w:rPr>
      <w:rFonts w:eastAsia="Times New Roman" w:cs="Times New Roman"/>
      <w:szCs w:val="24"/>
      <w:lang w:eastAsia="cs-CZ"/>
    </w:rPr>
  </w:style>
  <w:style w:type="character" w:customStyle="1" w:styleId="Zkladntext2Char">
    <w:name w:val="Základní text 2 Char"/>
    <w:basedOn w:val="Standardnpsmoodstavce"/>
    <w:link w:val="Zkladntext2"/>
    <w:rsid w:val="00BD28A7"/>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BD28A7"/>
    <w:pPr>
      <w:spacing w:after="120" w:line="240" w:lineRule="auto"/>
    </w:pPr>
    <w:rPr>
      <w:rFonts w:eastAsia="Times New Roman" w:cs="Times New Roman"/>
      <w:sz w:val="16"/>
      <w:szCs w:val="16"/>
      <w:lang w:eastAsia="cs-CZ"/>
    </w:rPr>
  </w:style>
  <w:style w:type="character" w:customStyle="1" w:styleId="Zkladntext3Char">
    <w:name w:val="Základní text 3 Char"/>
    <w:basedOn w:val="Standardnpsmoodstavce"/>
    <w:link w:val="Zkladntext3"/>
    <w:rsid w:val="00BD28A7"/>
    <w:rPr>
      <w:rFonts w:ascii="Times New Roman" w:eastAsia="Times New Roman" w:hAnsi="Times New Roman" w:cs="Times New Roman"/>
      <w:sz w:val="16"/>
      <w:szCs w:val="16"/>
      <w:lang w:eastAsia="cs-CZ"/>
    </w:rPr>
  </w:style>
  <w:style w:type="paragraph" w:customStyle="1" w:styleId="Odstavec">
    <w:name w:val="Odstavec"/>
    <w:basedOn w:val="Normln"/>
    <w:rsid w:val="00BD28A7"/>
    <w:pPr>
      <w:spacing w:before="120" w:line="240" w:lineRule="auto"/>
      <w:ind w:firstLine="709"/>
    </w:pPr>
    <w:rPr>
      <w:rFonts w:eastAsia="Times New Roman" w:cs="Times New Roman"/>
      <w:bCs/>
      <w:szCs w:val="24"/>
      <w:lang w:eastAsia="cs-CZ"/>
    </w:rPr>
  </w:style>
  <w:style w:type="paragraph" w:styleId="Normlnweb">
    <w:name w:val="Normal (Web)"/>
    <w:basedOn w:val="Normln"/>
    <w:rsid w:val="00BD28A7"/>
    <w:pPr>
      <w:spacing w:before="100" w:beforeAutospacing="1" w:after="100" w:afterAutospacing="1" w:line="240" w:lineRule="atLeast"/>
    </w:pPr>
    <w:rPr>
      <w:rFonts w:ascii="Verdana" w:eastAsia="Arial Unicode MS" w:hAnsi="Verdana" w:cs="Arial Unicode MS"/>
      <w:color w:val="1A3F76"/>
      <w:sz w:val="20"/>
      <w:szCs w:val="20"/>
      <w:lang w:eastAsia="cs-CZ"/>
    </w:rPr>
  </w:style>
  <w:style w:type="paragraph" w:styleId="Zhlav">
    <w:name w:val="header"/>
    <w:basedOn w:val="Normln"/>
    <w:link w:val="ZhlavChar"/>
    <w:uiPriority w:val="99"/>
    <w:rsid w:val="00BD28A7"/>
    <w:pPr>
      <w:tabs>
        <w:tab w:val="center" w:pos="4536"/>
        <w:tab w:val="right" w:pos="9072"/>
      </w:tabs>
      <w:spacing w:line="240" w:lineRule="auto"/>
    </w:pPr>
    <w:rPr>
      <w:rFonts w:eastAsia="Times New Roman" w:cs="Times New Roman"/>
      <w:szCs w:val="24"/>
      <w:lang w:eastAsia="cs-CZ"/>
    </w:rPr>
  </w:style>
  <w:style w:type="character" w:customStyle="1" w:styleId="ZhlavChar">
    <w:name w:val="Záhlaví Char"/>
    <w:basedOn w:val="Standardnpsmoodstavce"/>
    <w:link w:val="Zhlav"/>
    <w:uiPriority w:val="99"/>
    <w:rsid w:val="00BD28A7"/>
    <w:rPr>
      <w:rFonts w:ascii="Times New Roman" w:eastAsia="Times New Roman" w:hAnsi="Times New Roman" w:cs="Times New Roman"/>
      <w:sz w:val="24"/>
      <w:szCs w:val="24"/>
      <w:lang w:eastAsia="cs-CZ"/>
    </w:rPr>
  </w:style>
  <w:style w:type="paragraph" w:styleId="Obsah2">
    <w:name w:val="toc 2"/>
    <w:basedOn w:val="Normln"/>
    <w:next w:val="Normln"/>
    <w:autoRedefine/>
    <w:uiPriority w:val="39"/>
    <w:rsid w:val="00BD28A7"/>
    <w:pPr>
      <w:tabs>
        <w:tab w:val="left" w:pos="540"/>
        <w:tab w:val="right" w:leader="dot" w:pos="9060"/>
      </w:tabs>
      <w:spacing w:line="240" w:lineRule="auto"/>
      <w:ind w:left="900" w:hanging="840"/>
    </w:pPr>
    <w:rPr>
      <w:rFonts w:eastAsia="Times New Roman" w:cs="Arial"/>
      <w:bCs/>
      <w:noProof/>
      <w:szCs w:val="24"/>
      <w:lang w:eastAsia="cs-CZ"/>
    </w:rPr>
  </w:style>
  <w:style w:type="character" w:styleId="Hypertextovodkaz">
    <w:name w:val="Hyperlink"/>
    <w:uiPriority w:val="99"/>
    <w:rsid w:val="00BD28A7"/>
    <w:rPr>
      <w:color w:val="0000FF"/>
      <w:u w:val="single"/>
    </w:rPr>
  </w:style>
  <w:style w:type="paragraph" w:styleId="Obsah3">
    <w:name w:val="toc 3"/>
    <w:basedOn w:val="Normln"/>
    <w:next w:val="Normln"/>
    <w:autoRedefine/>
    <w:uiPriority w:val="39"/>
    <w:rsid w:val="00E01950"/>
    <w:pPr>
      <w:tabs>
        <w:tab w:val="left" w:pos="900"/>
        <w:tab w:val="right" w:leader="dot" w:pos="9060"/>
      </w:tabs>
      <w:spacing w:line="240" w:lineRule="auto"/>
      <w:ind w:left="900" w:hanging="720"/>
      <w:jc w:val="left"/>
    </w:pPr>
    <w:rPr>
      <w:rFonts w:eastAsia="Times New Roman" w:cs="Times New Roman"/>
      <w:szCs w:val="24"/>
      <w:lang w:eastAsia="cs-CZ"/>
    </w:rPr>
  </w:style>
  <w:style w:type="character" w:styleId="Siln">
    <w:name w:val="Strong"/>
    <w:qFormat/>
    <w:rsid w:val="00BD28A7"/>
    <w:rPr>
      <w:b/>
      <w:bCs/>
    </w:rPr>
  </w:style>
  <w:style w:type="paragraph" w:styleId="Seznamobrzk">
    <w:name w:val="table of figures"/>
    <w:aliases w:val="Seznam grafů"/>
    <w:basedOn w:val="Normln"/>
    <w:next w:val="Normln"/>
    <w:uiPriority w:val="99"/>
    <w:rsid w:val="00BD28A7"/>
    <w:pPr>
      <w:spacing w:line="240" w:lineRule="auto"/>
    </w:pPr>
    <w:rPr>
      <w:rFonts w:eastAsia="Times New Roman" w:cs="Times New Roman"/>
      <w:szCs w:val="24"/>
      <w:lang w:eastAsia="cs-CZ"/>
    </w:rPr>
  </w:style>
  <w:style w:type="paragraph" w:customStyle="1" w:styleId="ostavec">
    <w:name w:val="ostavec"/>
    <w:basedOn w:val="Normln"/>
    <w:rsid w:val="00BD28A7"/>
    <w:pPr>
      <w:spacing w:before="120" w:after="120" w:line="240" w:lineRule="auto"/>
    </w:pPr>
    <w:rPr>
      <w:rFonts w:ascii="Arial" w:eastAsia="Times New Roman" w:hAnsi="Arial" w:cs="Times New Roman"/>
      <w:color w:val="000000"/>
      <w:szCs w:val="20"/>
    </w:rPr>
  </w:style>
  <w:style w:type="character" w:styleId="Sledovanodkaz">
    <w:name w:val="FollowedHyperlink"/>
    <w:rsid w:val="00BD28A7"/>
    <w:rPr>
      <w:color w:val="800080"/>
      <w:u w:val="single"/>
    </w:rPr>
  </w:style>
  <w:style w:type="character" w:customStyle="1" w:styleId="CharChar">
    <w:name w:val="Char Char"/>
    <w:rsid w:val="00BD28A7"/>
    <w:rPr>
      <w:smallCaps/>
      <w:sz w:val="32"/>
      <w:szCs w:val="24"/>
      <w:lang w:val="cs-CZ" w:eastAsia="cs-CZ" w:bidi="ar-SA"/>
    </w:rPr>
  </w:style>
  <w:style w:type="character" w:customStyle="1" w:styleId="FontStyle27">
    <w:name w:val="Font Style27"/>
    <w:rsid w:val="00BD28A7"/>
    <w:rPr>
      <w:rFonts w:ascii="Times New Roman" w:hAnsi="Times New Roman" w:cs="Times New Roman"/>
      <w:sz w:val="22"/>
      <w:szCs w:val="22"/>
    </w:rPr>
  </w:style>
  <w:style w:type="character" w:customStyle="1" w:styleId="ardata-autor">
    <w:name w:val="ardata-autor"/>
    <w:rsid w:val="00BD28A7"/>
  </w:style>
  <w:style w:type="character" w:customStyle="1" w:styleId="apple-converted-space">
    <w:name w:val="apple-converted-space"/>
    <w:rsid w:val="00BD28A7"/>
  </w:style>
  <w:style w:type="paragraph" w:customStyle="1" w:styleId="OPDnadpis4">
    <w:name w:val="OPD nadpis4"/>
    <w:basedOn w:val="Nadpis4"/>
    <w:link w:val="OPDnadpis4Char"/>
    <w:rsid w:val="00BD28A7"/>
    <w:pPr>
      <w:numPr>
        <w:numId w:val="8"/>
      </w:numPr>
      <w:spacing w:before="0" w:after="240"/>
    </w:pPr>
    <w:rPr>
      <w:bCs w:val="0"/>
      <w:sz w:val="24"/>
      <w:szCs w:val="24"/>
      <w:lang w:eastAsia="en-US"/>
    </w:rPr>
  </w:style>
  <w:style w:type="character" w:customStyle="1" w:styleId="OPDnadpis4Char">
    <w:name w:val="OPD nadpis4 Char"/>
    <w:link w:val="OPDnadpis4"/>
    <w:locked/>
    <w:rsid w:val="00BD28A7"/>
    <w:rPr>
      <w:rFonts w:ascii="Times New Roman" w:eastAsia="Times New Roman" w:hAnsi="Times New Roman" w:cs="Times New Roman"/>
      <w:b/>
      <w:sz w:val="24"/>
      <w:szCs w:val="24"/>
    </w:rPr>
  </w:style>
  <w:style w:type="character" w:styleId="Odkaznakoment">
    <w:name w:val="annotation reference"/>
    <w:rsid w:val="00BD28A7"/>
    <w:rPr>
      <w:sz w:val="16"/>
      <w:szCs w:val="16"/>
    </w:rPr>
  </w:style>
  <w:style w:type="paragraph" w:styleId="Textkomente">
    <w:name w:val="annotation text"/>
    <w:basedOn w:val="Normln"/>
    <w:link w:val="TextkomenteChar"/>
    <w:rsid w:val="00BD28A7"/>
    <w:pPr>
      <w:spacing w:line="240" w:lineRule="auto"/>
    </w:pPr>
    <w:rPr>
      <w:rFonts w:eastAsia="Times New Roman" w:cs="Times New Roman"/>
      <w:sz w:val="20"/>
      <w:szCs w:val="20"/>
      <w:lang w:eastAsia="cs-CZ"/>
    </w:rPr>
  </w:style>
  <w:style w:type="character" w:customStyle="1" w:styleId="TextkomenteChar">
    <w:name w:val="Text komentáře Char"/>
    <w:basedOn w:val="Standardnpsmoodstavce"/>
    <w:link w:val="Textkomente"/>
    <w:rsid w:val="00BD28A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rsid w:val="00BD28A7"/>
    <w:rPr>
      <w:b/>
      <w:bCs/>
    </w:rPr>
  </w:style>
  <w:style w:type="character" w:customStyle="1" w:styleId="PedmtkomenteChar">
    <w:name w:val="Předmět komentáře Char"/>
    <w:basedOn w:val="TextkomenteChar"/>
    <w:link w:val="Pedmtkomente"/>
    <w:rsid w:val="00BD28A7"/>
    <w:rPr>
      <w:rFonts w:ascii="Times New Roman" w:eastAsia="Times New Roman" w:hAnsi="Times New Roman" w:cs="Times New Roman"/>
      <w:b/>
      <w:bCs/>
      <w:sz w:val="20"/>
      <w:szCs w:val="20"/>
      <w:lang w:eastAsia="cs-CZ"/>
    </w:rPr>
  </w:style>
  <w:style w:type="paragraph" w:styleId="Odstavecseseznamem">
    <w:name w:val="List Paragraph"/>
    <w:aliases w:val="Fiche List Paragraph,Dot pt,List Paragraph Char Char Char,Indicator Text,Numbered Para 1,List Paragraph à moi,Odsek zoznamu4,LISTA,Listaszerű bekezdés2,Listaszerű bekezdés3,Listaszerű bekezdés1,3,Odstavec se seznamem2,List Paragraph"/>
    <w:basedOn w:val="Normln"/>
    <w:link w:val="OdstavecseseznamemChar"/>
    <w:uiPriority w:val="34"/>
    <w:qFormat/>
    <w:rsid w:val="00BD28A7"/>
    <w:pPr>
      <w:spacing w:line="240" w:lineRule="auto"/>
      <w:ind w:left="708"/>
    </w:pPr>
    <w:rPr>
      <w:rFonts w:eastAsia="Times New Roman" w:cs="Times New Roman"/>
      <w:szCs w:val="24"/>
      <w:lang w:eastAsia="cs-CZ"/>
    </w:rPr>
  </w:style>
  <w:style w:type="table" w:styleId="Svtltabulkasmkou1zvraznn5">
    <w:name w:val="Grid Table 1 Light Accent 5"/>
    <w:basedOn w:val="Normlntabulka"/>
    <w:uiPriority w:val="46"/>
    <w:rsid w:val="00A809AF"/>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5E324C"/>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ulkasmkou2zvraznn6">
    <w:name w:val="Grid Table 2 Accent 6"/>
    <w:basedOn w:val="Normlntabulka"/>
    <w:uiPriority w:val="47"/>
    <w:rsid w:val="0052265E"/>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Svtltabulkasmkou1zvraznn2">
    <w:name w:val="Grid Table 1 Light Accent 2"/>
    <w:basedOn w:val="Normlntabulka"/>
    <w:uiPriority w:val="46"/>
    <w:rsid w:val="00E22FC8"/>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Svtltabulkasmkou1">
    <w:name w:val="Grid Table 1 Light"/>
    <w:basedOn w:val="Normlntabulka"/>
    <w:uiPriority w:val="46"/>
    <w:rsid w:val="00E22FC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mkatabulky">
    <w:name w:val="Grid Table Light"/>
    <w:basedOn w:val="Normlntabulka"/>
    <w:uiPriority w:val="40"/>
    <w:rsid w:val="007047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adpisobsahu">
    <w:name w:val="TOC Heading"/>
    <w:basedOn w:val="Nadpis1"/>
    <w:next w:val="Normln"/>
    <w:uiPriority w:val="39"/>
    <w:unhideWhenUsed/>
    <w:qFormat/>
    <w:rsid w:val="00CD5258"/>
    <w:pPr>
      <w:keepLines/>
      <w:numPr>
        <w:numId w:val="0"/>
      </w:numPr>
      <w:overflowPunct/>
      <w:autoSpaceDE/>
      <w:autoSpaceDN/>
      <w:adjustRightInd/>
      <w:spacing w:before="240" w:line="259" w:lineRule="auto"/>
      <w:outlineLvl w:val="9"/>
    </w:pPr>
    <w:rPr>
      <w:rFonts w:asciiTheme="majorHAnsi" w:eastAsiaTheme="majorEastAsia" w:hAnsiTheme="majorHAnsi" w:cstheme="majorBidi"/>
      <w:b w:val="0"/>
      <w:color w:val="2E74B5" w:themeColor="accent1" w:themeShade="BF"/>
      <w:sz w:val="32"/>
      <w:szCs w:val="32"/>
    </w:rPr>
  </w:style>
  <w:style w:type="table" w:styleId="Prosttabulka2">
    <w:name w:val="Plain Table 2"/>
    <w:basedOn w:val="Normlntabulka"/>
    <w:uiPriority w:val="42"/>
    <w:rsid w:val="00D4300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Znormal">
    <w:name w:val="Zúnormal"/>
    <w:basedOn w:val="Normln"/>
    <w:link w:val="ZnormalChar"/>
    <w:rsid w:val="002D41EF"/>
    <w:pPr>
      <w:spacing w:before="120" w:line="240" w:lineRule="auto"/>
      <w:ind w:firstLine="708"/>
    </w:pPr>
    <w:rPr>
      <w:rFonts w:eastAsia="Times New Roman" w:cs="Times New Roman"/>
      <w:szCs w:val="20"/>
      <w:lang w:eastAsia="cs-CZ"/>
    </w:rPr>
  </w:style>
  <w:style w:type="character" w:customStyle="1" w:styleId="ZnormalChar">
    <w:name w:val="Zúnormal Char"/>
    <w:link w:val="Znormal"/>
    <w:rsid w:val="002D41EF"/>
    <w:rPr>
      <w:rFonts w:ascii="Times New Roman" w:eastAsia="Times New Roman" w:hAnsi="Times New Roman" w:cs="Times New Roman"/>
      <w:sz w:val="24"/>
      <w:szCs w:val="20"/>
      <w:lang w:eastAsia="cs-CZ"/>
    </w:rPr>
  </w:style>
  <w:style w:type="paragraph" w:customStyle="1" w:styleId="Default">
    <w:name w:val="Default"/>
    <w:rsid w:val="00BB459E"/>
    <w:pPr>
      <w:autoSpaceDE w:val="0"/>
      <w:autoSpaceDN w:val="0"/>
      <w:adjustRightInd w:val="0"/>
      <w:spacing w:after="0" w:line="240" w:lineRule="auto"/>
    </w:pPr>
    <w:rPr>
      <w:rFonts w:ascii="Arial" w:hAnsi="Arial" w:cs="Arial"/>
      <w:color w:val="000000"/>
      <w:sz w:val="24"/>
      <w:szCs w:val="24"/>
    </w:rPr>
  </w:style>
  <w:style w:type="table" w:customStyle="1" w:styleId="Svtltabulkasmkou1zvraznn11">
    <w:name w:val="Světlá tabulka s mřížkou 1 – zvýraznění 11"/>
    <w:basedOn w:val="Normlntabulka"/>
    <w:next w:val="Svtltabulkasmkou1zvraznn1"/>
    <w:uiPriority w:val="46"/>
    <w:rsid w:val="009A036B"/>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Styl1">
    <w:name w:val="Styl1"/>
    <w:basedOn w:val="Normln"/>
    <w:qFormat/>
    <w:rsid w:val="00CF4AED"/>
    <w:pPr>
      <w:keepLines/>
      <w:spacing w:before="120" w:after="240" w:line="276" w:lineRule="auto"/>
    </w:pPr>
    <w:rPr>
      <w:rFonts w:eastAsia="Times New Roman" w:cs="Times New Roman"/>
      <w:iCs/>
      <w:szCs w:val="24"/>
      <w:lang w:eastAsia="cs-CZ"/>
    </w:rPr>
  </w:style>
  <w:style w:type="paragraph" w:customStyle="1" w:styleId="Textbodu">
    <w:name w:val="Text bodu"/>
    <w:basedOn w:val="Normln"/>
    <w:rsid w:val="008C1678"/>
    <w:pPr>
      <w:numPr>
        <w:ilvl w:val="2"/>
        <w:numId w:val="31"/>
      </w:numPr>
      <w:spacing w:line="240" w:lineRule="auto"/>
    </w:pPr>
    <w:rPr>
      <w:rFonts w:cs="Times New Roman"/>
      <w:szCs w:val="24"/>
      <w:lang w:eastAsia="cs-CZ"/>
    </w:rPr>
  </w:style>
  <w:style w:type="paragraph" w:customStyle="1" w:styleId="Textpsmene">
    <w:name w:val="Text písmene"/>
    <w:basedOn w:val="Normln"/>
    <w:rsid w:val="008C1678"/>
    <w:pPr>
      <w:numPr>
        <w:ilvl w:val="1"/>
        <w:numId w:val="31"/>
      </w:numPr>
      <w:spacing w:line="240" w:lineRule="auto"/>
    </w:pPr>
    <w:rPr>
      <w:rFonts w:cs="Times New Roman"/>
      <w:szCs w:val="24"/>
      <w:lang w:eastAsia="cs-CZ"/>
    </w:rPr>
  </w:style>
  <w:style w:type="paragraph" w:customStyle="1" w:styleId="Textodstavce">
    <w:name w:val="Text odstavce"/>
    <w:basedOn w:val="Normln"/>
    <w:rsid w:val="008C1678"/>
    <w:pPr>
      <w:numPr>
        <w:numId w:val="31"/>
      </w:numPr>
      <w:spacing w:before="120" w:after="120" w:line="240" w:lineRule="auto"/>
      <w:ind w:left="0"/>
    </w:pPr>
    <w:rPr>
      <w:rFonts w:cs="Times New Roman"/>
      <w:szCs w:val="24"/>
      <w:lang w:eastAsia="cs-CZ"/>
    </w:rPr>
  </w:style>
  <w:style w:type="table" w:customStyle="1" w:styleId="Svtltabulkasmkou1zvraznn51">
    <w:name w:val="Světlá tabulka s mřížkou 1 – zvýraznění 51"/>
    <w:basedOn w:val="Normlntabulka"/>
    <w:next w:val="Svtltabulkasmkou1zvraznn5"/>
    <w:uiPriority w:val="46"/>
    <w:rsid w:val="00190F3B"/>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OdstavecseseznamemChar">
    <w:name w:val="Odstavec se seznamem Char"/>
    <w:aliases w:val="Fiche List Paragraph Char,Dot pt Char,List Paragraph Char Char Char Char,Indicator Text Char,Numbered Para 1 Char,List Paragraph à moi Char,Odsek zoznamu4 Char,LISTA Char,Listaszerű bekezdés2 Char,Listaszerű bekezdés3 Char"/>
    <w:link w:val="Odstavecseseznamem"/>
    <w:uiPriority w:val="34"/>
    <w:locked/>
    <w:rsid w:val="00CF4BB2"/>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CF4BB2"/>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CF4BB2"/>
    <w:rPr>
      <w:rFonts w:ascii="Times New Roman" w:hAnsi="Times New Roman"/>
      <w:sz w:val="20"/>
      <w:szCs w:val="20"/>
    </w:rPr>
  </w:style>
  <w:style w:type="character" w:styleId="Znakapoznpodarou">
    <w:name w:val="footnote reference"/>
    <w:basedOn w:val="Standardnpsmoodstavce"/>
    <w:uiPriority w:val="99"/>
    <w:semiHidden/>
    <w:unhideWhenUsed/>
    <w:rsid w:val="00CF4BB2"/>
    <w:rPr>
      <w:vertAlign w:val="superscript"/>
    </w:rPr>
  </w:style>
  <w:style w:type="table" w:customStyle="1" w:styleId="Svtltabulkasmkou1zvraznn52">
    <w:name w:val="Světlá tabulka s mřížkou 1 – zvýraznění 52"/>
    <w:basedOn w:val="Normlntabulka"/>
    <w:next w:val="Svtltabulkasmkou1zvraznn5"/>
    <w:uiPriority w:val="46"/>
    <w:rsid w:val="00910074"/>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054923">
      <w:bodyDiv w:val="1"/>
      <w:marLeft w:val="0"/>
      <w:marRight w:val="0"/>
      <w:marTop w:val="0"/>
      <w:marBottom w:val="0"/>
      <w:divBdr>
        <w:top w:val="none" w:sz="0" w:space="0" w:color="auto"/>
        <w:left w:val="none" w:sz="0" w:space="0" w:color="auto"/>
        <w:bottom w:val="none" w:sz="0" w:space="0" w:color="auto"/>
        <w:right w:val="none" w:sz="0" w:space="0" w:color="auto"/>
      </w:divBdr>
    </w:div>
    <w:div w:id="950238815">
      <w:bodyDiv w:val="1"/>
      <w:marLeft w:val="0"/>
      <w:marRight w:val="0"/>
      <w:marTop w:val="0"/>
      <w:marBottom w:val="0"/>
      <w:divBdr>
        <w:top w:val="none" w:sz="0" w:space="0" w:color="auto"/>
        <w:left w:val="none" w:sz="0" w:space="0" w:color="auto"/>
        <w:bottom w:val="none" w:sz="0" w:space="0" w:color="auto"/>
        <w:right w:val="none" w:sz="0" w:space="0" w:color="auto"/>
      </w:divBdr>
    </w:div>
    <w:div w:id="190212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chart" Target="charts/chart3.xml"/><Relationship Id="rId25"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chart" Target="charts/chart8.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chart" Target="charts/chart7.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chart" Target="charts/chart6.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List_aplikace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List_aplikace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List_aplikace_Microsoft_Excel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List_aplikace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List_aplikace_Microsoft_Excel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List_aplikace_Microsoft_Excel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1" Type="http://schemas.openxmlformats.org/officeDocument/2006/relationships/package" Target="../embeddings/List_aplikace_Microsoft_Excel6.xlsx"/></Relationships>
</file>

<file path=word/charts/_rels/chart8.xml.rels><?xml version="1.0" encoding="UTF-8" standalone="yes"?>
<Relationships xmlns="http://schemas.openxmlformats.org/package/2006/relationships"><Relationship Id="rId3" Type="http://schemas.openxmlformats.org/officeDocument/2006/relationships/package" Target="../embeddings/List_aplikace_Microsoft_Excel7.xlsx"/><Relationship Id="rId2" Type="http://schemas.microsoft.com/office/2011/relationships/chartColorStyle" Target="colors7.xml"/><Relationship Id="rId1" Type="http://schemas.microsoft.com/office/2011/relationships/chartStyle" Target="style7.xml"/></Relationships>
</file>

<file path=word/charts/_rels/chart9.xml.rels><?xml version="1.0" encoding="UTF-8" standalone="yes"?>
<Relationships xmlns="http://schemas.openxmlformats.org/package/2006/relationships"><Relationship Id="rId3" Type="http://schemas.openxmlformats.org/officeDocument/2006/relationships/package" Target="../embeddings/List_aplikace_Microsoft_Excel8.xlsx"/><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2020</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Příjmy</c:v>
                </c:pt>
                <c:pt idx="1">
                  <c:v>Výdaje</c:v>
                </c:pt>
              </c:strCache>
            </c:strRef>
          </c:cat>
          <c:val>
            <c:numRef>
              <c:f>List1!$B$2:$B$3</c:f>
              <c:numCache>
                <c:formatCode>#,##0</c:formatCode>
                <c:ptCount val="2"/>
                <c:pt idx="0">
                  <c:v>13847511</c:v>
                </c:pt>
                <c:pt idx="1">
                  <c:v>90472681</c:v>
                </c:pt>
              </c:numCache>
            </c:numRef>
          </c:val>
          <c:extLst>
            <c:ext xmlns:c16="http://schemas.microsoft.com/office/drawing/2014/chart" uri="{C3380CC4-5D6E-409C-BE32-E72D297353CC}">
              <c16:uniqueId val="{00000000-4DAD-4D16-A582-585BF2393114}"/>
            </c:ext>
          </c:extLst>
        </c:ser>
        <c:ser>
          <c:idx val="1"/>
          <c:order val="1"/>
          <c:tx>
            <c:strRef>
              <c:f>List1!$C$1</c:f>
              <c:strCache>
                <c:ptCount val="1"/>
                <c:pt idx="0">
                  <c:v>2021</c:v>
                </c:pt>
              </c:strCache>
            </c:strRef>
          </c:tx>
          <c:spPr>
            <a:solidFill>
              <a:schemeClr val="accent2"/>
            </a:solidFill>
            <a:ln>
              <a:noFill/>
            </a:ln>
            <a:effectLst/>
          </c:spPr>
          <c:invertIfNegative val="0"/>
          <c:dLbls>
            <c:dLbl>
              <c:idx val="0"/>
              <c:layout/>
              <c:tx>
                <c:rich>
                  <a:bodyPr/>
                  <a:lstStyle/>
                  <a:p>
                    <a:fld id="{FB64FB1B-C8E6-41C0-8B42-37824B68D383}" type="VALUE">
                      <a:rPr lang="en-US">
                        <a:solidFill>
                          <a:sysClr val="windowText" lastClr="000000"/>
                        </a:solidFill>
                      </a:rPr>
                      <a:pPr/>
                      <a:t>[HODNOTA]</a:t>
                    </a:fld>
                    <a:endParaRPr lang="cs-CZ"/>
                  </a:p>
                </c:rich>
              </c:tx>
              <c:dLblPos val="outEnd"/>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0-4A2D-4D7D-A330-9E2FEB26963C}"/>
                </c:ext>
              </c:extLst>
            </c:dLbl>
            <c:dLbl>
              <c:idx val="1"/>
              <c:layout>
                <c:manualLayout>
                  <c:x val="-2.205071664829107E-3"/>
                  <c:y val="1.512096774193548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DAD-4D16-A582-585BF239311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Příjmy</c:v>
                </c:pt>
                <c:pt idx="1">
                  <c:v>Výdaje</c:v>
                </c:pt>
              </c:strCache>
            </c:strRef>
          </c:cat>
          <c:val>
            <c:numRef>
              <c:f>List1!$C$2:$C$3</c:f>
              <c:numCache>
                <c:formatCode>#,##0</c:formatCode>
                <c:ptCount val="2"/>
                <c:pt idx="0">
                  <c:v>39927023</c:v>
                </c:pt>
                <c:pt idx="1">
                  <c:v>115997438</c:v>
                </c:pt>
              </c:numCache>
            </c:numRef>
          </c:val>
          <c:extLst>
            <c:ext xmlns:c16="http://schemas.microsoft.com/office/drawing/2014/chart" uri="{C3380CC4-5D6E-409C-BE32-E72D297353CC}">
              <c16:uniqueId val="{00000002-4DAD-4D16-A582-585BF2393114}"/>
            </c:ext>
          </c:extLst>
        </c:ser>
        <c:dLbls>
          <c:dLblPos val="outEnd"/>
          <c:showLegendKey val="0"/>
          <c:showVal val="1"/>
          <c:showCatName val="0"/>
          <c:showSerName val="0"/>
          <c:showPercent val="0"/>
          <c:showBubbleSize val="0"/>
        </c:dLbls>
        <c:gapWidth val="267"/>
        <c:overlap val="-43"/>
        <c:axId val="344020800"/>
        <c:axId val="344021784"/>
      </c:barChart>
      <c:catAx>
        <c:axId val="34402080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344021784"/>
        <c:crosses val="autoZero"/>
        <c:auto val="1"/>
        <c:lblAlgn val="ctr"/>
        <c:lblOffset val="100"/>
        <c:noMultiLvlLbl val="0"/>
      </c:catAx>
      <c:valAx>
        <c:axId val="344021784"/>
        <c:scaling>
          <c:orientation val="minMax"/>
        </c:scaling>
        <c:delete val="1"/>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crossAx val="344020800"/>
        <c:crosses val="autoZero"/>
        <c:crossBetween val="between"/>
      </c:valAx>
      <c:spPr>
        <a:pattFill prst="ltDnDiag">
          <a:fgClr>
            <a:schemeClr val="dk1">
              <a:lumMod val="15000"/>
              <a:lumOff val="85000"/>
            </a:schemeClr>
          </a:fgClr>
          <a:bgClr>
            <a:schemeClr val="lt1"/>
          </a:bgClr>
        </a:patt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2020</c:v>
                </c:pt>
              </c:strCache>
            </c:strRef>
          </c:tx>
          <c:spPr>
            <a:solidFill>
              <a:schemeClr val="accent1"/>
            </a:solidFill>
            <a:ln>
              <a:noFill/>
            </a:ln>
            <a:effectLst/>
          </c:spPr>
          <c:invertIfNegative val="0"/>
          <c:dLbls>
            <c:dLbl>
              <c:idx val="0"/>
              <c:layout>
                <c:manualLayout>
                  <c:x val="-2.2050716648291274E-3"/>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2F0-4C82-A5B1-95C9008B344D}"/>
                </c:ext>
              </c:extLst>
            </c:dLbl>
            <c:dLbl>
              <c:idx val="1"/>
              <c:layout>
                <c:manualLayout>
                  <c:x val="-2.205071664829107E-3"/>
                  <c:y val="5.040322580645161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2F0-4C82-A5B1-95C9008B344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Neinvestiční přijaté transfery</c:v>
                </c:pt>
                <c:pt idx="1">
                  <c:v>Investiční přijaté transfery</c:v>
                </c:pt>
              </c:strCache>
            </c:strRef>
          </c:cat>
          <c:val>
            <c:numRef>
              <c:f>List1!$B$2:$B$3</c:f>
              <c:numCache>
                <c:formatCode>#,##0</c:formatCode>
                <c:ptCount val="2"/>
                <c:pt idx="0">
                  <c:v>139357</c:v>
                </c:pt>
                <c:pt idx="1">
                  <c:v>13361154</c:v>
                </c:pt>
              </c:numCache>
            </c:numRef>
          </c:val>
          <c:extLst>
            <c:ext xmlns:c16="http://schemas.microsoft.com/office/drawing/2014/chart" uri="{C3380CC4-5D6E-409C-BE32-E72D297353CC}">
              <c16:uniqueId val="{00000002-F2F0-4C82-A5B1-95C9008B344D}"/>
            </c:ext>
          </c:extLst>
        </c:ser>
        <c:ser>
          <c:idx val="1"/>
          <c:order val="1"/>
          <c:tx>
            <c:strRef>
              <c:f>List1!$C$1</c:f>
              <c:strCache>
                <c:ptCount val="1"/>
                <c:pt idx="0">
                  <c:v>2021</c:v>
                </c:pt>
              </c:strCache>
            </c:strRef>
          </c:tx>
          <c:spPr>
            <a:solidFill>
              <a:schemeClr val="accent2"/>
            </a:solidFill>
            <a:ln>
              <a:noFill/>
            </a:ln>
            <a:effectLst/>
          </c:spPr>
          <c:invertIfNegative val="0"/>
          <c:dLbls>
            <c:dLbl>
              <c:idx val="0"/>
              <c:layout>
                <c:manualLayout>
                  <c:x val="0"/>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F2F0-4C82-A5B1-95C9008B344D}"/>
                </c:ext>
              </c:extLst>
            </c:dLbl>
            <c:dLbl>
              <c:idx val="1"/>
              <c:layout>
                <c:manualLayout>
                  <c:x val="-2.205071664829107E-3"/>
                  <c:y val="2.0161290322580645E-2"/>
                </c:manualLayout>
              </c:layout>
              <c:tx>
                <c:rich>
                  <a:bodyPr/>
                  <a:lstStyle/>
                  <a:p>
                    <a:fld id="{626AFE9B-6022-46C0-9971-F46A9EC6721A}" type="VALUE">
                      <a:rPr lang="en-US">
                        <a:solidFill>
                          <a:sysClr val="windowText" lastClr="000000"/>
                        </a:solidFill>
                      </a:rPr>
                      <a:pPr/>
                      <a:t>[HODNOTA]</a:t>
                    </a:fld>
                    <a:endParaRPr lang="cs-CZ"/>
                  </a:p>
                </c:rich>
              </c:tx>
              <c:dLblPos val="outEnd"/>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4-F2F0-4C82-A5B1-95C9008B344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Neinvestiční přijaté transfery</c:v>
                </c:pt>
                <c:pt idx="1">
                  <c:v>Investiční přijaté transfery</c:v>
                </c:pt>
              </c:strCache>
            </c:strRef>
          </c:cat>
          <c:val>
            <c:numRef>
              <c:f>List1!$C$2:$C$3</c:f>
              <c:numCache>
                <c:formatCode>#,##0</c:formatCode>
                <c:ptCount val="2"/>
                <c:pt idx="0">
                  <c:v>162699</c:v>
                </c:pt>
                <c:pt idx="1">
                  <c:v>39540324</c:v>
                </c:pt>
              </c:numCache>
            </c:numRef>
          </c:val>
          <c:extLst>
            <c:ext xmlns:c16="http://schemas.microsoft.com/office/drawing/2014/chart" uri="{C3380CC4-5D6E-409C-BE32-E72D297353CC}">
              <c16:uniqueId val="{00000005-F2F0-4C82-A5B1-95C9008B344D}"/>
            </c:ext>
          </c:extLst>
        </c:ser>
        <c:dLbls>
          <c:dLblPos val="outEnd"/>
          <c:showLegendKey val="0"/>
          <c:showVal val="1"/>
          <c:showCatName val="0"/>
          <c:showSerName val="0"/>
          <c:showPercent val="0"/>
          <c:showBubbleSize val="0"/>
        </c:dLbls>
        <c:gapWidth val="267"/>
        <c:overlap val="-43"/>
        <c:axId val="344020800"/>
        <c:axId val="344021784"/>
      </c:barChart>
      <c:catAx>
        <c:axId val="34402080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344021784"/>
        <c:crosses val="autoZero"/>
        <c:auto val="1"/>
        <c:lblAlgn val="ctr"/>
        <c:lblOffset val="100"/>
        <c:noMultiLvlLbl val="0"/>
      </c:catAx>
      <c:valAx>
        <c:axId val="344021784"/>
        <c:scaling>
          <c:orientation val="minMax"/>
        </c:scaling>
        <c:delete val="1"/>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crossAx val="344020800"/>
        <c:crosses val="autoZero"/>
        <c:crossBetween val="between"/>
      </c:valAx>
      <c:spPr>
        <a:pattFill prst="ltDnDiag">
          <a:fgClr>
            <a:schemeClr val="dk1">
              <a:lumMod val="15000"/>
              <a:lumOff val="85000"/>
            </a:schemeClr>
          </a:fgClr>
          <a:bgClr>
            <a:schemeClr val="lt1"/>
          </a:bgClr>
        </a:patt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2020</c:v>
                </c:pt>
              </c:strCache>
            </c:strRef>
          </c:tx>
          <c:spPr>
            <a:solidFill>
              <a:schemeClr val="accent1"/>
            </a:solidFill>
            <a:ln>
              <a:noFill/>
            </a:ln>
            <a:effectLst/>
          </c:spPr>
          <c:invertIfNegative val="0"/>
          <c:dLbls>
            <c:dLbl>
              <c:idx val="0"/>
              <c:layout>
                <c:manualLayout>
                  <c:x val="-1.9845644983461964E-2"/>
                  <c:y val="1.512096774193548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420-4887-B453-A3D2786E97C3}"/>
                </c:ext>
              </c:extLst>
            </c:dLbl>
            <c:dLbl>
              <c:idx val="1"/>
              <c:layout>
                <c:manualLayout>
                  <c:x val="-2.205071664829107E-3"/>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420-4887-B453-A3D2786E97C3}"/>
                </c:ext>
              </c:extLst>
            </c:dLbl>
            <c:dLbl>
              <c:idx val="2"/>
              <c:layout>
                <c:manualLayout>
                  <c:x val="-1.3230429988974642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420-4887-B453-A3D2786E97C3}"/>
                </c:ext>
              </c:extLst>
            </c:dLbl>
            <c:dLbl>
              <c:idx val="3"/>
              <c:layout>
                <c:manualLayout>
                  <c:x val="-1.7640573318632856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3420-4887-B453-A3D2786E97C3}"/>
                </c:ext>
              </c:extLst>
            </c:dLbl>
            <c:dLbl>
              <c:idx val="4"/>
              <c:layout>
                <c:manualLayout>
                  <c:x val="-1.3230429988974642E-2"/>
                  <c:y val="5.040322580645207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3420-4887-B453-A3D2786E97C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List1!$A$2:$A$6</c:f>
              <c:strCache>
                <c:ptCount val="5"/>
                <c:pt idx="0">
                  <c:v>Daňové příjmy - správní poplatky</c:v>
                </c:pt>
                <c:pt idx="1">
                  <c:v>Příjmy z pronájmu majetku</c:v>
                </c:pt>
                <c:pt idx="2">
                  <c:v>Příjmy z vlastní činnosti</c:v>
                </c:pt>
                <c:pt idx="3">
                  <c:v>Přijaté sankční platby a vratky transférů</c:v>
                </c:pt>
                <c:pt idx="4">
                  <c:v>Odvody přebytků org. s přímým vztahem</c:v>
                </c:pt>
              </c:strCache>
            </c:strRef>
          </c:cat>
          <c:val>
            <c:numRef>
              <c:f>List1!$B$2:$B$6</c:f>
              <c:numCache>
                <c:formatCode>#,##0</c:formatCode>
                <c:ptCount val="5"/>
                <c:pt idx="0">
                  <c:v>170000</c:v>
                </c:pt>
                <c:pt idx="1">
                  <c:v>31117</c:v>
                </c:pt>
                <c:pt idx="2">
                  <c:v>44800</c:v>
                </c:pt>
                <c:pt idx="3">
                  <c:v>1068</c:v>
                </c:pt>
                <c:pt idx="4">
                  <c:v>100000</c:v>
                </c:pt>
              </c:numCache>
            </c:numRef>
          </c:val>
          <c:extLst>
            <c:ext xmlns:c16="http://schemas.microsoft.com/office/drawing/2014/chart" uri="{C3380CC4-5D6E-409C-BE32-E72D297353CC}">
              <c16:uniqueId val="{00000005-3420-4887-B453-A3D2786E97C3}"/>
            </c:ext>
          </c:extLst>
        </c:ser>
        <c:ser>
          <c:idx val="1"/>
          <c:order val="1"/>
          <c:tx>
            <c:strRef>
              <c:f>List1!$C$1</c:f>
              <c:strCache>
                <c:ptCount val="1"/>
                <c:pt idx="0">
                  <c:v>2021</c:v>
                </c:pt>
              </c:strCache>
            </c:strRef>
          </c:tx>
          <c:spPr>
            <a:solidFill>
              <a:schemeClr val="accent2"/>
            </a:solidFill>
            <a:ln>
              <a:noFill/>
            </a:ln>
            <a:effectLst/>
          </c:spPr>
          <c:invertIfNegative val="0"/>
          <c:dLbls>
            <c:dLbl>
              <c:idx val="0"/>
              <c:layout>
                <c:manualLayout>
                  <c:x val="8.8202866593164071E-3"/>
                  <c:y val="1.512096774193548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3420-4887-B453-A3D2786E97C3}"/>
                </c:ext>
              </c:extLst>
            </c:dLbl>
            <c:dLbl>
              <c:idx val="1"/>
              <c:layout>
                <c:manualLayout>
                  <c:x val="1.1025358324145534E-2"/>
                  <c:y val="-5.040322580645161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3420-4887-B453-A3D2786E97C3}"/>
                </c:ext>
              </c:extLst>
            </c:dLbl>
            <c:dLbl>
              <c:idx val="2"/>
              <c:layout>
                <c:manualLayout>
                  <c:x val="8.8202866593164279E-3"/>
                  <c:y val="0"/>
                </c:manualLayout>
              </c:layout>
              <c:tx>
                <c:rich>
                  <a:bodyPr/>
                  <a:lstStyle/>
                  <a:p>
                    <a:fld id="{2A35F37D-9CCC-4CA2-924B-B4450B7CF5AB}" type="VALUE">
                      <a:rPr lang="en-US">
                        <a:solidFill>
                          <a:sysClr val="windowText" lastClr="000000"/>
                        </a:solidFill>
                      </a:rPr>
                      <a:pPr/>
                      <a:t>[HODNOTA]</a:t>
                    </a:fld>
                    <a:endParaRPr lang="cs-CZ"/>
                  </a:p>
                </c:rich>
              </c:tx>
              <c:dLblPos val="outEnd"/>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8-3420-4887-B453-A3D2786E97C3}"/>
                </c:ext>
              </c:extLst>
            </c:dLbl>
            <c:dLbl>
              <c:idx val="3"/>
              <c:layout>
                <c:manualLayout>
                  <c:x val="1.102535832414553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3420-4887-B453-A3D2786E97C3}"/>
                </c:ext>
              </c:extLst>
            </c:dLbl>
            <c:dLbl>
              <c:idx val="4"/>
              <c:layout>
                <c:manualLayout>
                  <c:x val="1.7640573318632856E-2"/>
                  <c:y val="5.040322580645207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3420-4887-B453-A3D2786E97C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List1!$A$2:$A$6</c:f>
              <c:strCache>
                <c:ptCount val="5"/>
                <c:pt idx="0">
                  <c:v>Daňové příjmy - správní poplatky</c:v>
                </c:pt>
                <c:pt idx="1">
                  <c:v>Příjmy z pronájmu majetku</c:v>
                </c:pt>
                <c:pt idx="2">
                  <c:v>Příjmy z vlastní činnosti</c:v>
                </c:pt>
                <c:pt idx="3">
                  <c:v>Přijaté sankční platby a vratky transférů</c:v>
                </c:pt>
                <c:pt idx="4">
                  <c:v>Odvody přebytků org. s přímým vztahem</c:v>
                </c:pt>
              </c:strCache>
            </c:strRef>
          </c:cat>
          <c:val>
            <c:numRef>
              <c:f>List1!$C$2:$C$6</c:f>
              <c:numCache>
                <c:formatCode>#,##0</c:formatCode>
                <c:ptCount val="5"/>
                <c:pt idx="0">
                  <c:v>185000</c:v>
                </c:pt>
                <c:pt idx="1">
                  <c:v>35117</c:v>
                </c:pt>
                <c:pt idx="2">
                  <c:v>2800</c:v>
                </c:pt>
                <c:pt idx="3">
                  <c:v>1068</c:v>
                </c:pt>
                <c:pt idx="4">
                  <c:v>0</c:v>
                </c:pt>
              </c:numCache>
            </c:numRef>
          </c:val>
          <c:extLst>
            <c:ext xmlns:c16="http://schemas.microsoft.com/office/drawing/2014/chart" uri="{C3380CC4-5D6E-409C-BE32-E72D297353CC}">
              <c16:uniqueId val="{0000000B-3420-4887-B453-A3D2786E97C3}"/>
            </c:ext>
          </c:extLst>
        </c:ser>
        <c:dLbls>
          <c:dLblPos val="outEnd"/>
          <c:showLegendKey val="0"/>
          <c:showVal val="1"/>
          <c:showCatName val="0"/>
          <c:showSerName val="0"/>
          <c:showPercent val="0"/>
          <c:showBubbleSize val="0"/>
        </c:dLbls>
        <c:gapWidth val="267"/>
        <c:overlap val="-43"/>
        <c:axId val="344020800"/>
        <c:axId val="344021784"/>
      </c:barChart>
      <c:catAx>
        <c:axId val="34402080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344021784"/>
        <c:crosses val="autoZero"/>
        <c:auto val="1"/>
        <c:lblAlgn val="ctr"/>
        <c:lblOffset val="100"/>
        <c:noMultiLvlLbl val="0"/>
      </c:catAx>
      <c:valAx>
        <c:axId val="344021784"/>
        <c:scaling>
          <c:orientation val="minMax"/>
        </c:scaling>
        <c:delete val="1"/>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crossAx val="344020800"/>
        <c:crosses val="autoZero"/>
        <c:crossBetween val="between"/>
      </c:valAx>
      <c:spPr>
        <a:pattFill prst="ltDnDiag">
          <a:fgClr>
            <a:schemeClr val="dk1">
              <a:lumMod val="15000"/>
              <a:lumOff val="85000"/>
            </a:schemeClr>
          </a:fgClr>
          <a:bgClr>
            <a:schemeClr val="lt1"/>
          </a:bgClr>
        </a:pattFill>
        <a:ln>
          <a:noFill/>
        </a:ln>
        <a:effectLst/>
      </c:spPr>
    </c:plotArea>
    <c:legend>
      <c:legendPos val="r"/>
      <c:layout>
        <c:manualLayout>
          <c:xMode val="edge"/>
          <c:yMode val="edge"/>
          <c:x val="0.88726232539565408"/>
          <c:y val="0.41494396113792226"/>
          <c:w val="0.1127376746043459"/>
          <c:h val="0.1701120777241554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350083752093802E-2"/>
          <c:y val="9.8859315589353611E-2"/>
          <c:w val="0.86429652952298264"/>
          <c:h val="0.69904219349230101"/>
        </c:manualLayout>
      </c:layout>
      <c:barChart>
        <c:barDir val="col"/>
        <c:grouping val="clustered"/>
        <c:varyColors val="0"/>
        <c:ser>
          <c:idx val="0"/>
          <c:order val="0"/>
          <c:tx>
            <c:strRef>
              <c:f>Sheet1!$A$2</c:f>
              <c:strCache>
                <c:ptCount val="1"/>
                <c:pt idx="0">
                  <c:v>2020</c:v>
                </c:pt>
              </c:strCache>
            </c:strRef>
          </c:tx>
          <c:spPr>
            <a:solidFill>
              <a:schemeClr val="accent1"/>
            </a:solidFill>
            <a:ln>
              <a:noFill/>
            </a:ln>
            <a:effectLst/>
          </c:spPr>
          <c:invertIfNegative val="0"/>
          <c:dLbls>
            <c:dLbl>
              <c:idx val="0"/>
              <c:layout>
                <c:manualLayout>
                  <c:x val="-1.1827357002086859E-2"/>
                  <c:y val="1.840373275275129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0E41-44A6-8E1B-765DF3044AAC}"/>
                </c:ext>
              </c:extLst>
            </c:dLbl>
            <c:dLbl>
              <c:idx val="1"/>
              <c:layout>
                <c:manualLayout>
                  <c:x val="-8.4237127513951768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0E41-44A6-8E1B-765DF3044AAC}"/>
                </c:ext>
              </c:extLst>
            </c:dLbl>
            <c:dLbl>
              <c:idx val="3"/>
              <c:layout>
                <c:manualLayout>
                  <c:x val="-1.9878635524355391E-2"/>
                  <c:y val="1.997007335490000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0E41-44A6-8E1B-765DF3044AAC}"/>
                </c:ext>
              </c:extLst>
            </c:dLbl>
            <c:numFmt formatCode="#,##0" sourceLinked="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Sheet1!$B$1:$F$1</c:f>
              <c:strCache>
                <c:ptCount val="5"/>
                <c:pt idx="0">
                  <c:v>Drážní a kombinovaná doprava</c:v>
                </c:pt>
                <c:pt idx="1">
                  <c:v>Dotace pro SFDI</c:v>
                </c:pt>
                <c:pt idx="2">
                  <c:v>Pozemní komunikace</c:v>
                </c:pt>
                <c:pt idx="3">
                  <c:v>Ostatní výdaje spojené s dopr.pol.státu</c:v>
                </c:pt>
                <c:pt idx="4">
                  <c:v>Výdaje spojené s výkonem předsednictví ČR v Radě EU</c:v>
                </c:pt>
              </c:strCache>
            </c:strRef>
          </c:cat>
          <c:val>
            <c:numRef>
              <c:f>Sheet1!$B$2:$F$2</c:f>
              <c:numCache>
                <c:formatCode>#,##0</c:formatCode>
                <c:ptCount val="5"/>
                <c:pt idx="0">
                  <c:v>8658445</c:v>
                </c:pt>
                <c:pt idx="1">
                  <c:v>74341123</c:v>
                </c:pt>
                <c:pt idx="2">
                  <c:v>0</c:v>
                </c:pt>
                <c:pt idx="3">
                  <c:v>7473114</c:v>
                </c:pt>
                <c:pt idx="4">
                  <c:v>0</c:v>
                </c:pt>
              </c:numCache>
            </c:numRef>
          </c:val>
          <c:extLst>
            <c:ext xmlns:c16="http://schemas.microsoft.com/office/drawing/2014/chart" uri="{C3380CC4-5D6E-409C-BE32-E72D297353CC}">
              <c16:uniqueId val="{00000003-0E41-44A6-8E1B-765DF3044AAC}"/>
            </c:ext>
          </c:extLst>
        </c:ser>
        <c:ser>
          <c:idx val="1"/>
          <c:order val="1"/>
          <c:tx>
            <c:strRef>
              <c:f>Sheet1!$A$3</c:f>
              <c:strCache>
                <c:ptCount val="1"/>
                <c:pt idx="0">
                  <c:v>2021</c:v>
                </c:pt>
              </c:strCache>
            </c:strRef>
          </c:tx>
          <c:spPr>
            <a:solidFill>
              <a:schemeClr val="accent2"/>
            </a:solidFill>
            <a:ln>
              <a:noFill/>
            </a:ln>
            <a:effectLst/>
          </c:spPr>
          <c:invertIfNegative val="0"/>
          <c:dLbls>
            <c:dLbl>
              <c:idx val="0"/>
              <c:layout>
                <c:manualLayout>
                  <c:x val="1.9973104679872181E-2"/>
                  <c:y val="-1.585573664552312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0E41-44A6-8E1B-765DF3044AAC}"/>
                </c:ext>
              </c:extLst>
            </c:dLbl>
            <c:dLbl>
              <c:idx val="3"/>
              <c:layout>
                <c:manualLayout>
                  <c:x val="1.4696952007852395E-2"/>
                  <c:y val="7.855167346875973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0E41-44A6-8E1B-765DF3044AAC}"/>
                </c:ext>
              </c:extLst>
            </c:dLbl>
            <c:numFmt formatCode="#,##0" sourceLinked="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Sheet1!$B$1:$F$1</c:f>
              <c:strCache>
                <c:ptCount val="5"/>
                <c:pt idx="0">
                  <c:v>Drážní a kombinovaná doprava</c:v>
                </c:pt>
                <c:pt idx="1">
                  <c:v>Dotace pro SFDI</c:v>
                </c:pt>
                <c:pt idx="2">
                  <c:v>Pozemní komunikace</c:v>
                </c:pt>
                <c:pt idx="3">
                  <c:v>Ostatní výdaje spojené s dopr.pol.státu</c:v>
                </c:pt>
                <c:pt idx="4">
                  <c:v>Výdaje spojené s výkonem předsednictví ČR v Radě EU</c:v>
                </c:pt>
              </c:strCache>
            </c:strRef>
          </c:cat>
          <c:val>
            <c:numRef>
              <c:f>Sheet1!$B$3:$F$3</c:f>
              <c:numCache>
                <c:formatCode>#,##0</c:formatCode>
                <c:ptCount val="5"/>
                <c:pt idx="0">
                  <c:v>10098253</c:v>
                </c:pt>
                <c:pt idx="1">
                  <c:v>95502257</c:v>
                </c:pt>
                <c:pt idx="2">
                  <c:v>0</c:v>
                </c:pt>
                <c:pt idx="3">
                  <c:v>10393508</c:v>
                </c:pt>
                <c:pt idx="4">
                  <c:v>3420</c:v>
                </c:pt>
              </c:numCache>
            </c:numRef>
          </c:val>
          <c:extLst>
            <c:ext xmlns:c16="http://schemas.microsoft.com/office/drawing/2014/chart" uri="{C3380CC4-5D6E-409C-BE32-E72D297353CC}">
              <c16:uniqueId val="{00000006-0E41-44A6-8E1B-765DF3044AAC}"/>
            </c:ext>
          </c:extLst>
        </c:ser>
        <c:dLbls>
          <c:showLegendKey val="0"/>
          <c:showVal val="0"/>
          <c:showCatName val="0"/>
          <c:showSerName val="0"/>
          <c:showPercent val="0"/>
          <c:showBubbleSize val="0"/>
        </c:dLbls>
        <c:gapWidth val="267"/>
        <c:overlap val="-43"/>
        <c:axId val="422713248"/>
        <c:axId val="422713640"/>
      </c:barChart>
      <c:catAx>
        <c:axId val="422713248"/>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solidFill>
                <a:latin typeface="+mn-lt"/>
                <a:ea typeface="+mn-ea"/>
                <a:cs typeface="+mn-cs"/>
              </a:defRPr>
            </a:pPr>
            <a:endParaRPr lang="cs-CZ"/>
          </a:p>
        </c:txPr>
        <c:crossAx val="422713640"/>
        <c:crosses val="autoZero"/>
        <c:auto val="1"/>
        <c:lblAlgn val="ctr"/>
        <c:lblOffset val="100"/>
        <c:tickLblSkip val="1"/>
        <c:tickMarkSkip val="1"/>
        <c:noMultiLvlLbl val="0"/>
      </c:catAx>
      <c:valAx>
        <c:axId val="422713640"/>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cs-CZ"/>
          </a:p>
        </c:txPr>
        <c:crossAx val="422713248"/>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42396388451443567"/>
          <c:y val="0.87848012647661833"/>
          <c:w val="0.14827813739098097"/>
          <c:h val="8.243829071927807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cs-CZ"/>
        </a:p>
      </c:txPr>
    </c:legend>
    <c:plotVisOnly val="1"/>
    <c:dispBlanksAs val="gap"/>
    <c:showDLblsOverMax val="0"/>
  </c:chart>
  <c:spPr>
    <a:solidFill>
      <a:schemeClr val="lt1"/>
    </a:solidFill>
    <a:ln w="12700" cap="flat" cmpd="sng" algn="ctr">
      <a:solidFill>
        <a:schemeClr val="bg1">
          <a:lumMod val="85000"/>
        </a:schemeClr>
      </a:solidFill>
      <a:prstDash val="solid"/>
      <a:miter lim="800000"/>
    </a:ln>
    <a:effectLst/>
  </c:spPr>
  <c:txPr>
    <a:bodyPr/>
    <a:lstStyle/>
    <a:p>
      <a:pPr>
        <a:defRPr>
          <a:solidFill>
            <a:schemeClr val="dk1"/>
          </a:solidFill>
          <a:latin typeface="+mn-lt"/>
          <a:ea typeface="+mn-ea"/>
          <a:cs typeface="+mn-cs"/>
        </a:defRPr>
      </a:pPr>
      <a:endParaRPr lang="cs-CZ"/>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8373015873015858E-2"/>
          <c:y val="0.22112740494594138"/>
          <c:w val="0.77116402116402116"/>
          <c:h val="0.64158836179351963"/>
        </c:manualLayout>
      </c:layout>
      <c:pie3DChart>
        <c:varyColors val="1"/>
        <c:ser>
          <c:idx val="0"/>
          <c:order val="0"/>
          <c:tx>
            <c:strRef>
              <c:f>List1!$B$1</c:f>
              <c:strCache>
                <c:ptCount val="1"/>
                <c:pt idx="0">
                  <c:v>členění běžných výdajů 2020</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107E-4FB2-86AF-2D769DD8629E}"/>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107E-4FB2-86AF-2D769DD8629E}"/>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107E-4FB2-86AF-2D769DD8629E}"/>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107E-4FB2-86AF-2D769DD8629E}"/>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107E-4FB2-86AF-2D769DD8629E}"/>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107E-4FB2-86AF-2D769DD8629E}"/>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107E-4FB2-86AF-2D769DD8629E}"/>
              </c:ext>
            </c:extLst>
          </c:dPt>
          <c:dLbls>
            <c:dLbl>
              <c:idx val="0"/>
              <c:layout>
                <c:manualLayout>
                  <c:x val="-5.7760141093474507E-2"/>
                  <c:y val="-7.9981180898612086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107E-4FB2-86AF-2D769DD8629E}"/>
                </c:ext>
              </c:extLst>
            </c:dLbl>
            <c:dLbl>
              <c:idx val="1"/>
              <c:layout>
                <c:manualLayout>
                  <c:x val="4.0784832451499116E-3"/>
                  <c:y val="-0.19149287708126111"/>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107E-4FB2-86AF-2D769DD8629E}"/>
                </c:ext>
              </c:extLst>
            </c:dLbl>
            <c:dLbl>
              <c:idx val="2"/>
              <c:layout>
                <c:manualLayout>
                  <c:x val="0.10097713480259413"/>
                  <c:y val="7.1022473637513767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107E-4FB2-86AF-2D769DD8629E}"/>
                </c:ext>
              </c:extLst>
            </c:dLbl>
            <c:dLbl>
              <c:idx val="3"/>
              <c:layout>
                <c:manualLayout>
                  <c:x val="4.6258280214973045E-2"/>
                  <c:y val="0.15095882951116638"/>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manualLayout>
                      <c:w val="0.26827601410934743"/>
                      <c:h val="0.24380145848035756"/>
                    </c:manualLayout>
                  </c15:layout>
                </c:ext>
                <c:ext xmlns:c16="http://schemas.microsoft.com/office/drawing/2014/chart" uri="{C3380CC4-5D6E-409C-BE32-E72D297353CC}">
                  <c16:uniqueId val="{00000007-107E-4FB2-86AF-2D769DD8629E}"/>
                </c:ext>
              </c:extLst>
            </c:dLbl>
            <c:dLbl>
              <c:idx val="4"/>
              <c:layout>
                <c:manualLayout>
                  <c:x val="1.9841269841269034E-3"/>
                  <c:y val="7.5276405551634909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107E-4FB2-86AF-2D769DD8629E}"/>
                </c:ext>
              </c:extLst>
            </c:dLbl>
            <c:dLbl>
              <c:idx val="5"/>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B-107E-4FB2-86AF-2D769DD8629E}"/>
                </c:ext>
              </c:extLst>
            </c:dLbl>
            <c:dLbl>
              <c:idx val="6"/>
              <c:layout>
                <c:manualLayout>
                  <c:x val="6.6137566137570178E-4"/>
                  <c:y val="-3.2933427428840277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D-107E-4FB2-86AF-2D769DD8629E}"/>
                </c:ext>
              </c:extLst>
            </c:dLbl>
            <c:numFmt formatCode="0.0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List1!$A$2:$A$8</c:f>
              <c:strCache>
                <c:ptCount val="7"/>
                <c:pt idx="0">
                  <c:v>Běžné výdaje organizačních složek státu</c:v>
                </c:pt>
                <c:pt idx="1">
                  <c:v>Transfery příspěvkovým a podobným organizacím</c:v>
                </c:pt>
                <c:pt idx="2">
                  <c:v>dotace neziskovým a podobným organizacím</c:v>
                </c:pt>
                <c:pt idx="3">
                  <c:v>Transfery veřejným rozpočtům územní úrovně</c:v>
                </c:pt>
                <c:pt idx="4">
                  <c:v>Dotace podnikatelským subjektům</c:v>
                </c:pt>
                <c:pt idx="5">
                  <c:v>Dotace státním fondům</c:v>
                </c:pt>
                <c:pt idx="6">
                  <c:v>Transfery do zahraničí</c:v>
                </c:pt>
              </c:strCache>
            </c:strRef>
          </c:cat>
          <c:val>
            <c:numRef>
              <c:f>List1!$B$2:$B$8</c:f>
              <c:numCache>
                <c:formatCode>#,##0</c:formatCode>
                <c:ptCount val="7"/>
                <c:pt idx="0">
                  <c:v>7653055</c:v>
                </c:pt>
                <c:pt idx="1">
                  <c:v>259065</c:v>
                </c:pt>
                <c:pt idx="2">
                  <c:v>8900</c:v>
                </c:pt>
                <c:pt idx="3">
                  <c:v>3355495</c:v>
                </c:pt>
                <c:pt idx="4">
                  <c:v>5246855</c:v>
                </c:pt>
                <c:pt idx="5">
                  <c:v>15063554</c:v>
                </c:pt>
                <c:pt idx="6">
                  <c:v>1224436</c:v>
                </c:pt>
              </c:numCache>
            </c:numRef>
          </c:val>
          <c:extLst>
            <c:ext xmlns:c16="http://schemas.microsoft.com/office/drawing/2014/chart" uri="{C3380CC4-5D6E-409C-BE32-E72D297353CC}">
              <c16:uniqueId val="{0000000E-107E-4FB2-86AF-2D769DD8629E}"/>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26"/>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9089070208892753"/>
          <c:y val="0.22053149606299213"/>
          <c:w val="0.44648829431438125"/>
          <c:h val="0.46086956521739131"/>
        </c:manualLayout>
      </c:layout>
      <c:pie3DChart>
        <c:varyColors val="1"/>
        <c:ser>
          <c:idx val="0"/>
          <c:order val="0"/>
          <c:tx>
            <c:strRef>
              <c:f>Sheet1!$A$2</c:f>
              <c:strCache>
                <c:ptCount val="1"/>
              </c:strCache>
            </c:strRef>
          </c:tx>
          <c:explosion val="1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E1A7-4CDE-8788-E7D21094E55B}"/>
              </c:ext>
            </c:extLst>
          </c:dPt>
          <c:dPt>
            <c:idx val="1"/>
            <c:bubble3D val="0"/>
            <c:explosion val="7"/>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E1A7-4CDE-8788-E7D21094E55B}"/>
              </c:ext>
            </c:extLst>
          </c:dPt>
          <c:dPt>
            <c:idx val="2"/>
            <c:bubble3D val="0"/>
            <c:explosion val="6"/>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E1A7-4CDE-8788-E7D21094E55B}"/>
              </c:ext>
            </c:extLst>
          </c:dPt>
          <c:dPt>
            <c:idx val="3"/>
            <c:bubble3D val="0"/>
            <c:explosion val="3"/>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E1A7-4CDE-8788-E7D21094E55B}"/>
              </c:ext>
            </c:extLst>
          </c:dPt>
          <c:dLbls>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1-E1A7-4CDE-8788-E7D21094E55B}"/>
                </c:ext>
              </c:extLst>
            </c:dLbl>
            <c:dLbl>
              <c:idx val="1"/>
              <c:layout>
                <c:manualLayout>
                  <c:x val="1.1022927689594276E-2"/>
                  <c:y val="-0.20825298881604321"/>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E1A7-4CDE-8788-E7D21094E55B}"/>
                </c:ext>
              </c:extLst>
            </c:dLbl>
            <c:dLbl>
              <c:idx val="2"/>
              <c:layout>
                <c:manualLayout>
                  <c:x val="3.9682539682539604E-2"/>
                  <c:y val="5.0134978789047435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E1A7-4CDE-8788-E7D21094E55B}"/>
                </c:ext>
              </c:extLst>
            </c:dLbl>
            <c:dLbl>
              <c:idx val="3"/>
              <c:layout>
                <c:manualLayout>
                  <c:x val="-0.12125220458553791"/>
                  <c:y val="0.1349787890474354"/>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E1A7-4CDE-8788-E7D21094E55B}"/>
                </c:ext>
              </c:extLst>
            </c:dLbl>
            <c:numFmt formatCode="0.00%" sourceLinked="0"/>
            <c:spPr>
              <a:noFill/>
              <a:ln>
                <a:no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extLst>
          </c:dLbls>
          <c:cat>
            <c:strRef>
              <c:f>Sheet1!$B$1:$E$1</c:f>
              <c:strCache>
                <c:ptCount val="4"/>
                <c:pt idx="0">
                  <c:v>úhrada ztráty dopravce z provozu veř. osobní drážní dopravy</c:v>
                </c:pt>
                <c:pt idx="1">
                  <c:v>úhrada poplatků vybíraných za LPS poskyt. ve vzdušném prostoru </c:v>
                </c:pt>
                <c:pt idx="2">
                  <c:v>Programy spolufin. z EU</c:v>
                </c:pt>
                <c:pt idx="3">
                  <c:v>programové financování</c:v>
                </c:pt>
              </c:strCache>
            </c:strRef>
          </c:cat>
          <c:val>
            <c:numRef>
              <c:f>Sheet1!$B$2:$E$2</c:f>
              <c:numCache>
                <c:formatCode>#,##0</c:formatCode>
                <c:ptCount val="4"/>
                <c:pt idx="0">
                  <c:v>5144240</c:v>
                </c:pt>
                <c:pt idx="1">
                  <c:v>77777</c:v>
                </c:pt>
                <c:pt idx="2">
                  <c:v>19837</c:v>
                </c:pt>
                <c:pt idx="3" formatCode="General">
                  <c:v>5000</c:v>
                </c:pt>
              </c:numCache>
            </c:numRef>
          </c:val>
          <c:extLst>
            <c:ext xmlns:c16="http://schemas.microsoft.com/office/drawing/2014/chart" uri="{C3380CC4-5D6E-409C-BE32-E72D297353CC}">
              <c16:uniqueId val="{00000008-E1A7-4CDE-8788-E7D21094E55B}"/>
            </c:ext>
          </c:extLst>
        </c:ser>
        <c:dLbls>
          <c:dLblPos val="outEnd"/>
          <c:showLegendKey val="0"/>
          <c:showVal val="0"/>
          <c:showCatName val="0"/>
          <c:showSerName val="0"/>
          <c:showPercent val="1"/>
          <c:showBubbleSize val="0"/>
          <c:showLeaderLines val="0"/>
        </c:dLbls>
        <c:extLst>
          <c:ext xmlns:c15="http://schemas.microsoft.com/office/drawing/2012/chart" uri="{02D57815-91ED-43cb-92C2-25804820EDAC}">
            <c15:filteredPieSeries>
              <c15:ser>
                <c:idx val="1"/>
                <c:order val="1"/>
                <c:tx>
                  <c:strRef>
                    <c:extLst>
                      <c:ext uri="{02D57815-91ED-43cb-92C2-25804820EDAC}">
                        <c15:formulaRef>
                          <c15:sqref>Sheet1!$A$3</c15:sqref>
                        </c15:formulaRef>
                      </c:ext>
                    </c:extLst>
                    <c:strCache>
                      <c:ptCount val="1"/>
                    </c:strCache>
                  </c:strRef>
                </c:tx>
                <c:explosion val="2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A-E1A7-4CDE-8788-E7D21094E55B}"/>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C-E1A7-4CDE-8788-E7D21094E55B}"/>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E-E1A7-4CDE-8788-E7D21094E55B}"/>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0-E1A7-4CDE-8788-E7D21094E55B}"/>
                    </c:ext>
                  </c:extLst>
                </c:dPt>
                <c:dLbls>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A-E1A7-4CDE-8788-E7D21094E55B}"/>
                      </c:ext>
                    </c:extLst>
                  </c:dLbl>
                  <c:dLbl>
                    <c:idx val="1"/>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C-E1A7-4CDE-8788-E7D21094E55B}"/>
                      </c:ext>
                    </c:extLst>
                  </c:dLbl>
                  <c:dLbl>
                    <c:idx val="2"/>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E-E1A7-4CDE-8788-E7D21094E55B}"/>
                      </c:ext>
                    </c:extLst>
                  </c:dLbl>
                  <c:dLbl>
                    <c:idx val="3"/>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10-E1A7-4CDE-8788-E7D21094E55B}"/>
                      </c:ext>
                    </c:extLst>
                  </c:dLbl>
                  <c:numFmt formatCode="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uri="{CE6537A1-D6FC-4f65-9D91-7224C49458BB}"/>
                  </c:extLst>
                </c:dLbls>
                <c:cat>
                  <c:strRef>
                    <c:extLst>
                      <c:ext uri="{02D57815-91ED-43cb-92C2-25804820EDAC}">
                        <c15:formulaRef>
                          <c15:sqref>Sheet1!$B$1:$E$1</c15:sqref>
                        </c15:formulaRef>
                      </c:ext>
                    </c:extLst>
                    <c:strCache>
                      <c:ptCount val="4"/>
                      <c:pt idx="0">
                        <c:v>úhrada ztráty dopravce z provozu veř. osobní drážní dopravy</c:v>
                      </c:pt>
                      <c:pt idx="1">
                        <c:v>úhrada poplatků vybíraných za LPS poskyt. ve vzdušném prostoru </c:v>
                      </c:pt>
                      <c:pt idx="2">
                        <c:v>Programy spolufin. z EU</c:v>
                      </c:pt>
                      <c:pt idx="3">
                        <c:v>programové financování</c:v>
                      </c:pt>
                    </c:strCache>
                  </c:strRef>
                </c:cat>
                <c:val>
                  <c:numRef>
                    <c:extLst>
                      <c:ext uri="{02D57815-91ED-43cb-92C2-25804820EDAC}">
                        <c15:formulaRef>
                          <c15:sqref>Sheet1!$B$3:$E$3</c15:sqref>
                        </c15:formulaRef>
                      </c:ext>
                    </c:extLst>
                    <c:numCache>
                      <c:formatCode>General</c:formatCode>
                      <c:ptCount val="4"/>
                    </c:numCache>
                  </c:numRef>
                </c:val>
                <c:extLst>
                  <c:ext xmlns:c16="http://schemas.microsoft.com/office/drawing/2014/chart" uri="{C3380CC4-5D6E-409C-BE32-E72D297353CC}">
                    <c16:uniqueId val="{00000011-E1A7-4CDE-8788-E7D21094E55B}"/>
                  </c:ext>
                </c:extLst>
              </c15:ser>
            </c15:filteredPieSeries>
            <c15:filteredPieSeries>
              <c15:ser>
                <c:idx val="2"/>
                <c:order val="2"/>
                <c:tx>
                  <c:strRef>
                    <c:extLst xmlns:c15="http://schemas.microsoft.com/office/drawing/2012/chart">
                      <c:ext xmlns:c15="http://schemas.microsoft.com/office/drawing/2012/chart" uri="{02D57815-91ED-43cb-92C2-25804820EDAC}">
                        <c15:formulaRef>
                          <c15:sqref>Sheet1!$A$4</c15:sqref>
                        </c15:formulaRef>
                      </c:ext>
                    </c:extLst>
                    <c:strCache>
                      <c:ptCount val="1"/>
                    </c:strCache>
                  </c:strRef>
                </c:tx>
                <c:explosion val="2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3-E1A7-4CDE-8788-E7D21094E55B}"/>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5-E1A7-4CDE-8788-E7D21094E55B}"/>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7-E1A7-4CDE-8788-E7D21094E55B}"/>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9-E1A7-4CDE-8788-E7D21094E55B}"/>
                    </c:ext>
                  </c:extLst>
                </c:dPt>
                <c:dLbls>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3-E1A7-4CDE-8788-E7D21094E55B}"/>
                      </c:ext>
                    </c:extLst>
                  </c:dLbl>
                  <c:dLbl>
                    <c:idx val="1"/>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5-E1A7-4CDE-8788-E7D21094E55B}"/>
                      </c:ext>
                    </c:extLst>
                  </c:dLbl>
                  <c:dLbl>
                    <c:idx val="2"/>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7-E1A7-4CDE-8788-E7D21094E55B}"/>
                      </c:ext>
                    </c:extLst>
                  </c:dLbl>
                  <c:dLbl>
                    <c:idx val="3"/>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9-E1A7-4CDE-8788-E7D21094E55B}"/>
                      </c:ext>
                    </c:extLst>
                  </c:dLbl>
                  <c:numFmt formatCode="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5="http://schemas.microsoft.com/office/drawing/2012/chart">
                    <c:ext xmlns:c15="http://schemas.microsoft.com/office/drawing/2012/chart" uri="{CE6537A1-D6FC-4f65-9D91-7224C49458BB}"/>
                  </c:extLst>
                </c:dLbls>
                <c:cat>
                  <c:strRef>
                    <c:extLst xmlns:c15="http://schemas.microsoft.com/office/drawing/2012/chart">
                      <c:ext xmlns:c15="http://schemas.microsoft.com/office/drawing/2012/chart" uri="{02D57815-91ED-43cb-92C2-25804820EDAC}">
                        <c15:formulaRef>
                          <c15:sqref>Sheet1!$B$1:$E$1</c15:sqref>
                        </c15:formulaRef>
                      </c:ext>
                    </c:extLst>
                    <c:strCache>
                      <c:ptCount val="4"/>
                      <c:pt idx="0">
                        <c:v>úhrada ztráty dopravce z provozu veř. osobní drážní dopravy</c:v>
                      </c:pt>
                      <c:pt idx="1">
                        <c:v>úhrada poplatků vybíraných za LPS poskyt. ve vzdušném prostoru </c:v>
                      </c:pt>
                      <c:pt idx="2">
                        <c:v>Programy spolufin. z EU</c:v>
                      </c:pt>
                      <c:pt idx="3">
                        <c:v>programové financování</c:v>
                      </c:pt>
                    </c:strCache>
                  </c:strRef>
                </c:cat>
                <c:val>
                  <c:numRef>
                    <c:extLst xmlns:c15="http://schemas.microsoft.com/office/drawing/2012/chart">
                      <c:ext xmlns:c15="http://schemas.microsoft.com/office/drawing/2012/chart" uri="{02D57815-91ED-43cb-92C2-25804820EDAC}">
                        <c15:formulaRef>
                          <c15:sqref>Sheet1!$B$4:$E$4</c15:sqref>
                        </c15:formulaRef>
                      </c:ext>
                    </c:extLst>
                    <c:numCache>
                      <c:formatCode>General</c:formatCode>
                      <c:ptCount val="4"/>
                    </c:numCache>
                  </c:numRef>
                </c:val>
                <c:extLst xmlns:c15="http://schemas.microsoft.com/office/drawing/2012/chart">
                  <c:ext xmlns:c16="http://schemas.microsoft.com/office/drawing/2014/chart" uri="{C3380CC4-5D6E-409C-BE32-E72D297353CC}">
                    <c16:uniqueId val="{0000001A-E1A7-4CDE-8788-E7D21094E55B}"/>
                  </c:ext>
                </c:extLst>
              </c15:ser>
            </c15:filteredPieSeries>
            <c15:filteredPieSeries>
              <c15:ser>
                <c:idx val="3"/>
                <c:order val="3"/>
                <c:tx>
                  <c:strRef>
                    <c:extLst xmlns:c15="http://schemas.microsoft.com/office/drawing/2012/chart">
                      <c:ext xmlns:c15="http://schemas.microsoft.com/office/drawing/2012/chart" uri="{02D57815-91ED-43cb-92C2-25804820EDAC}">
                        <c15:formulaRef>
                          <c15:sqref>Sheet1!$A$5</c15:sqref>
                        </c15:formulaRef>
                      </c:ext>
                    </c:extLst>
                    <c:strCache>
                      <c:ptCount val="1"/>
                    </c:strCache>
                  </c:strRef>
                </c:tx>
                <c:explosion val="2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C-E1A7-4CDE-8788-E7D21094E55B}"/>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E-E1A7-4CDE-8788-E7D21094E55B}"/>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20-E1A7-4CDE-8788-E7D21094E55B}"/>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22-E1A7-4CDE-8788-E7D21094E55B}"/>
                    </c:ext>
                  </c:extLst>
                </c:dPt>
                <c:dLbls>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C-E1A7-4CDE-8788-E7D21094E55B}"/>
                      </c:ext>
                    </c:extLst>
                  </c:dLbl>
                  <c:dLbl>
                    <c:idx val="1"/>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E-E1A7-4CDE-8788-E7D21094E55B}"/>
                      </c:ext>
                    </c:extLst>
                  </c:dLbl>
                  <c:dLbl>
                    <c:idx val="2"/>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20-E1A7-4CDE-8788-E7D21094E55B}"/>
                      </c:ext>
                    </c:extLst>
                  </c:dLbl>
                  <c:dLbl>
                    <c:idx val="3"/>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22-E1A7-4CDE-8788-E7D21094E55B}"/>
                      </c:ext>
                    </c:extLst>
                  </c:dLbl>
                  <c:numFmt formatCode="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5="http://schemas.microsoft.com/office/drawing/2012/chart">
                    <c:ext xmlns:c15="http://schemas.microsoft.com/office/drawing/2012/chart" uri="{CE6537A1-D6FC-4f65-9D91-7224C49458BB}"/>
                  </c:extLst>
                </c:dLbls>
                <c:cat>
                  <c:strRef>
                    <c:extLst xmlns:c15="http://schemas.microsoft.com/office/drawing/2012/chart">
                      <c:ext xmlns:c15="http://schemas.microsoft.com/office/drawing/2012/chart" uri="{02D57815-91ED-43cb-92C2-25804820EDAC}">
                        <c15:formulaRef>
                          <c15:sqref>Sheet1!$B$1:$E$1</c15:sqref>
                        </c15:formulaRef>
                      </c:ext>
                    </c:extLst>
                    <c:strCache>
                      <c:ptCount val="4"/>
                      <c:pt idx="0">
                        <c:v>úhrada ztráty dopravce z provozu veř. osobní drážní dopravy</c:v>
                      </c:pt>
                      <c:pt idx="1">
                        <c:v>úhrada poplatků vybíraných za LPS poskyt. ve vzdušném prostoru </c:v>
                      </c:pt>
                      <c:pt idx="2">
                        <c:v>Programy spolufin. z EU</c:v>
                      </c:pt>
                      <c:pt idx="3">
                        <c:v>programové financování</c:v>
                      </c:pt>
                    </c:strCache>
                  </c:strRef>
                </c:cat>
                <c:val>
                  <c:numRef>
                    <c:extLst xmlns:c15="http://schemas.microsoft.com/office/drawing/2012/chart">
                      <c:ext xmlns:c15="http://schemas.microsoft.com/office/drawing/2012/chart" uri="{02D57815-91ED-43cb-92C2-25804820EDAC}">
                        <c15:formulaRef>
                          <c15:sqref>Sheet1!$B$5:$E$5</c15:sqref>
                        </c15:formulaRef>
                      </c:ext>
                    </c:extLst>
                    <c:numCache>
                      <c:formatCode>General</c:formatCode>
                      <c:ptCount val="4"/>
                    </c:numCache>
                  </c:numRef>
                </c:val>
                <c:extLst xmlns:c15="http://schemas.microsoft.com/office/drawing/2012/chart">
                  <c:ext xmlns:c16="http://schemas.microsoft.com/office/drawing/2014/chart" uri="{C3380CC4-5D6E-409C-BE32-E72D297353CC}">
                    <c16:uniqueId val="{00000023-E1A7-4CDE-8788-E7D21094E55B}"/>
                  </c:ext>
                </c:extLst>
              </c15:ser>
            </c15:filteredPieSeries>
          </c:ext>
        </c:extLst>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8707482993197279E-2"/>
          <c:y val="4.5643153526970952E-2"/>
          <c:w val="0.8311076467790518"/>
          <c:h val="0.8149420167100625"/>
        </c:manualLayout>
      </c:layout>
      <c:barChart>
        <c:barDir val="col"/>
        <c:grouping val="clustered"/>
        <c:varyColors val="0"/>
        <c:ser>
          <c:idx val="0"/>
          <c:order val="0"/>
          <c:tx>
            <c:strRef>
              <c:f>Sheet1!$A$2</c:f>
              <c:strCache>
                <c:ptCount val="1"/>
                <c:pt idx="0">
                  <c:v>2020</c:v>
                </c:pt>
              </c:strCache>
            </c:strRef>
          </c:tx>
          <c:spPr>
            <a:solidFill>
              <a:schemeClr val="accent1"/>
            </a:solidFill>
            <a:ln>
              <a:noFill/>
            </a:ln>
            <a:effectLst/>
          </c:spPr>
          <c:invertIfNegative val="0"/>
          <c:dLbls>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extLst>
                <c:ext xmlns:c16="http://schemas.microsoft.com/office/drawing/2014/chart" uri="{C3380CC4-5D6E-409C-BE32-E72D297353CC}">
                  <c16:uniqueId val="{00000000-836E-48AF-88FE-522443EA735A}"/>
                </c:ext>
              </c:extLst>
            </c:dLbl>
            <c:dLbl>
              <c:idx val="1"/>
              <c:numFmt formatCode="#,##0" sourceLinked="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F4A3-49F3-B89B-9C292E4B59A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Sheet1!$B$1:$C$1</c:f>
              <c:strCache>
                <c:ptCount val="2"/>
                <c:pt idx="0">
                  <c:v>Obce</c:v>
                </c:pt>
                <c:pt idx="1">
                  <c:v>Kraje</c:v>
                </c:pt>
              </c:strCache>
            </c:strRef>
          </c:cat>
          <c:val>
            <c:numRef>
              <c:f>Sheet1!$B$2:$C$2</c:f>
              <c:numCache>
                <c:formatCode>General</c:formatCode>
                <c:ptCount val="2"/>
                <c:pt idx="0">
                  <c:v>263301</c:v>
                </c:pt>
                <c:pt idx="1">
                  <c:v>2873042</c:v>
                </c:pt>
              </c:numCache>
            </c:numRef>
          </c:val>
          <c:extLst>
            <c:ext xmlns:c16="http://schemas.microsoft.com/office/drawing/2014/chart" uri="{C3380CC4-5D6E-409C-BE32-E72D297353CC}">
              <c16:uniqueId val="{00000001-F4A3-49F3-B89B-9C292E4B59A0}"/>
            </c:ext>
          </c:extLst>
        </c:ser>
        <c:ser>
          <c:idx val="1"/>
          <c:order val="1"/>
          <c:tx>
            <c:strRef>
              <c:f>Sheet1!$A$3</c:f>
              <c:strCache>
                <c:ptCount val="1"/>
                <c:pt idx="0">
                  <c:v>2021</c:v>
                </c:pt>
              </c:strCache>
            </c:strRef>
          </c:tx>
          <c:spPr>
            <a:solidFill>
              <a:schemeClr val="accent2"/>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Obce</c:v>
                </c:pt>
                <c:pt idx="1">
                  <c:v>Kraje</c:v>
                </c:pt>
              </c:strCache>
            </c:strRef>
          </c:cat>
          <c:val>
            <c:numRef>
              <c:f>Sheet1!$B$3:$C$3</c:f>
              <c:numCache>
                <c:formatCode>General</c:formatCode>
                <c:ptCount val="2"/>
                <c:pt idx="0">
                  <c:v>283673</c:v>
                </c:pt>
                <c:pt idx="1">
                  <c:v>3071822</c:v>
                </c:pt>
              </c:numCache>
            </c:numRef>
          </c:val>
          <c:extLst>
            <c:ext xmlns:c16="http://schemas.microsoft.com/office/drawing/2014/chart" uri="{C3380CC4-5D6E-409C-BE32-E72D297353CC}">
              <c16:uniqueId val="{00000002-F4A3-49F3-B89B-9C292E4B59A0}"/>
            </c:ext>
          </c:extLst>
        </c:ser>
        <c:dLbls>
          <c:dLblPos val="outEnd"/>
          <c:showLegendKey val="0"/>
          <c:showVal val="1"/>
          <c:showCatName val="0"/>
          <c:showSerName val="0"/>
          <c:showPercent val="0"/>
          <c:showBubbleSize val="0"/>
        </c:dLbls>
        <c:gapWidth val="267"/>
        <c:overlap val="-43"/>
        <c:axId val="410611672"/>
        <c:axId val="477084872"/>
      </c:barChart>
      <c:catAx>
        <c:axId val="410611672"/>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477084872"/>
        <c:crosses val="autoZero"/>
        <c:auto val="1"/>
        <c:lblAlgn val="ctr"/>
        <c:lblOffset val="100"/>
        <c:tickLblSkip val="1"/>
        <c:tickMarkSkip val="1"/>
        <c:noMultiLvlLbl val="0"/>
      </c:catAx>
      <c:valAx>
        <c:axId val="477084872"/>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crossAx val="410611672"/>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84283711180397747"/>
          <c:y val="0.45883071388984742"/>
          <c:w val="0.15101481442336487"/>
          <c:h val="8.964206167456159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2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6074553180852394"/>
          <c:y val="0.26149054274739514"/>
          <c:w val="0.64094557624741344"/>
          <c:h val="0.5524657093131129"/>
        </c:manualLayout>
      </c:layout>
      <c:pie3DChart>
        <c:varyColors val="1"/>
        <c:ser>
          <c:idx val="0"/>
          <c:order val="0"/>
          <c:tx>
            <c:strRef>
              <c:f>Sheet1!$A$2</c:f>
              <c:strCache>
                <c:ptCount val="1"/>
              </c:strCache>
            </c:strRef>
          </c:tx>
          <c:explosion val="15"/>
          <c:dPt>
            <c:idx val="0"/>
            <c:bubble3D val="0"/>
            <c:spPr>
              <a:solidFill>
                <a:schemeClr val="accent2">
                  <a:lumMod val="40000"/>
                  <a:lumOff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479C-456D-9D6C-B49CACAF74AF}"/>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479C-456D-9D6C-B49CACAF74A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479C-456D-9D6C-B49CACAF74AF}"/>
              </c:ext>
            </c:extLst>
          </c:dPt>
          <c:dPt>
            <c:idx val="3"/>
            <c:bubble3D val="0"/>
            <c:spPr>
              <a:solidFill>
                <a:schemeClr val="accent1">
                  <a:lumMod val="60000"/>
                  <a:lumOff val="4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479C-456D-9D6C-B49CACAF74A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479C-456D-9D6C-B49CACAF74AF}"/>
              </c:ext>
            </c:extLst>
          </c:dPt>
          <c:dLbls>
            <c:dLbl>
              <c:idx val="0"/>
              <c:layout>
                <c:manualLayout>
                  <c:x val="9.9973761506073025E-2"/>
                  <c:y val="0.28650918635170608"/>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79C-456D-9D6C-B49CACAF74AF}"/>
                </c:ext>
              </c:extLst>
            </c:dLbl>
            <c:dLbl>
              <c:idx val="1"/>
              <c:layout>
                <c:manualLayout>
                  <c:x val="-0.24852709383549282"/>
                  <c:y val="0"/>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manualLayout>
                      <c:w val="0.17739188851393572"/>
                      <c:h val="0.31170905243465796"/>
                    </c:manualLayout>
                  </c15:layout>
                </c:ext>
                <c:ext xmlns:c16="http://schemas.microsoft.com/office/drawing/2014/chart" uri="{C3380CC4-5D6E-409C-BE32-E72D297353CC}">
                  <c16:uniqueId val="{00000003-479C-456D-9D6C-B49CACAF74AF}"/>
                </c:ext>
              </c:extLst>
            </c:dLbl>
            <c:dLbl>
              <c:idx val="2"/>
              <c:layout>
                <c:manualLayout>
                  <c:x val="2.1715526601520088E-3"/>
                  <c:y val="-1.4859672986868319E-16"/>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79C-456D-9D6C-B49CACAF74AF}"/>
                </c:ext>
              </c:extLst>
            </c:dLbl>
            <c:dLbl>
              <c:idx val="3"/>
              <c:delete val="1"/>
              <c:extLst>
                <c:ext xmlns:c15="http://schemas.microsoft.com/office/drawing/2012/chart" uri="{CE6537A1-D6FC-4f65-9D91-7224C49458BB}"/>
                <c:ext xmlns:c16="http://schemas.microsoft.com/office/drawing/2014/chart" uri="{C3380CC4-5D6E-409C-BE32-E72D297353CC}">
                  <c16:uniqueId val="{00000007-479C-456D-9D6C-B49CACAF74AF}"/>
                </c:ext>
              </c:extLst>
            </c:dLbl>
            <c:dLbl>
              <c:idx val="4"/>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9-479C-456D-9D6C-B49CACAF74AF}"/>
                </c:ext>
              </c:extLst>
            </c:dLbl>
            <c:numFmt formatCode="0.00%" sourceLinked="0"/>
            <c:spPr>
              <a:noFill/>
              <a:ln>
                <a:no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extLst>
          </c:dLbls>
          <c:cat>
            <c:strRef>
              <c:f>Sheet1!$B$1:$F$1</c:f>
              <c:strCache>
                <c:ptCount val="5"/>
                <c:pt idx="0">
                  <c:v>nákupy a související výdaje organizačních složek státu</c:v>
                </c:pt>
                <c:pt idx="1">
                  <c:v>transfery příspěvkovým a podobným organizacím</c:v>
                </c:pt>
                <c:pt idx="2">
                  <c:v>transfery podnikatelským subjektům</c:v>
                </c:pt>
                <c:pt idx="4">
                  <c:v>transfery státním fondům</c:v>
                </c:pt>
              </c:strCache>
            </c:strRef>
          </c:cat>
          <c:val>
            <c:numRef>
              <c:f>Sheet1!$B$2:$F$2</c:f>
              <c:numCache>
                <c:formatCode>#,##0</c:formatCode>
                <c:ptCount val="5"/>
                <c:pt idx="0">
                  <c:v>73176</c:v>
                </c:pt>
                <c:pt idx="1">
                  <c:v>47580</c:v>
                </c:pt>
                <c:pt idx="2" formatCode="General">
                  <c:v>2626621</c:v>
                </c:pt>
                <c:pt idx="4">
                  <c:v>80438703</c:v>
                </c:pt>
              </c:numCache>
            </c:numRef>
          </c:val>
          <c:extLst>
            <c:ext xmlns:c16="http://schemas.microsoft.com/office/drawing/2014/chart" uri="{C3380CC4-5D6E-409C-BE32-E72D297353CC}">
              <c16:uniqueId val="{0000000A-479C-456D-9D6C-B49CACAF74AF}"/>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8373015873015858E-2"/>
          <c:y val="0.22112740494594138"/>
          <c:w val="0.77116402116402116"/>
          <c:h val="0.64158836179351963"/>
        </c:manualLayout>
      </c:layout>
      <c:pie3DChart>
        <c:varyColors val="1"/>
        <c:ser>
          <c:idx val="0"/>
          <c:order val="0"/>
          <c:tx>
            <c:strRef>
              <c:f>List1!$B$1</c:f>
              <c:strCache>
                <c:ptCount val="1"/>
                <c:pt idx="0">
                  <c:v>členění běžných výdajů 2021</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9026-4A43-9749-90465C638C89}"/>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9026-4A43-9749-90465C638C89}"/>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9026-4A43-9749-90465C638C89}"/>
              </c:ext>
            </c:extLst>
          </c:dPt>
          <c:dLbls>
            <c:dLbl>
              <c:idx val="0"/>
              <c:layout>
                <c:manualLayout>
                  <c:x val="6.1287477954144701E-2"/>
                  <c:y val="-8.3498648766293065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9026-4A43-9749-90465C638C89}"/>
                </c:ext>
              </c:extLst>
            </c:dLbl>
            <c:dLbl>
              <c:idx val="1"/>
              <c:layout>
                <c:manualLayout>
                  <c:x val="-1.5762786596119929E-2"/>
                  <c:y val="-5.3339556973162408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026-4A43-9749-90465C638C89}"/>
                </c:ext>
              </c:extLst>
            </c:dLbl>
            <c:dLbl>
              <c:idx val="2"/>
              <c:layout>
                <c:manualLayout>
                  <c:x val="2.8659611992945325E-2"/>
                  <c:y val="-5.1301685383893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026-4A43-9749-90465C638C89}"/>
                </c:ext>
              </c:extLst>
            </c:dLbl>
            <c:numFmt formatCode="0.0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List1!$A$2:$A$4</c:f>
              <c:strCache>
                <c:ptCount val="3"/>
                <c:pt idx="0">
                  <c:v>OP Doprava 2014 - 2020</c:v>
                </c:pt>
                <c:pt idx="1">
                  <c:v>Facilita na podporu oživení a odolnosti</c:v>
                </c:pt>
                <c:pt idx="2">
                  <c:v>Komunitární programy</c:v>
                </c:pt>
              </c:strCache>
            </c:strRef>
          </c:cat>
          <c:val>
            <c:numRef>
              <c:f>List1!$B$2:$B$4</c:f>
              <c:numCache>
                <c:formatCode>General</c:formatCode>
                <c:ptCount val="3"/>
                <c:pt idx="0">
                  <c:v>19291457</c:v>
                </c:pt>
                <c:pt idx="1">
                  <c:v>15000000</c:v>
                </c:pt>
                <c:pt idx="2">
                  <c:v>5425190</c:v>
                </c:pt>
              </c:numCache>
            </c:numRef>
          </c:val>
          <c:extLst>
            <c:ext xmlns:c16="http://schemas.microsoft.com/office/drawing/2014/chart" uri="{C3380CC4-5D6E-409C-BE32-E72D297353CC}">
              <c16:uniqueId val="{00000006-9026-4A43-9749-90465C638C89}"/>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2.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3.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4.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5.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D9CB8-1C20-472E-9911-156C83F06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1288</TotalTime>
  <Pages>65</Pages>
  <Words>19604</Words>
  <Characters>115669</Characters>
  <Application>Microsoft Office Word</Application>
  <DocSecurity>0</DocSecurity>
  <Lines>963</Lines>
  <Paragraphs>270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MD</Company>
  <LinksUpToDate>false</LinksUpToDate>
  <CharactersWithSpaces>135003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Němcová Topenčíková Marcela Ing.</dc:creator>
  <cp:keywords/>
  <dc:description/>
  <cp:lastModifiedBy>Němcová Topenčíková Marcela Ing.</cp:lastModifiedBy>
  <cp:revision>180</cp:revision>
  <cp:lastPrinted>2019-10-14T07:14:00Z</cp:lastPrinted>
  <dcterms:created xsi:type="dcterms:W3CDTF">2019-10-14T07:02:00Z</dcterms:created>
  <dcterms:modified xsi:type="dcterms:W3CDTF">2021-09-07T07:02:00Z</dcterms:modified>
</cp:coreProperties>
</file>