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2.xml" ContentType="application/vnd.openxmlformats-officedocument.wordprocessingml.footer+xml"/>
  <Override PartName="/word/footer3.xml" ContentType="application/vnd.openxmlformats-officedocument.wordprocessingml.footer+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chart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9.xml" ContentType="application/vnd.openxmlformats-officedocument.drawingml.chart+xml"/>
  <Override PartName="/word/charts/style8.xml" ContentType="application/vnd.ms-office.chartstyle+xml"/>
  <Override PartName="/word/charts/colors8.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817C0C" w14:textId="4F56B1CD" w:rsidR="008D4374" w:rsidRPr="0088307E" w:rsidRDefault="006B18EF">
      <w:pPr>
        <w:rPr>
          <w:rFonts w:cs="Times New Roman"/>
          <w:szCs w:val="24"/>
        </w:rPr>
      </w:pPr>
      <w:r w:rsidRPr="00E8518E">
        <w:rPr>
          <w:color w:val="FF0000"/>
        </w:rPr>
        <w:t xml:space="preserve"> </w:t>
      </w:r>
      <w:r w:rsidR="002D7CC6" w:rsidRPr="00E8518E">
        <w:rPr>
          <w:rFonts w:cs="Times New Roman"/>
          <w:b/>
          <w:noProof/>
          <w:color w:val="FF0000"/>
          <w:lang w:eastAsia="cs-CZ"/>
        </w:rPr>
        <w:drawing>
          <wp:inline distT="0" distB="0" distL="0" distR="0">
            <wp:extent cx="2171700" cy="542925"/>
            <wp:effectExtent l="0" t="0" r="0" b="9525"/>
            <wp:docPr id="1" name="Obrázek 1" descr="logoMD_mi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D_min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1700" cy="542925"/>
                    </a:xfrm>
                    <a:prstGeom prst="rect">
                      <a:avLst/>
                    </a:prstGeom>
                    <a:noFill/>
                    <a:ln>
                      <a:noFill/>
                    </a:ln>
                  </pic:spPr>
                </pic:pic>
              </a:graphicData>
            </a:graphic>
          </wp:inline>
        </w:drawing>
      </w:r>
      <w:r w:rsidR="002D7CC6" w:rsidRPr="00E8518E">
        <w:rPr>
          <w:color w:val="FF0000"/>
        </w:rPr>
        <w:t xml:space="preserve"> </w:t>
      </w:r>
      <w:r w:rsidR="000339E1" w:rsidRPr="00E8518E">
        <w:rPr>
          <w:color w:val="FF0000"/>
        </w:rPr>
        <w:tab/>
      </w:r>
      <w:r w:rsidR="000339E1" w:rsidRPr="00E8518E">
        <w:rPr>
          <w:color w:val="FF0000"/>
        </w:rPr>
        <w:tab/>
      </w:r>
      <w:r w:rsidR="000339E1" w:rsidRPr="00E8518E">
        <w:rPr>
          <w:color w:val="FF0000"/>
        </w:rPr>
        <w:tab/>
      </w:r>
      <w:r w:rsidR="000339E1" w:rsidRPr="00E8518E">
        <w:rPr>
          <w:color w:val="FF0000"/>
        </w:rPr>
        <w:tab/>
      </w:r>
      <w:proofErr w:type="gramStart"/>
      <w:r w:rsidR="0088307E" w:rsidRPr="0088307E">
        <w:rPr>
          <w:rFonts w:cs="Times New Roman"/>
          <w:szCs w:val="24"/>
        </w:rPr>
        <w:t>Č.j.</w:t>
      </w:r>
      <w:proofErr w:type="gramEnd"/>
      <w:r w:rsidR="0088307E" w:rsidRPr="0088307E">
        <w:rPr>
          <w:rFonts w:cs="Times New Roman"/>
          <w:szCs w:val="24"/>
        </w:rPr>
        <w:t>:MD-29648/2022-410/2</w:t>
      </w:r>
    </w:p>
    <w:p w14:paraId="3F80CC46" w14:textId="77777777" w:rsidR="00F3318F" w:rsidRPr="00E8518E" w:rsidRDefault="00F3318F">
      <w:pPr>
        <w:rPr>
          <w:rFonts w:cs="Times New Roman"/>
          <w:color w:val="FF0000"/>
          <w:szCs w:val="24"/>
        </w:rPr>
      </w:pPr>
    </w:p>
    <w:p w14:paraId="4B297332" w14:textId="77777777" w:rsidR="00F3318F" w:rsidRPr="00E8518E" w:rsidRDefault="00F3318F">
      <w:pPr>
        <w:rPr>
          <w:rFonts w:cs="Times New Roman"/>
          <w:color w:val="FF0000"/>
          <w:szCs w:val="24"/>
        </w:rPr>
      </w:pPr>
    </w:p>
    <w:p w14:paraId="10350FDF" w14:textId="77777777" w:rsidR="00DA42E9" w:rsidRPr="00E8518E" w:rsidRDefault="00DA42E9">
      <w:pPr>
        <w:rPr>
          <w:rFonts w:cs="Times New Roman"/>
          <w:color w:val="FF0000"/>
          <w:szCs w:val="24"/>
        </w:rPr>
      </w:pPr>
    </w:p>
    <w:p w14:paraId="5EAE9528" w14:textId="77777777" w:rsidR="00F3318F" w:rsidRPr="00E8518E" w:rsidRDefault="00F3318F">
      <w:pPr>
        <w:rPr>
          <w:rFonts w:cs="Times New Roman"/>
          <w:color w:val="FF0000"/>
          <w:szCs w:val="24"/>
        </w:rPr>
      </w:pPr>
    </w:p>
    <w:p w14:paraId="6A9D13BE" w14:textId="77777777" w:rsidR="00F3318F" w:rsidRPr="00E8518E" w:rsidRDefault="00F3318F">
      <w:pPr>
        <w:rPr>
          <w:rFonts w:cs="Times New Roman"/>
          <w:color w:val="FF0000"/>
          <w:szCs w:val="24"/>
        </w:rPr>
      </w:pPr>
    </w:p>
    <w:p w14:paraId="270B55AA" w14:textId="77777777" w:rsidR="0007574C" w:rsidRPr="00E8518E" w:rsidRDefault="0007574C">
      <w:pPr>
        <w:rPr>
          <w:rFonts w:cs="Times New Roman"/>
          <w:color w:val="FF0000"/>
          <w:szCs w:val="24"/>
        </w:rPr>
      </w:pPr>
    </w:p>
    <w:p w14:paraId="78E214F9" w14:textId="77777777" w:rsidR="0007574C" w:rsidRPr="00E8518E" w:rsidRDefault="0007574C">
      <w:pPr>
        <w:rPr>
          <w:rFonts w:cs="Times New Roman"/>
          <w:color w:val="FF0000"/>
          <w:szCs w:val="24"/>
        </w:rPr>
      </w:pPr>
    </w:p>
    <w:p w14:paraId="144B99D5" w14:textId="77777777" w:rsidR="000771EB" w:rsidRPr="00E8518E" w:rsidRDefault="000771EB">
      <w:pPr>
        <w:rPr>
          <w:rFonts w:cs="Times New Roman"/>
          <w:color w:val="FF0000"/>
          <w:szCs w:val="24"/>
        </w:rPr>
      </w:pPr>
    </w:p>
    <w:p w14:paraId="33594025" w14:textId="77777777" w:rsidR="00F3318F" w:rsidRPr="00E8518E" w:rsidRDefault="00F3318F" w:rsidP="00F3318F">
      <w:pPr>
        <w:spacing w:line="240" w:lineRule="auto"/>
        <w:jc w:val="center"/>
        <w:rPr>
          <w:rFonts w:cs="Times New Roman"/>
          <w:b/>
          <w:sz w:val="28"/>
          <w:szCs w:val="28"/>
        </w:rPr>
      </w:pPr>
      <w:r w:rsidRPr="00E8518E">
        <w:rPr>
          <w:rFonts w:cs="Times New Roman"/>
          <w:b/>
          <w:sz w:val="28"/>
          <w:szCs w:val="28"/>
        </w:rPr>
        <w:t xml:space="preserve">NÁVRH </w:t>
      </w:r>
    </w:p>
    <w:p w14:paraId="01FE9506" w14:textId="77777777" w:rsidR="00F3318F" w:rsidRPr="00E8518E" w:rsidRDefault="00852382" w:rsidP="00F3318F">
      <w:pPr>
        <w:spacing w:line="240" w:lineRule="auto"/>
        <w:jc w:val="center"/>
        <w:rPr>
          <w:rFonts w:cs="Times New Roman"/>
          <w:b/>
          <w:sz w:val="28"/>
          <w:szCs w:val="28"/>
        </w:rPr>
      </w:pPr>
      <w:r w:rsidRPr="00E8518E">
        <w:rPr>
          <w:rFonts w:cs="Times New Roman"/>
          <w:b/>
          <w:sz w:val="28"/>
          <w:szCs w:val="28"/>
        </w:rPr>
        <w:t>státního rozpočtu na rok 202</w:t>
      </w:r>
      <w:r w:rsidR="00E8518E" w:rsidRPr="00E8518E">
        <w:rPr>
          <w:rFonts w:cs="Times New Roman"/>
          <w:b/>
          <w:sz w:val="28"/>
          <w:szCs w:val="28"/>
        </w:rPr>
        <w:t>3</w:t>
      </w:r>
    </w:p>
    <w:p w14:paraId="1EA7C8E5" w14:textId="77777777" w:rsidR="00F3318F" w:rsidRPr="00E8518E" w:rsidRDefault="00F3318F" w:rsidP="00F3318F">
      <w:pPr>
        <w:spacing w:line="240" w:lineRule="auto"/>
        <w:jc w:val="center"/>
        <w:rPr>
          <w:rFonts w:cs="Times New Roman"/>
          <w:b/>
          <w:sz w:val="28"/>
          <w:szCs w:val="28"/>
        </w:rPr>
      </w:pPr>
      <w:r w:rsidRPr="00E8518E">
        <w:rPr>
          <w:rFonts w:cs="Times New Roman"/>
          <w:b/>
          <w:sz w:val="28"/>
          <w:szCs w:val="28"/>
        </w:rPr>
        <w:t>za kapitolu 327 Ministerstvo dopravy</w:t>
      </w:r>
    </w:p>
    <w:p w14:paraId="25D2B823" w14:textId="77777777" w:rsidR="00F3318F" w:rsidRPr="00E8518E" w:rsidRDefault="00F3318F" w:rsidP="00F3318F">
      <w:pPr>
        <w:spacing w:line="240" w:lineRule="auto"/>
        <w:rPr>
          <w:color w:val="FF0000"/>
        </w:rPr>
      </w:pPr>
    </w:p>
    <w:p w14:paraId="1FEED103" w14:textId="77777777" w:rsidR="00F3318F" w:rsidRPr="00E8518E" w:rsidRDefault="00F3318F" w:rsidP="00F3318F">
      <w:pPr>
        <w:spacing w:line="240" w:lineRule="auto"/>
        <w:rPr>
          <w:color w:val="FF0000"/>
        </w:rPr>
      </w:pPr>
    </w:p>
    <w:p w14:paraId="27D51FB5" w14:textId="77777777" w:rsidR="00F3318F" w:rsidRPr="00E8518E" w:rsidRDefault="00F3318F" w:rsidP="00F3318F">
      <w:pPr>
        <w:spacing w:line="240" w:lineRule="auto"/>
        <w:rPr>
          <w:color w:val="FF0000"/>
        </w:rPr>
      </w:pPr>
    </w:p>
    <w:p w14:paraId="362E1E66" w14:textId="77777777" w:rsidR="00F3318F" w:rsidRPr="00E8518E" w:rsidRDefault="00F3318F" w:rsidP="00F3318F">
      <w:pPr>
        <w:spacing w:line="240" w:lineRule="auto"/>
        <w:jc w:val="center"/>
        <w:rPr>
          <w:color w:val="FF0000"/>
        </w:rPr>
      </w:pPr>
      <w:r w:rsidRPr="00E8518E">
        <w:rPr>
          <w:noProof/>
          <w:color w:val="FF0000"/>
          <w:lang w:eastAsia="cs-CZ"/>
        </w:rPr>
        <w:drawing>
          <wp:inline distT="0" distB="0" distL="0" distR="0">
            <wp:extent cx="1438275" cy="952500"/>
            <wp:effectExtent l="0" t="0" r="9525" b="0"/>
            <wp:docPr id="5" name="Obrázek 5" descr="letadl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adlo-0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38275" cy="952500"/>
                    </a:xfrm>
                    <a:prstGeom prst="rect">
                      <a:avLst/>
                    </a:prstGeom>
                    <a:noFill/>
                    <a:ln>
                      <a:noFill/>
                    </a:ln>
                  </pic:spPr>
                </pic:pic>
              </a:graphicData>
            </a:graphic>
          </wp:inline>
        </w:drawing>
      </w:r>
      <w:r w:rsidRPr="00E8518E">
        <w:rPr>
          <w:noProof/>
          <w:color w:val="FF0000"/>
          <w:lang w:eastAsia="cs-CZ"/>
        </w:rPr>
        <w:drawing>
          <wp:inline distT="0" distB="0" distL="0" distR="0">
            <wp:extent cx="1295400" cy="971550"/>
            <wp:effectExtent l="0" t="0" r="0" b="0"/>
            <wp:docPr id="4" name="Obrázek 4" descr="železn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železni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95400" cy="971550"/>
                    </a:xfrm>
                    <a:prstGeom prst="rect">
                      <a:avLst/>
                    </a:prstGeom>
                    <a:noFill/>
                    <a:ln>
                      <a:noFill/>
                    </a:ln>
                  </pic:spPr>
                </pic:pic>
              </a:graphicData>
            </a:graphic>
          </wp:inline>
        </w:drawing>
      </w:r>
      <w:r w:rsidRPr="00E8518E">
        <w:rPr>
          <w:noProof/>
          <w:color w:val="FF0000"/>
          <w:lang w:eastAsia="cs-CZ"/>
        </w:rPr>
        <w:drawing>
          <wp:inline distT="0" distB="0" distL="0" distR="0">
            <wp:extent cx="1285875" cy="962025"/>
            <wp:effectExtent l="0" t="0" r="9525" b="9525"/>
            <wp:docPr id="3" name="Obrázek 3" descr="silnic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ilnice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85875" cy="962025"/>
                    </a:xfrm>
                    <a:prstGeom prst="rect">
                      <a:avLst/>
                    </a:prstGeom>
                    <a:noFill/>
                    <a:ln>
                      <a:noFill/>
                    </a:ln>
                  </pic:spPr>
                </pic:pic>
              </a:graphicData>
            </a:graphic>
          </wp:inline>
        </w:drawing>
      </w:r>
      <w:r w:rsidRPr="00E8518E">
        <w:rPr>
          <w:noProof/>
          <w:color w:val="FF0000"/>
          <w:lang w:eastAsia="cs-CZ"/>
        </w:rPr>
        <w:drawing>
          <wp:inline distT="0" distB="0" distL="0" distR="0">
            <wp:extent cx="1514475" cy="962025"/>
            <wp:effectExtent l="0" t="0" r="9525" b="9525"/>
            <wp:docPr id="2" name="Obrázek 2" descr="vodní doprav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odní doprava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14475" cy="962025"/>
                    </a:xfrm>
                    <a:prstGeom prst="rect">
                      <a:avLst/>
                    </a:prstGeom>
                    <a:noFill/>
                    <a:ln>
                      <a:noFill/>
                    </a:ln>
                  </pic:spPr>
                </pic:pic>
              </a:graphicData>
            </a:graphic>
          </wp:inline>
        </w:drawing>
      </w:r>
    </w:p>
    <w:p w14:paraId="2250F903" w14:textId="77777777" w:rsidR="00F3318F" w:rsidRPr="00E8518E" w:rsidRDefault="00F3318F" w:rsidP="00F3318F">
      <w:pPr>
        <w:spacing w:line="240" w:lineRule="auto"/>
        <w:rPr>
          <w:color w:val="FF0000"/>
        </w:rPr>
      </w:pPr>
    </w:p>
    <w:p w14:paraId="176DA648" w14:textId="77777777" w:rsidR="00F3318F" w:rsidRPr="00E8518E" w:rsidRDefault="00F3318F" w:rsidP="00F3318F">
      <w:pPr>
        <w:spacing w:line="240" w:lineRule="auto"/>
        <w:rPr>
          <w:color w:val="FF0000"/>
        </w:rPr>
      </w:pPr>
    </w:p>
    <w:p w14:paraId="6490E8DA" w14:textId="77777777" w:rsidR="00F3318F" w:rsidRPr="00E8518E" w:rsidRDefault="00F3318F" w:rsidP="00F3318F">
      <w:pPr>
        <w:spacing w:line="240" w:lineRule="auto"/>
        <w:rPr>
          <w:color w:val="FF0000"/>
        </w:rPr>
      </w:pPr>
    </w:p>
    <w:p w14:paraId="2641E517" w14:textId="77777777" w:rsidR="00F3318F" w:rsidRPr="00E8518E" w:rsidRDefault="00F3318F" w:rsidP="00F3318F">
      <w:pPr>
        <w:spacing w:line="240" w:lineRule="auto"/>
        <w:rPr>
          <w:color w:val="FF0000"/>
        </w:rPr>
      </w:pPr>
    </w:p>
    <w:p w14:paraId="48FE5A6D" w14:textId="77777777" w:rsidR="00F3318F" w:rsidRPr="00E8518E" w:rsidRDefault="00F3318F" w:rsidP="00F3318F">
      <w:pPr>
        <w:spacing w:line="240" w:lineRule="auto"/>
        <w:rPr>
          <w:color w:val="FF0000"/>
        </w:rPr>
      </w:pPr>
    </w:p>
    <w:p w14:paraId="60DFF4D7" w14:textId="77777777" w:rsidR="00F3318F" w:rsidRPr="0088307E" w:rsidRDefault="00F3318F" w:rsidP="00F3318F">
      <w:pPr>
        <w:spacing w:line="240" w:lineRule="auto"/>
        <w:rPr>
          <w:rFonts w:cs="Times New Roman"/>
          <w:b/>
          <w:szCs w:val="24"/>
        </w:rPr>
      </w:pPr>
      <w:r w:rsidRPr="00E8518E">
        <w:rPr>
          <w:color w:val="FF0000"/>
        </w:rPr>
        <w:tab/>
      </w:r>
      <w:r w:rsidRPr="00E8518E">
        <w:rPr>
          <w:color w:val="FF0000"/>
        </w:rPr>
        <w:tab/>
      </w:r>
      <w:r w:rsidRPr="00E8518E">
        <w:rPr>
          <w:color w:val="FF0000"/>
        </w:rPr>
        <w:tab/>
      </w:r>
      <w:r w:rsidRPr="00E8518E">
        <w:rPr>
          <w:color w:val="FF0000"/>
        </w:rPr>
        <w:tab/>
      </w:r>
      <w:r w:rsidRPr="00E8518E">
        <w:rPr>
          <w:color w:val="FF0000"/>
        </w:rPr>
        <w:tab/>
      </w:r>
      <w:r w:rsidRPr="00E8518E">
        <w:rPr>
          <w:color w:val="FF0000"/>
        </w:rPr>
        <w:tab/>
      </w:r>
      <w:r w:rsidRPr="00E8518E">
        <w:rPr>
          <w:color w:val="FF0000"/>
        </w:rPr>
        <w:tab/>
      </w:r>
      <w:r w:rsidRPr="00E8518E">
        <w:rPr>
          <w:color w:val="FF0000"/>
        </w:rPr>
        <w:tab/>
      </w:r>
      <w:r w:rsidRPr="00E8518E">
        <w:rPr>
          <w:color w:val="FF0000"/>
        </w:rPr>
        <w:tab/>
      </w:r>
      <w:r w:rsidRPr="0088307E">
        <w:rPr>
          <w:rFonts w:cs="Times New Roman"/>
          <w:b/>
          <w:szCs w:val="24"/>
        </w:rPr>
        <w:t>Obsah:</w:t>
      </w:r>
    </w:p>
    <w:p w14:paraId="0AC0D5DE" w14:textId="77777777" w:rsidR="00F3318F" w:rsidRPr="0088307E" w:rsidRDefault="00F3318F" w:rsidP="00F3318F">
      <w:pPr>
        <w:spacing w:line="240" w:lineRule="auto"/>
        <w:rPr>
          <w:rFonts w:cs="Times New Roman"/>
          <w:b/>
          <w:szCs w:val="24"/>
        </w:rPr>
      </w:pP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p>
    <w:p w14:paraId="22D95F7F" w14:textId="77777777" w:rsidR="00F3318F" w:rsidRPr="0088307E" w:rsidRDefault="00F3318F" w:rsidP="00F3318F">
      <w:pPr>
        <w:spacing w:line="240" w:lineRule="auto"/>
        <w:rPr>
          <w:rFonts w:cs="Times New Roman"/>
          <w:b/>
          <w:szCs w:val="24"/>
        </w:rPr>
      </w:pP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t>A. Zpráva</w:t>
      </w:r>
    </w:p>
    <w:p w14:paraId="0831474F" w14:textId="77777777" w:rsidR="00F3318F" w:rsidRPr="0088307E" w:rsidRDefault="00F3318F" w:rsidP="00F3318F">
      <w:pPr>
        <w:spacing w:line="240" w:lineRule="auto"/>
        <w:rPr>
          <w:rFonts w:cs="Times New Roman"/>
          <w:b/>
          <w:szCs w:val="24"/>
        </w:rPr>
      </w:pP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t>B. Tabulková část</w:t>
      </w:r>
    </w:p>
    <w:p w14:paraId="65894FB4" w14:textId="77777777" w:rsidR="00F3318F" w:rsidRPr="0088307E" w:rsidRDefault="00B0044D" w:rsidP="00F3318F">
      <w:pPr>
        <w:spacing w:line="240" w:lineRule="auto"/>
        <w:rPr>
          <w:rFonts w:cs="Times New Roman"/>
          <w:b/>
          <w:szCs w:val="24"/>
        </w:rPr>
      </w:pP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Pr="0088307E">
        <w:rPr>
          <w:rFonts w:cs="Times New Roman"/>
          <w:b/>
          <w:szCs w:val="24"/>
        </w:rPr>
        <w:tab/>
      </w:r>
      <w:r w:rsidR="00CF4BB2" w:rsidRPr="0088307E">
        <w:rPr>
          <w:rFonts w:cs="Times New Roman"/>
          <w:b/>
          <w:szCs w:val="24"/>
        </w:rPr>
        <w:t>C. Přílohy</w:t>
      </w:r>
    </w:p>
    <w:p w14:paraId="5FC39A75" w14:textId="77777777" w:rsidR="00F3318F" w:rsidRPr="00E8518E" w:rsidRDefault="00F3318F" w:rsidP="00F3318F">
      <w:pPr>
        <w:spacing w:line="240" w:lineRule="auto"/>
        <w:rPr>
          <w:rFonts w:cs="Times New Roman"/>
          <w:b/>
          <w:color w:val="FF0000"/>
        </w:rPr>
      </w:pPr>
    </w:p>
    <w:p w14:paraId="6E09742F" w14:textId="77777777" w:rsidR="00F3318F" w:rsidRPr="0088307E" w:rsidRDefault="00F3318F" w:rsidP="00F3318F">
      <w:pPr>
        <w:spacing w:line="240" w:lineRule="auto"/>
        <w:rPr>
          <w:rFonts w:cs="Times New Roman"/>
          <w:b/>
          <w:szCs w:val="24"/>
        </w:rPr>
      </w:pPr>
      <w:r w:rsidRPr="0088307E">
        <w:rPr>
          <w:rFonts w:cs="Times New Roman"/>
          <w:b/>
          <w:szCs w:val="24"/>
        </w:rPr>
        <w:t>Předkládá:</w:t>
      </w:r>
    </w:p>
    <w:p w14:paraId="7BBB2EAC" w14:textId="77777777" w:rsidR="00F40E65" w:rsidRPr="0088307E" w:rsidRDefault="00F40E65" w:rsidP="00F3318F">
      <w:pPr>
        <w:spacing w:line="240" w:lineRule="auto"/>
        <w:rPr>
          <w:rFonts w:cs="Times New Roman"/>
          <w:szCs w:val="24"/>
        </w:rPr>
      </w:pPr>
      <w:r w:rsidRPr="0088307E">
        <w:rPr>
          <w:rFonts w:cs="Times New Roman"/>
          <w:szCs w:val="24"/>
        </w:rPr>
        <w:t>Mgr. Martin Kupka</w:t>
      </w:r>
    </w:p>
    <w:p w14:paraId="56FA8993" w14:textId="77777777" w:rsidR="00F3318F" w:rsidRPr="0088307E" w:rsidRDefault="00F3318F" w:rsidP="00F3318F">
      <w:pPr>
        <w:spacing w:line="240" w:lineRule="auto"/>
        <w:rPr>
          <w:rFonts w:cs="Times New Roman"/>
          <w:szCs w:val="24"/>
        </w:rPr>
      </w:pPr>
      <w:r w:rsidRPr="0088307E">
        <w:rPr>
          <w:rFonts w:cs="Times New Roman"/>
          <w:szCs w:val="24"/>
        </w:rPr>
        <w:t>ministr dopravy</w:t>
      </w:r>
    </w:p>
    <w:p w14:paraId="647CA770" w14:textId="77777777" w:rsidR="00F3318F" w:rsidRPr="00E8518E" w:rsidRDefault="00F3318F" w:rsidP="00F3318F">
      <w:pPr>
        <w:spacing w:line="240" w:lineRule="auto"/>
        <w:rPr>
          <w:rFonts w:cs="Times New Roman"/>
          <w:color w:val="FF0000"/>
        </w:rPr>
      </w:pPr>
    </w:p>
    <w:p w14:paraId="1D306821" w14:textId="77777777" w:rsidR="00F3318F" w:rsidRPr="00E8518E" w:rsidRDefault="00F3318F" w:rsidP="00F3318F">
      <w:pPr>
        <w:spacing w:line="240" w:lineRule="auto"/>
        <w:rPr>
          <w:color w:val="FF0000"/>
        </w:rPr>
      </w:pPr>
    </w:p>
    <w:p w14:paraId="651777CD" w14:textId="77777777" w:rsidR="00F3318F" w:rsidRPr="00E8518E" w:rsidRDefault="00F3318F" w:rsidP="00F3318F">
      <w:pPr>
        <w:spacing w:line="240" w:lineRule="auto"/>
        <w:rPr>
          <w:color w:val="FF0000"/>
        </w:rPr>
      </w:pPr>
    </w:p>
    <w:p w14:paraId="505BEE0E" w14:textId="77777777" w:rsidR="00F3318F" w:rsidRPr="00E8518E" w:rsidRDefault="00F3318F" w:rsidP="00F3318F">
      <w:pPr>
        <w:spacing w:line="240" w:lineRule="auto"/>
        <w:jc w:val="center"/>
        <w:rPr>
          <w:color w:val="FF0000"/>
        </w:rPr>
      </w:pPr>
    </w:p>
    <w:p w14:paraId="71C86F37" w14:textId="77777777" w:rsidR="00F40E65" w:rsidRPr="00E8518E" w:rsidRDefault="00F40E65" w:rsidP="00F3318F">
      <w:pPr>
        <w:spacing w:line="240" w:lineRule="auto"/>
        <w:jc w:val="center"/>
        <w:rPr>
          <w:color w:val="FF0000"/>
        </w:rPr>
      </w:pPr>
    </w:p>
    <w:p w14:paraId="315F92E8" w14:textId="77777777" w:rsidR="002F735C" w:rsidRPr="00E8518E" w:rsidRDefault="002F735C">
      <w:pPr>
        <w:pStyle w:val="Obsah1"/>
      </w:pPr>
    </w:p>
    <w:p w14:paraId="3A93A6EC" w14:textId="77777777" w:rsidR="002F735C" w:rsidRPr="00E8518E" w:rsidRDefault="002F735C">
      <w:pPr>
        <w:pStyle w:val="Obsah1"/>
      </w:pPr>
    </w:p>
    <w:p w14:paraId="4D778101" w14:textId="3172341F" w:rsidR="00AF5225" w:rsidRPr="00E8518E" w:rsidRDefault="008A7590">
      <w:pPr>
        <w:pStyle w:val="Obsah1"/>
        <w:rPr>
          <w:color w:val="FF0000"/>
        </w:rPr>
      </w:pPr>
      <w:r w:rsidRPr="0088307E">
        <w:t>říjen</w:t>
      </w:r>
      <w:r w:rsidR="00E24034" w:rsidRPr="0088307E">
        <w:t xml:space="preserve"> </w:t>
      </w:r>
      <w:r w:rsidR="00F40E65" w:rsidRPr="0088307E">
        <w:t>2022</w:t>
      </w:r>
      <w:r w:rsidR="00AF5225" w:rsidRPr="00E8518E">
        <w:rPr>
          <w:color w:val="FF0000"/>
        </w:rPr>
        <w:br w:type="page"/>
      </w:r>
    </w:p>
    <w:p w14:paraId="7C9CD1F6" w14:textId="77777777" w:rsidR="00110C1B" w:rsidRPr="00E8518E" w:rsidRDefault="00110C1B" w:rsidP="009F7B53">
      <w:pPr>
        <w:jc w:val="center"/>
        <w:rPr>
          <w:rFonts w:eastAsia="Times New Roman" w:cs="Times New Roman"/>
          <w:noProof/>
          <w:color w:val="FF0000"/>
          <w:szCs w:val="24"/>
          <w:lang w:eastAsia="cs-CZ"/>
        </w:rPr>
      </w:pPr>
      <w:r w:rsidRPr="00E8518E">
        <w:rPr>
          <w:color w:val="FF0000"/>
        </w:rPr>
        <w:lastRenderedPageBreak/>
        <w:br w:type="page"/>
      </w:r>
    </w:p>
    <w:sdt>
      <w:sdtPr>
        <w:rPr>
          <w:rFonts w:asciiTheme="minorHAnsi" w:eastAsiaTheme="minorHAnsi" w:hAnsiTheme="minorHAnsi" w:cstheme="minorBidi"/>
          <w:bCs/>
          <w:caps w:val="0"/>
          <w:noProof/>
          <w:color w:val="FF0000"/>
          <w:sz w:val="22"/>
          <w:szCs w:val="22"/>
          <w:lang w:eastAsia="en-US"/>
        </w:rPr>
        <w:id w:val="489529023"/>
        <w:docPartObj>
          <w:docPartGallery w:val="Table of Contents"/>
          <w:docPartUnique/>
        </w:docPartObj>
      </w:sdtPr>
      <w:sdtEndPr>
        <w:rPr>
          <w:rFonts w:ascii="Times New Roman" w:eastAsia="Times New Roman" w:hAnsi="Times New Roman" w:cs="Times New Roman"/>
          <w:sz w:val="24"/>
          <w:szCs w:val="24"/>
          <w:lang w:eastAsia="cs-CZ"/>
        </w:rPr>
      </w:sdtEndPr>
      <w:sdtContent>
        <w:p w14:paraId="272FB8F7" w14:textId="77777777" w:rsidR="00CD5258" w:rsidRPr="0088307E" w:rsidRDefault="00DB5031" w:rsidP="00DB5031">
          <w:pPr>
            <w:pStyle w:val="Nadpisobsahu"/>
            <w:jc w:val="center"/>
            <w:rPr>
              <w:rFonts w:ascii="Times New Roman" w:hAnsi="Times New Roman" w:cs="Times New Roman"/>
              <w:b/>
              <w:color w:val="auto"/>
              <w:sz w:val="28"/>
              <w:szCs w:val="28"/>
              <w:u w:val="single"/>
            </w:rPr>
          </w:pPr>
          <w:r w:rsidRPr="0088307E">
            <w:rPr>
              <w:rFonts w:ascii="Times New Roman" w:hAnsi="Times New Roman" w:cs="Times New Roman"/>
              <w:b/>
              <w:color w:val="auto"/>
              <w:sz w:val="28"/>
              <w:szCs w:val="28"/>
            </w:rPr>
            <w:t xml:space="preserve">A. </w:t>
          </w:r>
          <w:r w:rsidRPr="0088307E">
            <w:rPr>
              <w:rFonts w:ascii="Times New Roman" w:hAnsi="Times New Roman" w:cs="Times New Roman"/>
              <w:b/>
              <w:color w:val="auto"/>
              <w:sz w:val="28"/>
              <w:szCs w:val="28"/>
              <w:u w:val="single"/>
            </w:rPr>
            <w:t>Z P R Á V A</w:t>
          </w:r>
        </w:p>
        <w:p w14:paraId="6CD7931A" w14:textId="77777777" w:rsidR="00DB5031" w:rsidRPr="00E8518E" w:rsidRDefault="00DB5031" w:rsidP="00DB5031">
          <w:pPr>
            <w:rPr>
              <w:color w:val="FF0000"/>
              <w:lang w:eastAsia="cs-CZ"/>
            </w:rPr>
          </w:pPr>
        </w:p>
        <w:p w14:paraId="61FF5C9C" w14:textId="43D433EE" w:rsidR="00AD73D1" w:rsidRPr="00AD73D1" w:rsidRDefault="00CD5258">
          <w:pPr>
            <w:pStyle w:val="Obsah1"/>
            <w:rPr>
              <w:rFonts w:asciiTheme="minorHAnsi" w:eastAsiaTheme="minorEastAsia" w:hAnsiTheme="minorHAnsi" w:cstheme="minorBidi"/>
              <w:b w:val="0"/>
              <w:sz w:val="22"/>
              <w:szCs w:val="22"/>
            </w:rPr>
          </w:pPr>
          <w:r w:rsidRPr="00E8518E">
            <w:fldChar w:fldCharType="begin"/>
          </w:r>
          <w:r w:rsidRPr="00E8518E">
            <w:instrText xml:space="preserve"> TOC \o "1-3" \h \z \u </w:instrText>
          </w:r>
          <w:r w:rsidRPr="00E8518E">
            <w:fldChar w:fldCharType="separate"/>
          </w:r>
          <w:hyperlink w:anchor="_Toc115787421" w:history="1">
            <w:r w:rsidR="00AD73D1" w:rsidRPr="0088307E">
              <w:rPr>
                <w:rStyle w:val="Hypertextovodkaz"/>
                <w:b w:val="0"/>
                <w:bCs/>
                <w:smallCaps/>
              </w:rPr>
              <w:t>1</w:t>
            </w:r>
            <w:r w:rsidR="00AD73D1" w:rsidRPr="00AD73D1">
              <w:rPr>
                <w:rFonts w:asciiTheme="minorHAnsi" w:eastAsiaTheme="minorEastAsia" w:hAnsiTheme="minorHAnsi" w:cstheme="minorBidi"/>
                <w:b w:val="0"/>
                <w:sz w:val="22"/>
                <w:szCs w:val="22"/>
              </w:rPr>
              <w:tab/>
            </w:r>
            <w:r w:rsidR="00AD73D1" w:rsidRPr="0088307E">
              <w:rPr>
                <w:rStyle w:val="Hypertextovodkaz"/>
                <w:b w:val="0"/>
                <w:bCs/>
                <w:smallCaps/>
              </w:rPr>
              <w:t>Úvod</w:t>
            </w:r>
            <w:r w:rsidR="00AD73D1" w:rsidRPr="0088307E">
              <w:rPr>
                <w:b w:val="0"/>
                <w:webHidden/>
              </w:rPr>
              <w:tab/>
            </w:r>
            <w:r w:rsidR="00AD73D1" w:rsidRPr="0088307E">
              <w:rPr>
                <w:b w:val="0"/>
                <w:webHidden/>
              </w:rPr>
              <w:fldChar w:fldCharType="begin"/>
            </w:r>
            <w:r w:rsidR="00AD73D1" w:rsidRPr="0088307E">
              <w:rPr>
                <w:b w:val="0"/>
                <w:webHidden/>
              </w:rPr>
              <w:instrText xml:space="preserve"> PAGEREF _Toc115787421 \h </w:instrText>
            </w:r>
            <w:r w:rsidR="00AD73D1" w:rsidRPr="0088307E">
              <w:rPr>
                <w:b w:val="0"/>
                <w:webHidden/>
              </w:rPr>
            </w:r>
            <w:r w:rsidR="00AD73D1" w:rsidRPr="0088307E">
              <w:rPr>
                <w:b w:val="0"/>
                <w:webHidden/>
              </w:rPr>
              <w:fldChar w:fldCharType="separate"/>
            </w:r>
            <w:r w:rsidR="00F80947">
              <w:rPr>
                <w:b w:val="0"/>
                <w:webHidden/>
              </w:rPr>
              <w:t>1</w:t>
            </w:r>
            <w:r w:rsidR="00AD73D1" w:rsidRPr="0088307E">
              <w:rPr>
                <w:b w:val="0"/>
                <w:webHidden/>
              </w:rPr>
              <w:fldChar w:fldCharType="end"/>
            </w:r>
          </w:hyperlink>
        </w:p>
        <w:p w14:paraId="1C90AE4E" w14:textId="564B371D" w:rsidR="00AD73D1" w:rsidRPr="00AD73D1" w:rsidRDefault="00AD73D1">
          <w:pPr>
            <w:pStyle w:val="Obsah1"/>
            <w:rPr>
              <w:rFonts w:asciiTheme="minorHAnsi" w:eastAsiaTheme="minorEastAsia" w:hAnsiTheme="minorHAnsi" w:cstheme="minorBidi"/>
              <w:b w:val="0"/>
              <w:sz w:val="22"/>
              <w:szCs w:val="22"/>
            </w:rPr>
          </w:pPr>
          <w:hyperlink w:anchor="_Toc115787423" w:history="1">
            <w:r w:rsidRPr="0088307E">
              <w:rPr>
                <w:rStyle w:val="Hypertextovodkaz"/>
                <w:b w:val="0"/>
              </w:rPr>
              <w:t>2</w:t>
            </w:r>
            <w:r w:rsidRPr="00AD73D1">
              <w:rPr>
                <w:rFonts w:asciiTheme="minorHAnsi" w:eastAsiaTheme="minorEastAsia" w:hAnsiTheme="minorHAnsi" w:cstheme="minorBidi"/>
                <w:b w:val="0"/>
                <w:sz w:val="22"/>
                <w:szCs w:val="22"/>
              </w:rPr>
              <w:tab/>
            </w:r>
            <w:r w:rsidRPr="0088307E">
              <w:rPr>
                <w:rStyle w:val="Hypertextovodkaz"/>
                <w:b w:val="0"/>
              </w:rPr>
              <w:t>ROZPOČET PŘÍJMŮ NA ROK 2023</w:t>
            </w:r>
            <w:r w:rsidRPr="0088307E">
              <w:rPr>
                <w:b w:val="0"/>
                <w:webHidden/>
              </w:rPr>
              <w:tab/>
            </w:r>
            <w:r w:rsidRPr="0088307E">
              <w:rPr>
                <w:b w:val="0"/>
                <w:webHidden/>
              </w:rPr>
              <w:fldChar w:fldCharType="begin"/>
            </w:r>
            <w:r w:rsidRPr="0088307E">
              <w:rPr>
                <w:b w:val="0"/>
                <w:webHidden/>
              </w:rPr>
              <w:instrText xml:space="preserve"> PAGEREF _Toc115787423 \h </w:instrText>
            </w:r>
            <w:r w:rsidRPr="0088307E">
              <w:rPr>
                <w:b w:val="0"/>
                <w:webHidden/>
              </w:rPr>
            </w:r>
            <w:r w:rsidRPr="0088307E">
              <w:rPr>
                <w:b w:val="0"/>
                <w:webHidden/>
              </w:rPr>
              <w:fldChar w:fldCharType="separate"/>
            </w:r>
            <w:r w:rsidR="00F80947">
              <w:rPr>
                <w:b w:val="0"/>
                <w:webHidden/>
              </w:rPr>
              <w:t>4</w:t>
            </w:r>
            <w:r w:rsidRPr="0088307E">
              <w:rPr>
                <w:b w:val="0"/>
                <w:webHidden/>
              </w:rPr>
              <w:fldChar w:fldCharType="end"/>
            </w:r>
          </w:hyperlink>
        </w:p>
        <w:p w14:paraId="757BB3CF" w14:textId="51C572A5" w:rsidR="00AD73D1" w:rsidRPr="00AD73D1" w:rsidRDefault="00AD73D1">
          <w:pPr>
            <w:pStyle w:val="Obsah2"/>
            <w:rPr>
              <w:rFonts w:asciiTheme="minorHAnsi" w:eastAsiaTheme="minorEastAsia" w:hAnsiTheme="minorHAnsi" w:cstheme="minorBidi"/>
              <w:bCs w:val="0"/>
              <w:sz w:val="22"/>
              <w:szCs w:val="22"/>
            </w:rPr>
          </w:pPr>
          <w:hyperlink w:anchor="_Toc115787424" w:history="1">
            <w:r w:rsidRPr="00AD73D1">
              <w:rPr>
                <w:rStyle w:val="Hypertextovodkaz"/>
              </w:rPr>
              <w:t>2.1</w:t>
            </w:r>
            <w:r w:rsidRPr="00AD73D1">
              <w:rPr>
                <w:rFonts w:asciiTheme="minorHAnsi" w:eastAsiaTheme="minorEastAsia" w:hAnsiTheme="minorHAnsi" w:cstheme="minorBidi"/>
                <w:bCs w:val="0"/>
                <w:sz w:val="22"/>
                <w:szCs w:val="22"/>
              </w:rPr>
              <w:tab/>
            </w:r>
            <w:r w:rsidRPr="00AD73D1">
              <w:rPr>
                <w:rStyle w:val="Hypertextovodkaz"/>
              </w:rPr>
              <w:t>Specifické ukazatele – příjmy</w:t>
            </w:r>
            <w:r w:rsidRPr="00AD73D1">
              <w:rPr>
                <w:webHidden/>
              </w:rPr>
              <w:tab/>
            </w:r>
            <w:r w:rsidRPr="00035CD3">
              <w:rPr>
                <w:webHidden/>
              </w:rPr>
              <w:fldChar w:fldCharType="begin"/>
            </w:r>
            <w:r w:rsidRPr="00AD73D1">
              <w:rPr>
                <w:webHidden/>
              </w:rPr>
              <w:instrText xml:space="preserve"> PAGEREF _Toc115787424 \h </w:instrText>
            </w:r>
            <w:r w:rsidRPr="00035CD3">
              <w:rPr>
                <w:webHidden/>
              </w:rPr>
            </w:r>
            <w:r w:rsidRPr="00035CD3">
              <w:rPr>
                <w:webHidden/>
              </w:rPr>
              <w:fldChar w:fldCharType="separate"/>
            </w:r>
            <w:r w:rsidR="00F80947">
              <w:rPr>
                <w:webHidden/>
              </w:rPr>
              <w:t>4</w:t>
            </w:r>
            <w:r w:rsidRPr="00035CD3">
              <w:rPr>
                <w:webHidden/>
              </w:rPr>
              <w:fldChar w:fldCharType="end"/>
            </w:r>
          </w:hyperlink>
        </w:p>
        <w:p w14:paraId="25AE055C" w14:textId="168848A7" w:rsidR="00AD73D1" w:rsidRPr="00AD73D1" w:rsidRDefault="00AD73D1">
          <w:pPr>
            <w:pStyle w:val="Obsah2"/>
            <w:rPr>
              <w:rFonts w:asciiTheme="minorHAnsi" w:eastAsiaTheme="minorEastAsia" w:hAnsiTheme="minorHAnsi" w:cstheme="minorBidi"/>
              <w:bCs w:val="0"/>
              <w:sz w:val="22"/>
              <w:szCs w:val="22"/>
            </w:rPr>
          </w:pPr>
          <w:hyperlink w:anchor="_Toc115787425" w:history="1">
            <w:r w:rsidRPr="00AD73D1">
              <w:rPr>
                <w:rStyle w:val="Hypertextovodkaz"/>
              </w:rPr>
              <w:t>2.2</w:t>
            </w:r>
            <w:r w:rsidRPr="00AD73D1">
              <w:rPr>
                <w:rFonts w:asciiTheme="minorHAnsi" w:eastAsiaTheme="minorEastAsia" w:hAnsiTheme="minorHAnsi" w:cstheme="minorBidi"/>
                <w:bCs w:val="0"/>
                <w:sz w:val="22"/>
                <w:szCs w:val="22"/>
              </w:rPr>
              <w:tab/>
            </w:r>
            <w:r w:rsidRPr="00AD73D1">
              <w:rPr>
                <w:rStyle w:val="Hypertextovodkaz"/>
              </w:rPr>
              <w:t>Druhové členění příjmů</w:t>
            </w:r>
            <w:r w:rsidRPr="00AD73D1">
              <w:rPr>
                <w:webHidden/>
              </w:rPr>
              <w:tab/>
            </w:r>
            <w:r w:rsidRPr="00035CD3">
              <w:rPr>
                <w:webHidden/>
              </w:rPr>
              <w:fldChar w:fldCharType="begin"/>
            </w:r>
            <w:r w:rsidRPr="00AD73D1">
              <w:rPr>
                <w:webHidden/>
              </w:rPr>
              <w:instrText xml:space="preserve"> PAGEREF _Toc115787425 \h </w:instrText>
            </w:r>
            <w:r w:rsidRPr="00035CD3">
              <w:rPr>
                <w:webHidden/>
              </w:rPr>
            </w:r>
            <w:r w:rsidRPr="00035CD3">
              <w:rPr>
                <w:webHidden/>
              </w:rPr>
              <w:fldChar w:fldCharType="separate"/>
            </w:r>
            <w:r w:rsidR="00F80947">
              <w:rPr>
                <w:webHidden/>
              </w:rPr>
              <w:t>4</w:t>
            </w:r>
            <w:r w:rsidRPr="00035CD3">
              <w:rPr>
                <w:webHidden/>
              </w:rPr>
              <w:fldChar w:fldCharType="end"/>
            </w:r>
          </w:hyperlink>
        </w:p>
        <w:p w14:paraId="20106953" w14:textId="1AA4D36C" w:rsidR="00AD73D1" w:rsidRPr="00AD73D1" w:rsidRDefault="00AD73D1">
          <w:pPr>
            <w:pStyle w:val="Obsah1"/>
            <w:rPr>
              <w:rFonts w:asciiTheme="minorHAnsi" w:eastAsiaTheme="minorEastAsia" w:hAnsiTheme="minorHAnsi" w:cstheme="minorBidi"/>
              <w:b w:val="0"/>
              <w:sz w:val="22"/>
              <w:szCs w:val="22"/>
            </w:rPr>
          </w:pPr>
          <w:hyperlink w:anchor="_Toc115787426" w:history="1">
            <w:r w:rsidRPr="0088307E">
              <w:rPr>
                <w:rStyle w:val="Hypertextovodkaz"/>
                <w:b w:val="0"/>
              </w:rPr>
              <w:t>3</w:t>
            </w:r>
            <w:r w:rsidRPr="00AD73D1">
              <w:rPr>
                <w:rFonts w:asciiTheme="minorHAnsi" w:eastAsiaTheme="minorEastAsia" w:hAnsiTheme="minorHAnsi" w:cstheme="minorBidi"/>
                <w:b w:val="0"/>
                <w:sz w:val="22"/>
                <w:szCs w:val="22"/>
              </w:rPr>
              <w:tab/>
            </w:r>
            <w:r w:rsidRPr="0088307E">
              <w:rPr>
                <w:rStyle w:val="Hypertextovodkaz"/>
                <w:b w:val="0"/>
              </w:rPr>
              <w:t>Rozpočet výdajů na rok 2023</w:t>
            </w:r>
            <w:r w:rsidRPr="0088307E">
              <w:rPr>
                <w:b w:val="0"/>
                <w:webHidden/>
              </w:rPr>
              <w:tab/>
            </w:r>
            <w:r w:rsidRPr="0088307E">
              <w:rPr>
                <w:b w:val="0"/>
                <w:webHidden/>
              </w:rPr>
              <w:fldChar w:fldCharType="begin"/>
            </w:r>
            <w:r w:rsidRPr="0088307E">
              <w:rPr>
                <w:b w:val="0"/>
                <w:webHidden/>
              </w:rPr>
              <w:instrText xml:space="preserve"> PAGEREF _Toc115787426 \h </w:instrText>
            </w:r>
            <w:r w:rsidRPr="0088307E">
              <w:rPr>
                <w:b w:val="0"/>
                <w:webHidden/>
              </w:rPr>
            </w:r>
            <w:r w:rsidRPr="0088307E">
              <w:rPr>
                <w:b w:val="0"/>
                <w:webHidden/>
              </w:rPr>
              <w:fldChar w:fldCharType="separate"/>
            </w:r>
            <w:r w:rsidR="00F80947">
              <w:rPr>
                <w:b w:val="0"/>
                <w:webHidden/>
              </w:rPr>
              <w:t>9</w:t>
            </w:r>
            <w:r w:rsidRPr="0088307E">
              <w:rPr>
                <w:b w:val="0"/>
                <w:webHidden/>
              </w:rPr>
              <w:fldChar w:fldCharType="end"/>
            </w:r>
          </w:hyperlink>
        </w:p>
        <w:p w14:paraId="30A552E5" w14:textId="48570649" w:rsidR="00AD73D1" w:rsidRPr="00AD73D1" w:rsidRDefault="00AD73D1">
          <w:pPr>
            <w:pStyle w:val="Obsah2"/>
            <w:rPr>
              <w:rFonts w:asciiTheme="minorHAnsi" w:eastAsiaTheme="minorEastAsia" w:hAnsiTheme="minorHAnsi" w:cstheme="minorBidi"/>
              <w:bCs w:val="0"/>
              <w:sz w:val="22"/>
              <w:szCs w:val="22"/>
            </w:rPr>
          </w:pPr>
          <w:hyperlink w:anchor="_Toc115787427" w:history="1">
            <w:r w:rsidRPr="00AD73D1">
              <w:rPr>
                <w:rStyle w:val="Hypertextovodkaz"/>
              </w:rPr>
              <w:t>3.1</w:t>
            </w:r>
            <w:r w:rsidRPr="00AD73D1">
              <w:rPr>
                <w:rFonts w:asciiTheme="minorHAnsi" w:eastAsiaTheme="minorEastAsia" w:hAnsiTheme="minorHAnsi" w:cstheme="minorBidi"/>
                <w:bCs w:val="0"/>
                <w:sz w:val="22"/>
                <w:szCs w:val="22"/>
              </w:rPr>
              <w:tab/>
            </w:r>
            <w:r w:rsidRPr="00AD73D1">
              <w:rPr>
                <w:rStyle w:val="Hypertextovodkaz"/>
              </w:rPr>
              <w:t>Struktura výdajů</w:t>
            </w:r>
            <w:r w:rsidRPr="00AD73D1">
              <w:rPr>
                <w:webHidden/>
              </w:rPr>
              <w:tab/>
            </w:r>
            <w:r w:rsidRPr="00035CD3">
              <w:rPr>
                <w:webHidden/>
              </w:rPr>
              <w:fldChar w:fldCharType="begin"/>
            </w:r>
            <w:r w:rsidRPr="00AD73D1">
              <w:rPr>
                <w:webHidden/>
              </w:rPr>
              <w:instrText xml:space="preserve"> PAGEREF _Toc115787427 \h </w:instrText>
            </w:r>
            <w:r w:rsidRPr="00035CD3">
              <w:rPr>
                <w:webHidden/>
              </w:rPr>
            </w:r>
            <w:r w:rsidRPr="00035CD3">
              <w:rPr>
                <w:webHidden/>
              </w:rPr>
              <w:fldChar w:fldCharType="separate"/>
            </w:r>
            <w:r w:rsidR="00F80947">
              <w:rPr>
                <w:webHidden/>
              </w:rPr>
              <w:t>9</w:t>
            </w:r>
            <w:r w:rsidRPr="00035CD3">
              <w:rPr>
                <w:webHidden/>
              </w:rPr>
              <w:fldChar w:fldCharType="end"/>
            </w:r>
          </w:hyperlink>
        </w:p>
        <w:p w14:paraId="5169E871" w14:textId="02319F71" w:rsidR="00AD73D1" w:rsidRPr="00AD73D1" w:rsidRDefault="00AD73D1">
          <w:pPr>
            <w:pStyle w:val="Obsah3"/>
            <w:rPr>
              <w:rFonts w:asciiTheme="minorHAnsi" w:eastAsiaTheme="minorEastAsia" w:hAnsiTheme="minorHAnsi" w:cstheme="minorBidi"/>
              <w:b w:val="0"/>
              <w:sz w:val="22"/>
              <w:szCs w:val="22"/>
            </w:rPr>
          </w:pPr>
          <w:hyperlink w:anchor="_Toc115787533" w:history="1">
            <w:r w:rsidRPr="0088307E">
              <w:rPr>
                <w:rStyle w:val="Hypertextovodkaz"/>
                <w:b w:val="0"/>
              </w:rPr>
              <w:t>3.1.1</w:t>
            </w:r>
            <w:r w:rsidRPr="00AD73D1">
              <w:rPr>
                <w:rFonts w:asciiTheme="minorHAnsi" w:eastAsiaTheme="minorEastAsia" w:hAnsiTheme="minorHAnsi" w:cstheme="minorBidi"/>
                <w:b w:val="0"/>
                <w:sz w:val="22"/>
                <w:szCs w:val="22"/>
              </w:rPr>
              <w:tab/>
            </w:r>
            <w:r w:rsidRPr="0088307E">
              <w:rPr>
                <w:rStyle w:val="Hypertextovodkaz"/>
                <w:b w:val="0"/>
              </w:rPr>
              <w:t>Specifické ukazatele</w:t>
            </w:r>
            <w:r w:rsidRPr="0088307E">
              <w:rPr>
                <w:b w:val="0"/>
                <w:webHidden/>
              </w:rPr>
              <w:tab/>
            </w:r>
            <w:r w:rsidRPr="0088307E">
              <w:rPr>
                <w:b w:val="0"/>
                <w:webHidden/>
              </w:rPr>
              <w:fldChar w:fldCharType="begin"/>
            </w:r>
            <w:r w:rsidRPr="0088307E">
              <w:rPr>
                <w:b w:val="0"/>
                <w:webHidden/>
              </w:rPr>
              <w:instrText xml:space="preserve"> PAGEREF _Toc115787533 \h </w:instrText>
            </w:r>
            <w:r w:rsidRPr="0088307E">
              <w:rPr>
                <w:b w:val="0"/>
                <w:webHidden/>
              </w:rPr>
            </w:r>
            <w:r w:rsidRPr="0088307E">
              <w:rPr>
                <w:b w:val="0"/>
                <w:webHidden/>
              </w:rPr>
              <w:fldChar w:fldCharType="separate"/>
            </w:r>
            <w:r w:rsidR="00F80947">
              <w:rPr>
                <w:b w:val="0"/>
                <w:webHidden/>
              </w:rPr>
              <w:t>11</w:t>
            </w:r>
            <w:r w:rsidRPr="0088307E">
              <w:rPr>
                <w:b w:val="0"/>
                <w:webHidden/>
              </w:rPr>
              <w:fldChar w:fldCharType="end"/>
            </w:r>
          </w:hyperlink>
        </w:p>
        <w:p w14:paraId="67071B4E" w14:textId="55559438" w:rsidR="00AD73D1" w:rsidRPr="00AD73D1" w:rsidRDefault="00AD73D1">
          <w:pPr>
            <w:pStyle w:val="Obsah2"/>
            <w:rPr>
              <w:rFonts w:asciiTheme="minorHAnsi" w:eastAsiaTheme="minorEastAsia" w:hAnsiTheme="minorHAnsi" w:cstheme="minorBidi"/>
              <w:bCs w:val="0"/>
              <w:sz w:val="22"/>
              <w:szCs w:val="22"/>
            </w:rPr>
          </w:pPr>
          <w:hyperlink w:anchor="_Toc115787738" w:history="1">
            <w:r w:rsidRPr="00AD73D1">
              <w:rPr>
                <w:rStyle w:val="Hypertextovodkaz"/>
              </w:rPr>
              <w:t>3.2</w:t>
            </w:r>
            <w:r w:rsidRPr="00AD73D1">
              <w:rPr>
                <w:rFonts w:asciiTheme="minorHAnsi" w:eastAsiaTheme="minorEastAsia" w:hAnsiTheme="minorHAnsi" w:cstheme="minorBidi"/>
                <w:bCs w:val="0"/>
                <w:sz w:val="22"/>
                <w:szCs w:val="22"/>
              </w:rPr>
              <w:tab/>
            </w:r>
            <w:r w:rsidRPr="00AD73D1">
              <w:rPr>
                <w:rStyle w:val="Hypertextovodkaz"/>
              </w:rPr>
              <w:t>Běžné výdaje</w:t>
            </w:r>
            <w:r w:rsidRPr="00AD73D1">
              <w:rPr>
                <w:webHidden/>
              </w:rPr>
              <w:tab/>
            </w:r>
            <w:r w:rsidRPr="00035CD3">
              <w:rPr>
                <w:webHidden/>
              </w:rPr>
              <w:fldChar w:fldCharType="begin"/>
            </w:r>
            <w:r w:rsidRPr="00AD73D1">
              <w:rPr>
                <w:webHidden/>
              </w:rPr>
              <w:instrText xml:space="preserve"> PAGEREF _Toc115787738 \h </w:instrText>
            </w:r>
            <w:r w:rsidRPr="00035CD3">
              <w:rPr>
                <w:webHidden/>
              </w:rPr>
            </w:r>
            <w:r w:rsidRPr="00035CD3">
              <w:rPr>
                <w:webHidden/>
              </w:rPr>
              <w:fldChar w:fldCharType="separate"/>
            </w:r>
            <w:r w:rsidR="00F80947">
              <w:rPr>
                <w:webHidden/>
              </w:rPr>
              <w:t>14</w:t>
            </w:r>
            <w:r w:rsidRPr="00035CD3">
              <w:rPr>
                <w:webHidden/>
              </w:rPr>
              <w:fldChar w:fldCharType="end"/>
            </w:r>
          </w:hyperlink>
        </w:p>
        <w:p w14:paraId="16AF5A87" w14:textId="350FA441" w:rsidR="00AD73D1" w:rsidRPr="00AD73D1" w:rsidRDefault="00AD73D1">
          <w:pPr>
            <w:pStyle w:val="Obsah3"/>
            <w:rPr>
              <w:rFonts w:asciiTheme="minorHAnsi" w:eastAsiaTheme="minorEastAsia" w:hAnsiTheme="minorHAnsi" w:cstheme="minorBidi"/>
              <w:b w:val="0"/>
              <w:sz w:val="22"/>
              <w:szCs w:val="22"/>
            </w:rPr>
          </w:pPr>
          <w:hyperlink w:anchor="_Toc115787739" w:history="1">
            <w:r w:rsidRPr="0088307E">
              <w:rPr>
                <w:rStyle w:val="Hypertextovodkaz"/>
                <w:b w:val="0"/>
              </w:rPr>
              <w:t>3.2.1</w:t>
            </w:r>
            <w:r w:rsidRPr="00AD73D1">
              <w:rPr>
                <w:rFonts w:asciiTheme="minorHAnsi" w:eastAsiaTheme="minorEastAsia" w:hAnsiTheme="minorHAnsi" w:cstheme="minorBidi"/>
                <w:b w:val="0"/>
                <w:sz w:val="22"/>
                <w:szCs w:val="22"/>
              </w:rPr>
              <w:tab/>
            </w:r>
            <w:r w:rsidRPr="0088307E">
              <w:rPr>
                <w:rStyle w:val="Hypertextovodkaz"/>
                <w:b w:val="0"/>
              </w:rPr>
              <w:t>Běžné výdaje organizačních složek státu bez podseskupení položek 521, 522, 531, 532, 533, 551, 553, 554, 561 a položky 5193</w:t>
            </w:r>
            <w:r w:rsidRPr="0088307E">
              <w:rPr>
                <w:b w:val="0"/>
                <w:webHidden/>
              </w:rPr>
              <w:tab/>
            </w:r>
            <w:r w:rsidRPr="0088307E">
              <w:rPr>
                <w:b w:val="0"/>
                <w:webHidden/>
              </w:rPr>
              <w:fldChar w:fldCharType="begin"/>
            </w:r>
            <w:r w:rsidRPr="0088307E">
              <w:rPr>
                <w:b w:val="0"/>
                <w:webHidden/>
              </w:rPr>
              <w:instrText xml:space="preserve"> PAGEREF _Toc115787739 \h </w:instrText>
            </w:r>
            <w:r w:rsidRPr="0088307E">
              <w:rPr>
                <w:b w:val="0"/>
                <w:webHidden/>
              </w:rPr>
            </w:r>
            <w:r w:rsidRPr="0088307E">
              <w:rPr>
                <w:b w:val="0"/>
                <w:webHidden/>
              </w:rPr>
              <w:fldChar w:fldCharType="separate"/>
            </w:r>
            <w:r w:rsidR="00F80947">
              <w:rPr>
                <w:b w:val="0"/>
                <w:webHidden/>
              </w:rPr>
              <w:t>15</w:t>
            </w:r>
            <w:r w:rsidRPr="0088307E">
              <w:rPr>
                <w:b w:val="0"/>
                <w:webHidden/>
              </w:rPr>
              <w:fldChar w:fldCharType="end"/>
            </w:r>
          </w:hyperlink>
        </w:p>
        <w:p w14:paraId="6030A2B1" w14:textId="5BF3CB83" w:rsidR="00AD73D1" w:rsidRPr="00AD73D1" w:rsidRDefault="00AD73D1">
          <w:pPr>
            <w:pStyle w:val="Obsah3"/>
            <w:rPr>
              <w:rFonts w:asciiTheme="minorHAnsi" w:eastAsiaTheme="minorEastAsia" w:hAnsiTheme="minorHAnsi" w:cstheme="minorBidi"/>
              <w:b w:val="0"/>
              <w:sz w:val="22"/>
              <w:szCs w:val="22"/>
            </w:rPr>
          </w:pPr>
          <w:hyperlink w:anchor="_Toc115787740" w:history="1">
            <w:r w:rsidRPr="0088307E">
              <w:rPr>
                <w:rStyle w:val="Hypertextovodkaz"/>
                <w:b w:val="0"/>
              </w:rPr>
              <w:t>3.2.2</w:t>
            </w:r>
            <w:r w:rsidRPr="00AD73D1">
              <w:rPr>
                <w:rFonts w:asciiTheme="minorHAnsi" w:eastAsiaTheme="minorEastAsia" w:hAnsiTheme="minorHAnsi" w:cstheme="minorBidi"/>
                <w:b w:val="0"/>
                <w:sz w:val="22"/>
                <w:szCs w:val="22"/>
              </w:rPr>
              <w:tab/>
            </w:r>
            <w:r w:rsidRPr="0088307E">
              <w:rPr>
                <w:rStyle w:val="Hypertextovodkaz"/>
                <w:b w:val="0"/>
              </w:rPr>
              <w:t>Výdaje na platy a počty pracovníků za OSS a PO</w:t>
            </w:r>
            <w:r w:rsidRPr="0088307E">
              <w:rPr>
                <w:b w:val="0"/>
                <w:webHidden/>
              </w:rPr>
              <w:tab/>
            </w:r>
            <w:r w:rsidRPr="0088307E">
              <w:rPr>
                <w:b w:val="0"/>
                <w:webHidden/>
              </w:rPr>
              <w:fldChar w:fldCharType="begin"/>
            </w:r>
            <w:r w:rsidRPr="0088307E">
              <w:rPr>
                <w:b w:val="0"/>
                <w:webHidden/>
              </w:rPr>
              <w:instrText xml:space="preserve"> PAGEREF _Toc115787740 \h </w:instrText>
            </w:r>
            <w:r w:rsidRPr="0088307E">
              <w:rPr>
                <w:b w:val="0"/>
                <w:webHidden/>
              </w:rPr>
            </w:r>
            <w:r w:rsidRPr="0088307E">
              <w:rPr>
                <w:b w:val="0"/>
                <w:webHidden/>
              </w:rPr>
              <w:fldChar w:fldCharType="separate"/>
            </w:r>
            <w:r w:rsidR="00F80947">
              <w:rPr>
                <w:b w:val="0"/>
                <w:webHidden/>
              </w:rPr>
              <w:t>16</w:t>
            </w:r>
            <w:r w:rsidRPr="0088307E">
              <w:rPr>
                <w:b w:val="0"/>
                <w:webHidden/>
              </w:rPr>
              <w:fldChar w:fldCharType="end"/>
            </w:r>
          </w:hyperlink>
        </w:p>
        <w:p w14:paraId="44DE3C3D" w14:textId="6F5DDE23" w:rsidR="00AD73D1" w:rsidRPr="00AD73D1" w:rsidRDefault="00AD73D1">
          <w:pPr>
            <w:pStyle w:val="Obsah3"/>
            <w:rPr>
              <w:rFonts w:asciiTheme="minorHAnsi" w:eastAsiaTheme="minorEastAsia" w:hAnsiTheme="minorHAnsi" w:cstheme="minorBidi"/>
              <w:b w:val="0"/>
              <w:sz w:val="22"/>
              <w:szCs w:val="22"/>
            </w:rPr>
          </w:pPr>
          <w:hyperlink w:anchor="_Toc115787741" w:history="1">
            <w:r w:rsidRPr="0088307E">
              <w:rPr>
                <w:rStyle w:val="Hypertextovodkaz"/>
                <w:b w:val="0"/>
              </w:rPr>
              <w:t>3.2.3</w:t>
            </w:r>
            <w:r w:rsidRPr="00AD73D1">
              <w:rPr>
                <w:rFonts w:asciiTheme="minorHAnsi" w:eastAsiaTheme="minorEastAsia" w:hAnsiTheme="minorHAnsi" w:cstheme="minorBidi"/>
                <w:b w:val="0"/>
                <w:sz w:val="22"/>
                <w:szCs w:val="22"/>
              </w:rPr>
              <w:tab/>
            </w:r>
            <w:r w:rsidRPr="0088307E">
              <w:rPr>
                <w:rStyle w:val="Hypertextovodkaz"/>
                <w:b w:val="0"/>
              </w:rPr>
              <w:t>Organizační složky státu</w:t>
            </w:r>
            <w:r w:rsidRPr="0088307E">
              <w:rPr>
                <w:b w:val="0"/>
                <w:webHidden/>
              </w:rPr>
              <w:tab/>
            </w:r>
            <w:r w:rsidRPr="0088307E">
              <w:rPr>
                <w:b w:val="0"/>
                <w:webHidden/>
              </w:rPr>
              <w:fldChar w:fldCharType="begin"/>
            </w:r>
            <w:r w:rsidRPr="0088307E">
              <w:rPr>
                <w:b w:val="0"/>
                <w:webHidden/>
              </w:rPr>
              <w:instrText xml:space="preserve"> PAGEREF _Toc115787741 \h </w:instrText>
            </w:r>
            <w:r w:rsidRPr="0088307E">
              <w:rPr>
                <w:b w:val="0"/>
                <w:webHidden/>
              </w:rPr>
            </w:r>
            <w:r w:rsidRPr="0088307E">
              <w:rPr>
                <w:b w:val="0"/>
                <w:webHidden/>
              </w:rPr>
              <w:fldChar w:fldCharType="separate"/>
            </w:r>
            <w:r w:rsidR="00F80947">
              <w:rPr>
                <w:b w:val="0"/>
                <w:webHidden/>
              </w:rPr>
              <w:t>22</w:t>
            </w:r>
            <w:r w:rsidRPr="0088307E">
              <w:rPr>
                <w:b w:val="0"/>
                <w:webHidden/>
              </w:rPr>
              <w:fldChar w:fldCharType="end"/>
            </w:r>
          </w:hyperlink>
        </w:p>
        <w:p w14:paraId="1CB9C522" w14:textId="00D27445" w:rsidR="00AD73D1" w:rsidRPr="00AD73D1" w:rsidRDefault="00AD73D1">
          <w:pPr>
            <w:pStyle w:val="Obsah3"/>
            <w:rPr>
              <w:rFonts w:asciiTheme="minorHAnsi" w:eastAsiaTheme="minorEastAsia" w:hAnsiTheme="minorHAnsi" w:cstheme="minorBidi"/>
              <w:b w:val="0"/>
              <w:sz w:val="22"/>
              <w:szCs w:val="22"/>
            </w:rPr>
          </w:pPr>
          <w:hyperlink w:anchor="_Toc115787742" w:history="1">
            <w:r w:rsidRPr="0088307E">
              <w:rPr>
                <w:rStyle w:val="Hypertextovodkaz"/>
                <w:b w:val="0"/>
              </w:rPr>
              <w:t>3.2.4</w:t>
            </w:r>
            <w:r w:rsidRPr="00AD73D1">
              <w:rPr>
                <w:rFonts w:asciiTheme="minorHAnsi" w:eastAsiaTheme="minorEastAsia" w:hAnsiTheme="minorHAnsi" w:cstheme="minorBidi"/>
                <w:b w:val="0"/>
                <w:sz w:val="22"/>
                <w:szCs w:val="22"/>
              </w:rPr>
              <w:tab/>
            </w:r>
            <w:r w:rsidRPr="0088307E">
              <w:rPr>
                <w:rStyle w:val="Hypertextovodkaz"/>
                <w:b w:val="0"/>
              </w:rPr>
              <w:t>Zřízené příspěvkové organizace</w:t>
            </w:r>
            <w:r w:rsidRPr="0088307E">
              <w:rPr>
                <w:b w:val="0"/>
                <w:webHidden/>
              </w:rPr>
              <w:tab/>
            </w:r>
            <w:r w:rsidRPr="0088307E">
              <w:rPr>
                <w:b w:val="0"/>
                <w:webHidden/>
              </w:rPr>
              <w:fldChar w:fldCharType="begin"/>
            </w:r>
            <w:r w:rsidRPr="0088307E">
              <w:rPr>
                <w:b w:val="0"/>
                <w:webHidden/>
              </w:rPr>
              <w:instrText xml:space="preserve"> PAGEREF _Toc115787742 \h </w:instrText>
            </w:r>
            <w:r w:rsidRPr="0088307E">
              <w:rPr>
                <w:b w:val="0"/>
                <w:webHidden/>
              </w:rPr>
            </w:r>
            <w:r w:rsidRPr="0088307E">
              <w:rPr>
                <w:b w:val="0"/>
                <w:webHidden/>
              </w:rPr>
              <w:fldChar w:fldCharType="separate"/>
            </w:r>
            <w:r w:rsidR="00F80947">
              <w:rPr>
                <w:b w:val="0"/>
                <w:webHidden/>
              </w:rPr>
              <w:t>32</w:t>
            </w:r>
            <w:r w:rsidRPr="0088307E">
              <w:rPr>
                <w:b w:val="0"/>
                <w:webHidden/>
              </w:rPr>
              <w:fldChar w:fldCharType="end"/>
            </w:r>
          </w:hyperlink>
        </w:p>
        <w:p w14:paraId="1DCC5C15" w14:textId="6E0E657A" w:rsidR="00AD73D1" w:rsidRPr="00AD73D1" w:rsidRDefault="00AD73D1">
          <w:pPr>
            <w:pStyle w:val="Obsah3"/>
            <w:rPr>
              <w:rFonts w:asciiTheme="minorHAnsi" w:eastAsiaTheme="minorEastAsia" w:hAnsiTheme="minorHAnsi" w:cstheme="minorBidi"/>
              <w:b w:val="0"/>
              <w:sz w:val="22"/>
              <w:szCs w:val="22"/>
            </w:rPr>
          </w:pPr>
          <w:hyperlink w:anchor="_Toc115787794" w:history="1">
            <w:r w:rsidRPr="0088307E">
              <w:rPr>
                <w:rStyle w:val="Hypertextovodkaz"/>
                <w:b w:val="0"/>
              </w:rPr>
              <w:t>3.2.5</w:t>
            </w:r>
            <w:r w:rsidRPr="00AD73D1">
              <w:rPr>
                <w:rFonts w:asciiTheme="minorHAnsi" w:eastAsiaTheme="minorEastAsia" w:hAnsiTheme="minorHAnsi" w:cstheme="minorBidi"/>
                <w:b w:val="0"/>
                <w:sz w:val="22"/>
                <w:szCs w:val="22"/>
              </w:rPr>
              <w:tab/>
            </w:r>
            <w:r w:rsidRPr="0088307E">
              <w:rPr>
                <w:rStyle w:val="Hypertextovodkaz"/>
                <w:b w:val="0"/>
              </w:rPr>
              <w:t>Neinvestiční transfery ostatním příspěvkovým a podobným organizacím</w:t>
            </w:r>
            <w:r w:rsidRPr="0088307E">
              <w:rPr>
                <w:b w:val="0"/>
                <w:webHidden/>
              </w:rPr>
              <w:tab/>
            </w:r>
            <w:r w:rsidRPr="0088307E">
              <w:rPr>
                <w:b w:val="0"/>
                <w:webHidden/>
              </w:rPr>
              <w:fldChar w:fldCharType="begin"/>
            </w:r>
            <w:r w:rsidRPr="0088307E">
              <w:rPr>
                <w:b w:val="0"/>
                <w:webHidden/>
              </w:rPr>
              <w:instrText xml:space="preserve"> PAGEREF _Toc115787794 \h </w:instrText>
            </w:r>
            <w:r w:rsidRPr="0088307E">
              <w:rPr>
                <w:b w:val="0"/>
                <w:webHidden/>
              </w:rPr>
            </w:r>
            <w:r w:rsidRPr="0088307E">
              <w:rPr>
                <w:b w:val="0"/>
                <w:webHidden/>
              </w:rPr>
              <w:fldChar w:fldCharType="separate"/>
            </w:r>
            <w:r w:rsidR="00F80947">
              <w:rPr>
                <w:b w:val="0"/>
                <w:webHidden/>
              </w:rPr>
              <w:t>34</w:t>
            </w:r>
            <w:r w:rsidRPr="0088307E">
              <w:rPr>
                <w:b w:val="0"/>
                <w:webHidden/>
              </w:rPr>
              <w:fldChar w:fldCharType="end"/>
            </w:r>
          </w:hyperlink>
        </w:p>
        <w:p w14:paraId="43F543FB" w14:textId="7F2D69F9" w:rsidR="00AD73D1" w:rsidRPr="00AD73D1" w:rsidRDefault="00AD73D1">
          <w:pPr>
            <w:pStyle w:val="Obsah3"/>
            <w:rPr>
              <w:rFonts w:asciiTheme="minorHAnsi" w:eastAsiaTheme="minorEastAsia" w:hAnsiTheme="minorHAnsi" w:cstheme="minorBidi"/>
              <w:b w:val="0"/>
              <w:sz w:val="22"/>
              <w:szCs w:val="22"/>
            </w:rPr>
          </w:pPr>
          <w:hyperlink w:anchor="_Toc115787795" w:history="1">
            <w:r w:rsidRPr="0088307E">
              <w:rPr>
                <w:rStyle w:val="Hypertextovodkaz"/>
                <w:b w:val="0"/>
              </w:rPr>
              <w:t>3.2.6</w:t>
            </w:r>
            <w:r w:rsidRPr="00AD73D1">
              <w:rPr>
                <w:rFonts w:asciiTheme="minorHAnsi" w:eastAsiaTheme="minorEastAsia" w:hAnsiTheme="minorHAnsi" w:cstheme="minorBidi"/>
                <w:b w:val="0"/>
                <w:sz w:val="22"/>
                <w:szCs w:val="22"/>
              </w:rPr>
              <w:tab/>
            </w:r>
            <w:r w:rsidRPr="0088307E">
              <w:rPr>
                <w:rStyle w:val="Hypertextovodkaz"/>
                <w:b w:val="0"/>
              </w:rPr>
              <w:t>Neinvestiční transfery podnikatelským subjektům</w:t>
            </w:r>
            <w:r w:rsidRPr="0088307E">
              <w:rPr>
                <w:b w:val="0"/>
                <w:webHidden/>
              </w:rPr>
              <w:tab/>
            </w:r>
            <w:r w:rsidRPr="0088307E">
              <w:rPr>
                <w:b w:val="0"/>
                <w:webHidden/>
              </w:rPr>
              <w:fldChar w:fldCharType="begin"/>
            </w:r>
            <w:r w:rsidRPr="0088307E">
              <w:rPr>
                <w:b w:val="0"/>
                <w:webHidden/>
              </w:rPr>
              <w:instrText xml:space="preserve"> PAGEREF _Toc115787795 \h </w:instrText>
            </w:r>
            <w:r w:rsidRPr="0088307E">
              <w:rPr>
                <w:b w:val="0"/>
                <w:webHidden/>
              </w:rPr>
            </w:r>
            <w:r w:rsidRPr="0088307E">
              <w:rPr>
                <w:b w:val="0"/>
                <w:webHidden/>
              </w:rPr>
              <w:fldChar w:fldCharType="separate"/>
            </w:r>
            <w:r w:rsidR="00F80947">
              <w:rPr>
                <w:b w:val="0"/>
                <w:webHidden/>
              </w:rPr>
              <w:t>35</w:t>
            </w:r>
            <w:r w:rsidRPr="0088307E">
              <w:rPr>
                <w:b w:val="0"/>
                <w:webHidden/>
              </w:rPr>
              <w:fldChar w:fldCharType="end"/>
            </w:r>
          </w:hyperlink>
        </w:p>
        <w:p w14:paraId="333DD06C" w14:textId="2C9F0463" w:rsidR="00AD73D1" w:rsidRPr="00AD73D1" w:rsidRDefault="00AD73D1">
          <w:pPr>
            <w:pStyle w:val="Obsah3"/>
            <w:rPr>
              <w:rFonts w:asciiTheme="minorHAnsi" w:eastAsiaTheme="minorEastAsia" w:hAnsiTheme="minorHAnsi" w:cstheme="minorBidi"/>
              <w:b w:val="0"/>
              <w:sz w:val="22"/>
              <w:szCs w:val="22"/>
            </w:rPr>
          </w:pPr>
          <w:hyperlink w:anchor="_Toc115787796" w:history="1">
            <w:r w:rsidRPr="0088307E">
              <w:rPr>
                <w:rStyle w:val="Hypertextovodkaz"/>
                <w:b w:val="0"/>
              </w:rPr>
              <w:t>3.2.7</w:t>
            </w:r>
            <w:r w:rsidRPr="00AD73D1">
              <w:rPr>
                <w:rFonts w:asciiTheme="minorHAnsi" w:eastAsiaTheme="minorEastAsia" w:hAnsiTheme="minorHAnsi" w:cstheme="minorBidi"/>
                <w:b w:val="0"/>
                <w:sz w:val="22"/>
                <w:szCs w:val="22"/>
              </w:rPr>
              <w:tab/>
            </w:r>
            <w:r w:rsidRPr="0088307E">
              <w:rPr>
                <w:rStyle w:val="Hypertextovodkaz"/>
                <w:b w:val="0"/>
              </w:rPr>
              <w:t>Neinvestiční transfery veřejným rozpočtům územní úrovně</w:t>
            </w:r>
            <w:r w:rsidRPr="0088307E">
              <w:rPr>
                <w:b w:val="0"/>
                <w:webHidden/>
              </w:rPr>
              <w:tab/>
            </w:r>
            <w:r w:rsidRPr="0088307E">
              <w:rPr>
                <w:b w:val="0"/>
                <w:webHidden/>
              </w:rPr>
              <w:fldChar w:fldCharType="begin"/>
            </w:r>
            <w:r w:rsidRPr="0088307E">
              <w:rPr>
                <w:b w:val="0"/>
                <w:webHidden/>
              </w:rPr>
              <w:instrText xml:space="preserve"> PAGEREF _Toc115787796 \h </w:instrText>
            </w:r>
            <w:r w:rsidRPr="0088307E">
              <w:rPr>
                <w:b w:val="0"/>
                <w:webHidden/>
              </w:rPr>
            </w:r>
            <w:r w:rsidRPr="0088307E">
              <w:rPr>
                <w:b w:val="0"/>
                <w:webHidden/>
              </w:rPr>
              <w:fldChar w:fldCharType="separate"/>
            </w:r>
            <w:r w:rsidR="00F80947">
              <w:rPr>
                <w:b w:val="0"/>
                <w:webHidden/>
              </w:rPr>
              <w:t>37</w:t>
            </w:r>
            <w:r w:rsidRPr="0088307E">
              <w:rPr>
                <w:b w:val="0"/>
                <w:webHidden/>
              </w:rPr>
              <w:fldChar w:fldCharType="end"/>
            </w:r>
          </w:hyperlink>
        </w:p>
        <w:p w14:paraId="657189B6" w14:textId="78A9A289" w:rsidR="00AD73D1" w:rsidRPr="00AD73D1" w:rsidRDefault="00AD73D1">
          <w:pPr>
            <w:pStyle w:val="Obsah3"/>
            <w:rPr>
              <w:rFonts w:asciiTheme="minorHAnsi" w:eastAsiaTheme="minorEastAsia" w:hAnsiTheme="minorHAnsi" w:cstheme="minorBidi"/>
              <w:b w:val="0"/>
              <w:sz w:val="22"/>
              <w:szCs w:val="22"/>
            </w:rPr>
          </w:pPr>
          <w:hyperlink w:anchor="_Toc115787797" w:history="1">
            <w:r w:rsidRPr="0088307E">
              <w:rPr>
                <w:rStyle w:val="Hypertextovodkaz"/>
                <w:b w:val="0"/>
              </w:rPr>
              <w:t>3.2.8</w:t>
            </w:r>
            <w:r w:rsidRPr="00AD73D1">
              <w:rPr>
                <w:rFonts w:asciiTheme="minorHAnsi" w:eastAsiaTheme="minorEastAsia" w:hAnsiTheme="minorHAnsi" w:cstheme="minorBidi"/>
                <w:b w:val="0"/>
                <w:sz w:val="22"/>
                <w:szCs w:val="22"/>
              </w:rPr>
              <w:tab/>
            </w:r>
            <w:r w:rsidRPr="0088307E">
              <w:rPr>
                <w:rStyle w:val="Hypertextovodkaz"/>
                <w:b w:val="0"/>
              </w:rPr>
              <w:t>Neinvestiční transfery neziskovým a podobným organizacím</w:t>
            </w:r>
            <w:r w:rsidRPr="0088307E">
              <w:rPr>
                <w:b w:val="0"/>
                <w:webHidden/>
              </w:rPr>
              <w:tab/>
            </w:r>
            <w:r w:rsidRPr="0088307E">
              <w:rPr>
                <w:b w:val="0"/>
                <w:webHidden/>
              </w:rPr>
              <w:fldChar w:fldCharType="begin"/>
            </w:r>
            <w:r w:rsidRPr="0088307E">
              <w:rPr>
                <w:b w:val="0"/>
                <w:webHidden/>
              </w:rPr>
              <w:instrText xml:space="preserve"> PAGEREF _Toc115787797 \h </w:instrText>
            </w:r>
            <w:r w:rsidRPr="0088307E">
              <w:rPr>
                <w:b w:val="0"/>
                <w:webHidden/>
              </w:rPr>
            </w:r>
            <w:r w:rsidRPr="0088307E">
              <w:rPr>
                <w:b w:val="0"/>
                <w:webHidden/>
              </w:rPr>
              <w:fldChar w:fldCharType="separate"/>
            </w:r>
            <w:r w:rsidR="00F80947">
              <w:rPr>
                <w:b w:val="0"/>
                <w:webHidden/>
              </w:rPr>
              <w:t>39</w:t>
            </w:r>
            <w:r w:rsidRPr="0088307E">
              <w:rPr>
                <w:b w:val="0"/>
                <w:webHidden/>
              </w:rPr>
              <w:fldChar w:fldCharType="end"/>
            </w:r>
          </w:hyperlink>
        </w:p>
        <w:p w14:paraId="4FBCFA16" w14:textId="44FE4431" w:rsidR="00AD73D1" w:rsidRPr="00AD73D1" w:rsidRDefault="00AD73D1">
          <w:pPr>
            <w:pStyle w:val="Obsah3"/>
            <w:rPr>
              <w:rFonts w:asciiTheme="minorHAnsi" w:eastAsiaTheme="minorEastAsia" w:hAnsiTheme="minorHAnsi" w:cstheme="minorBidi"/>
              <w:b w:val="0"/>
              <w:sz w:val="22"/>
              <w:szCs w:val="22"/>
            </w:rPr>
          </w:pPr>
          <w:hyperlink w:anchor="_Toc115787798" w:history="1">
            <w:r w:rsidRPr="0088307E">
              <w:rPr>
                <w:rStyle w:val="Hypertextovodkaz"/>
                <w:b w:val="0"/>
              </w:rPr>
              <w:t>3.2.9</w:t>
            </w:r>
            <w:r w:rsidRPr="00AD73D1">
              <w:rPr>
                <w:rFonts w:asciiTheme="minorHAnsi" w:eastAsiaTheme="minorEastAsia" w:hAnsiTheme="minorHAnsi" w:cstheme="minorBidi"/>
                <w:b w:val="0"/>
                <w:sz w:val="22"/>
                <w:szCs w:val="22"/>
              </w:rPr>
              <w:tab/>
            </w:r>
            <w:r w:rsidRPr="0088307E">
              <w:rPr>
                <w:rStyle w:val="Hypertextovodkaz"/>
                <w:b w:val="0"/>
              </w:rPr>
              <w:t>Neinvestiční transfery do zahraničí</w:t>
            </w:r>
            <w:r w:rsidRPr="0088307E">
              <w:rPr>
                <w:b w:val="0"/>
                <w:webHidden/>
              </w:rPr>
              <w:tab/>
            </w:r>
            <w:r w:rsidRPr="0088307E">
              <w:rPr>
                <w:b w:val="0"/>
                <w:webHidden/>
              </w:rPr>
              <w:fldChar w:fldCharType="begin"/>
            </w:r>
            <w:r w:rsidRPr="0088307E">
              <w:rPr>
                <w:b w:val="0"/>
                <w:webHidden/>
              </w:rPr>
              <w:instrText xml:space="preserve"> PAGEREF _Toc115787798 \h </w:instrText>
            </w:r>
            <w:r w:rsidRPr="0088307E">
              <w:rPr>
                <w:b w:val="0"/>
                <w:webHidden/>
              </w:rPr>
            </w:r>
            <w:r w:rsidRPr="0088307E">
              <w:rPr>
                <w:b w:val="0"/>
                <w:webHidden/>
              </w:rPr>
              <w:fldChar w:fldCharType="separate"/>
            </w:r>
            <w:r w:rsidR="00F80947">
              <w:rPr>
                <w:b w:val="0"/>
                <w:webHidden/>
              </w:rPr>
              <w:t>39</w:t>
            </w:r>
            <w:r w:rsidRPr="0088307E">
              <w:rPr>
                <w:b w:val="0"/>
                <w:webHidden/>
              </w:rPr>
              <w:fldChar w:fldCharType="end"/>
            </w:r>
          </w:hyperlink>
        </w:p>
        <w:p w14:paraId="1FD2F835" w14:textId="0FFA7D5E" w:rsidR="00AD73D1" w:rsidRPr="00AD73D1" w:rsidRDefault="00AD73D1">
          <w:pPr>
            <w:pStyle w:val="Obsah3"/>
            <w:rPr>
              <w:rFonts w:asciiTheme="minorHAnsi" w:eastAsiaTheme="minorEastAsia" w:hAnsiTheme="minorHAnsi" w:cstheme="minorBidi"/>
              <w:b w:val="0"/>
              <w:sz w:val="22"/>
              <w:szCs w:val="22"/>
            </w:rPr>
          </w:pPr>
          <w:hyperlink w:anchor="_Toc115787799" w:history="1">
            <w:r w:rsidRPr="0088307E">
              <w:rPr>
                <w:rStyle w:val="Hypertextovodkaz"/>
                <w:b w:val="0"/>
              </w:rPr>
              <w:t>3.2.10</w:t>
            </w:r>
            <w:r w:rsidRPr="00AD73D1">
              <w:rPr>
                <w:rFonts w:asciiTheme="minorHAnsi" w:eastAsiaTheme="minorEastAsia" w:hAnsiTheme="minorHAnsi" w:cstheme="minorBidi"/>
                <w:b w:val="0"/>
                <w:sz w:val="22"/>
                <w:szCs w:val="22"/>
              </w:rPr>
              <w:tab/>
            </w:r>
            <w:r w:rsidRPr="0088307E">
              <w:rPr>
                <w:rStyle w:val="Hypertextovodkaz"/>
                <w:b w:val="0"/>
              </w:rPr>
              <w:t>Neinvestiční transfery státním fondům</w:t>
            </w:r>
            <w:r w:rsidRPr="0088307E">
              <w:rPr>
                <w:b w:val="0"/>
                <w:webHidden/>
              </w:rPr>
              <w:tab/>
            </w:r>
            <w:r w:rsidRPr="0088307E">
              <w:rPr>
                <w:b w:val="0"/>
                <w:webHidden/>
              </w:rPr>
              <w:fldChar w:fldCharType="begin"/>
            </w:r>
            <w:r w:rsidRPr="0088307E">
              <w:rPr>
                <w:b w:val="0"/>
                <w:webHidden/>
              </w:rPr>
              <w:instrText xml:space="preserve"> PAGEREF _Toc115787799 \h </w:instrText>
            </w:r>
            <w:r w:rsidRPr="0088307E">
              <w:rPr>
                <w:b w:val="0"/>
                <w:webHidden/>
              </w:rPr>
            </w:r>
            <w:r w:rsidRPr="0088307E">
              <w:rPr>
                <w:b w:val="0"/>
                <w:webHidden/>
              </w:rPr>
              <w:fldChar w:fldCharType="separate"/>
            </w:r>
            <w:r w:rsidR="00F80947">
              <w:rPr>
                <w:b w:val="0"/>
                <w:webHidden/>
              </w:rPr>
              <w:t>40</w:t>
            </w:r>
            <w:r w:rsidRPr="0088307E">
              <w:rPr>
                <w:b w:val="0"/>
                <w:webHidden/>
              </w:rPr>
              <w:fldChar w:fldCharType="end"/>
            </w:r>
          </w:hyperlink>
        </w:p>
        <w:p w14:paraId="7B88D767" w14:textId="2A129CA7" w:rsidR="00AD73D1" w:rsidRPr="00AD73D1" w:rsidRDefault="00AD73D1">
          <w:pPr>
            <w:pStyle w:val="Obsah2"/>
            <w:rPr>
              <w:rFonts w:asciiTheme="minorHAnsi" w:eastAsiaTheme="minorEastAsia" w:hAnsiTheme="minorHAnsi" w:cstheme="minorBidi"/>
              <w:bCs w:val="0"/>
              <w:sz w:val="22"/>
              <w:szCs w:val="22"/>
            </w:rPr>
          </w:pPr>
          <w:hyperlink w:anchor="_Toc115787800" w:history="1">
            <w:r w:rsidRPr="00AD73D1">
              <w:rPr>
                <w:rStyle w:val="Hypertextovodkaz"/>
              </w:rPr>
              <w:t>3.3</w:t>
            </w:r>
            <w:r w:rsidRPr="00AD73D1">
              <w:rPr>
                <w:rFonts w:asciiTheme="minorHAnsi" w:eastAsiaTheme="minorEastAsia" w:hAnsiTheme="minorHAnsi" w:cstheme="minorBidi"/>
                <w:bCs w:val="0"/>
                <w:sz w:val="22"/>
                <w:szCs w:val="22"/>
              </w:rPr>
              <w:tab/>
            </w:r>
            <w:r w:rsidRPr="00AD73D1">
              <w:rPr>
                <w:rStyle w:val="Hypertextovodkaz"/>
              </w:rPr>
              <w:t>Kapitálové výdaje</w:t>
            </w:r>
            <w:r w:rsidRPr="00AD73D1">
              <w:rPr>
                <w:webHidden/>
              </w:rPr>
              <w:tab/>
            </w:r>
            <w:r w:rsidRPr="00035CD3">
              <w:rPr>
                <w:webHidden/>
              </w:rPr>
              <w:fldChar w:fldCharType="begin"/>
            </w:r>
            <w:r w:rsidRPr="00AD73D1">
              <w:rPr>
                <w:webHidden/>
              </w:rPr>
              <w:instrText xml:space="preserve"> PAGEREF _Toc115787800 \h </w:instrText>
            </w:r>
            <w:r w:rsidRPr="00035CD3">
              <w:rPr>
                <w:webHidden/>
              </w:rPr>
            </w:r>
            <w:r w:rsidRPr="00035CD3">
              <w:rPr>
                <w:webHidden/>
              </w:rPr>
              <w:fldChar w:fldCharType="separate"/>
            </w:r>
            <w:r w:rsidR="00F80947">
              <w:rPr>
                <w:webHidden/>
              </w:rPr>
              <w:t>41</w:t>
            </w:r>
            <w:r w:rsidRPr="00035CD3">
              <w:rPr>
                <w:webHidden/>
              </w:rPr>
              <w:fldChar w:fldCharType="end"/>
            </w:r>
          </w:hyperlink>
        </w:p>
        <w:p w14:paraId="4BBC7591" w14:textId="3F169DFB" w:rsidR="00AD73D1" w:rsidRPr="00AD73D1" w:rsidRDefault="00AD73D1">
          <w:pPr>
            <w:pStyle w:val="Obsah3"/>
            <w:rPr>
              <w:rFonts w:asciiTheme="minorHAnsi" w:eastAsiaTheme="minorEastAsia" w:hAnsiTheme="minorHAnsi" w:cstheme="minorBidi"/>
              <w:b w:val="0"/>
              <w:sz w:val="22"/>
              <w:szCs w:val="22"/>
            </w:rPr>
          </w:pPr>
          <w:hyperlink w:anchor="_Toc115787801" w:history="1">
            <w:r w:rsidRPr="0088307E">
              <w:rPr>
                <w:rStyle w:val="Hypertextovodkaz"/>
                <w:b w:val="0"/>
              </w:rPr>
              <w:t>3.3.1</w:t>
            </w:r>
            <w:r w:rsidRPr="00AD73D1">
              <w:rPr>
                <w:rFonts w:asciiTheme="minorHAnsi" w:eastAsiaTheme="minorEastAsia" w:hAnsiTheme="minorHAnsi" w:cstheme="minorBidi"/>
                <w:b w:val="0"/>
                <w:sz w:val="22"/>
                <w:szCs w:val="22"/>
              </w:rPr>
              <w:tab/>
            </w:r>
            <w:r w:rsidRPr="0088307E">
              <w:rPr>
                <w:rStyle w:val="Hypertextovodkaz"/>
                <w:b w:val="0"/>
              </w:rPr>
              <w:t>Investiční transfery veřejným výzkumným institucím</w:t>
            </w:r>
            <w:r w:rsidRPr="0088307E">
              <w:rPr>
                <w:b w:val="0"/>
                <w:webHidden/>
              </w:rPr>
              <w:tab/>
            </w:r>
            <w:r w:rsidRPr="0088307E">
              <w:rPr>
                <w:b w:val="0"/>
                <w:webHidden/>
              </w:rPr>
              <w:fldChar w:fldCharType="begin"/>
            </w:r>
            <w:r w:rsidRPr="0088307E">
              <w:rPr>
                <w:b w:val="0"/>
                <w:webHidden/>
              </w:rPr>
              <w:instrText xml:space="preserve"> PAGEREF _Toc115787801 \h </w:instrText>
            </w:r>
            <w:r w:rsidRPr="0088307E">
              <w:rPr>
                <w:b w:val="0"/>
                <w:webHidden/>
              </w:rPr>
            </w:r>
            <w:r w:rsidRPr="0088307E">
              <w:rPr>
                <w:b w:val="0"/>
                <w:webHidden/>
              </w:rPr>
              <w:fldChar w:fldCharType="separate"/>
            </w:r>
            <w:r w:rsidR="00F80947">
              <w:rPr>
                <w:b w:val="0"/>
                <w:webHidden/>
              </w:rPr>
              <w:t>42</w:t>
            </w:r>
            <w:r w:rsidRPr="0088307E">
              <w:rPr>
                <w:b w:val="0"/>
                <w:webHidden/>
              </w:rPr>
              <w:fldChar w:fldCharType="end"/>
            </w:r>
          </w:hyperlink>
        </w:p>
        <w:p w14:paraId="17F70BED" w14:textId="54D47916" w:rsidR="00AD73D1" w:rsidRPr="00AD73D1" w:rsidRDefault="00AD73D1">
          <w:pPr>
            <w:pStyle w:val="Obsah3"/>
            <w:rPr>
              <w:rFonts w:asciiTheme="minorHAnsi" w:eastAsiaTheme="minorEastAsia" w:hAnsiTheme="minorHAnsi" w:cstheme="minorBidi"/>
              <w:b w:val="0"/>
              <w:sz w:val="22"/>
              <w:szCs w:val="22"/>
            </w:rPr>
          </w:pPr>
          <w:hyperlink w:anchor="_Toc115787837" w:history="1">
            <w:r w:rsidRPr="0088307E">
              <w:rPr>
                <w:rStyle w:val="Hypertextovodkaz"/>
                <w:b w:val="0"/>
              </w:rPr>
              <w:t>3.3.2</w:t>
            </w:r>
            <w:r w:rsidRPr="00AD73D1">
              <w:rPr>
                <w:rFonts w:asciiTheme="minorHAnsi" w:eastAsiaTheme="minorEastAsia" w:hAnsiTheme="minorHAnsi" w:cstheme="minorBidi"/>
                <w:b w:val="0"/>
                <w:sz w:val="22"/>
                <w:szCs w:val="22"/>
              </w:rPr>
              <w:tab/>
            </w:r>
            <w:r w:rsidRPr="0088307E">
              <w:rPr>
                <w:rStyle w:val="Hypertextovodkaz"/>
                <w:b w:val="0"/>
              </w:rPr>
              <w:t>Kapitálové výdaje (prostředky EU – programovací období 2021-2027), vedené mimo programové financování EDS/SMVS</w:t>
            </w:r>
            <w:r w:rsidRPr="0088307E">
              <w:rPr>
                <w:b w:val="0"/>
                <w:webHidden/>
              </w:rPr>
              <w:tab/>
            </w:r>
            <w:r w:rsidRPr="0088307E">
              <w:rPr>
                <w:b w:val="0"/>
                <w:webHidden/>
              </w:rPr>
              <w:fldChar w:fldCharType="begin"/>
            </w:r>
            <w:r w:rsidRPr="0088307E">
              <w:rPr>
                <w:b w:val="0"/>
                <w:webHidden/>
              </w:rPr>
              <w:instrText xml:space="preserve"> PAGEREF _Toc115787837 \h </w:instrText>
            </w:r>
            <w:r w:rsidRPr="0088307E">
              <w:rPr>
                <w:b w:val="0"/>
                <w:webHidden/>
              </w:rPr>
            </w:r>
            <w:r w:rsidRPr="0088307E">
              <w:rPr>
                <w:b w:val="0"/>
                <w:webHidden/>
              </w:rPr>
              <w:fldChar w:fldCharType="separate"/>
            </w:r>
            <w:r w:rsidR="00F80947">
              <w:rPr>
                <w:b w:val="0"/>
                <w:webHidden/>
              </w:rPr>
              <w:t>43</w:t>
            </w:r>
            <w:r w:rsidRPr="0088307E">
              <w:rPr>
                <w:b w:val="0"/>
                <w:webHidden/>
              </w:rPr>
              <w:fldChar w:fldCharType="end"/>
            </w:r>
          </w:hyperlink>
        </w:p>
        <w:p w14:paraId="7B914B2D" w14:textId="181CE79C" w:rsidR="00AD73D1" w:rsidRPr="00AD73D1" w:rsidRDefault="00AD73D1">
          <w:pPr>
            <w:pStyle w:val="Obsah2"/>
            <w:rPr>
              <w:rFonts w:asciiTheme="minorHAnsi" w:eastAsiaTheme="minorEastAsia" w:hAnsiTheme="minorHAnsi" w:cstheme="minorBidi"/>
              <w:bCs w:val="0"/>
              <w:sz w:val="22"/>
              <w:szCs w:val="22"/>
            </w:rPr>
          </w:pPr>
          <w:hyperlink w:anchor="_Toc115787839" w:history="1">
            <w:r w:rsidRPr="00AD73D1">
              <w:rPr>
                <w:rStyle w:val="Hypertextovodkaz"/>
              </w:rPr>
              <w:t>3.4</w:t>
            </w:r>
            <w:r w:rsidRPr="00AD73D1">
              <w:rPr>
                <w:rFonts w:asciiTheme="minorHAnsi" w:eastAsiaTheme="minorEastAsia" w:hAnsiTheme="minorHAnsi" w:cstheme="minorBidi"/>
                <w:bCs w:val="0"/>
                <w:sz w:val="22"/>
                <w:szCs w:val="22"/>
              </w:rPr>
              <w:tab/>
            </w:r>
            <w:r w:rsidRPr="00AD73D1">
              <w:rPr>
                <w:rStyle w:val="Hypertextovodkaz"/>
              </w:rPr>
              <w:t>Výdaje vedené v informačním systému programového financování EDS/SMVS</w:t>
            </w:r>
            <w:r w:rsidRPr="00AD73D1">
              <w:rPr>
                <w:webHidden/>
              </w:rPr>
              <w:tab/>
            </w:r>
            <w:r w:rsidRPr="00035CD3">
              <w:rPr>
                <w:webHidden/>
              </w:rPr>
              <w:fldChar w:fldCharType="begin"/>
            </w:r>
            <w:r w:rsidRPr="00AD73D1">
              <w:rPr>
                <w:webHidden/>
              </w:rPr>
              <w:instrText xml:space="preserve"> PAGEREF _Toc115787839 \h </w:instrText>
            </w:r>
            <w:r w:rsidRPr="00035CD3">
              <w:rPr>
                <w:webHidden/>
              </w:rPr>
            </w:r>
            <w:r w:rsidRPr="00035CD3">
              <w:rPr>
                <w:webHidden/>
              </w:rPr>
              <w:fldChar w:fldCharType="separate"/>
            </w:r>
            <w:r w:rsidR="00F80947">
              <w:rPr>
                <w:webHidden/>
              </w:rPr>
              <w:t>44</w:t>
            </w:r>
            <w:r w:rsidRPr="00035CD3">
              <w:rPr>
                <w:webHidden/>
              </w:rPr>
              <w:fldChar w:fldCharType="end"/>
            </w:r>
          </w:hyperlink>
        </w:p>
        <w:p w14:paraId="1C73AD4D" w14:textId="71AF9779" w:rsidR="00AD73D1" w:rsidRPr="00AD73D1" w:rsidRDefault="00AD73D1">
          <w:pPr>
            <w:pStyle w:val="Obsah3"/>
            <w:rPr>
              <w:rFonts w:asciiTheme="minorHAnsi" w:eastAsiaTheme="minorEastAsia" w:hAnsiTheme="minorHAnsi" w:cstheme="minorBidi"/>
              <w:b w:val="0"/>
              <w:sz w:val="22"/>
              <w:szCs w:val="22"/>
            </w:rPr>
          </w:pPr>
          <w:hyperlink w:anchor="_Toc115787901" w:history="1">
            <w:r w:rsidRPr="0088307E">
              <w:rPr>
                <w:rStyle w:val="Hypertextovodkaz"/>
                <w:b w:val="0"/>
              </w:rPr>
              <w:t>3.4.1</w:t>
            </w:r>
            <w:r w:rsidRPr="00AD73D1">
              <w:rPr>
                <w:rFonts w:asciiTheme="minorHAnsi" w:eastAsiaTheme="minorEastAsia" w:hAnsiTheme="minorHAnsi" w:cstheme="minorBidi"/>
                <w:b w:val="0"/>
                <w:sz w:val="22"/>
                <w:szCs w:val="22"/>
              </w:rPr>
              <w:tab/>
            </w:r>
            <w:r w:rsidRPr="0088307E">
              <w:rPr>
                <w:rStyle w:val="Hypertextovodkaz"/>
                <w:b w:val="0"/>
              </w:rPr>
              <w:t>Organizační složky státu</w:t>
            </w:r>
            <w:r w:rsidRPr="0088307E">
              <w:rPr>
                <w:b w:val="0"/>
                <w:webHidden/>
              </w:rPr>
              <w:tab/>
            </w:r>
            <w:r w:rsidRPr="0088307E">
              <w:rPr>
                <w:b w:val="0"/>
                <w:webHidden/>
              </w:rPr>
              <w:fldChar w:fldCharType="begin"/>
            </w:r>
            <w:r w:rsidRPr="0088307E">
              <w:rPr>
                <w:b w:val="0"/>
                <w:webHidden/>
              </w:rPr>
              <w:instrText xml:space="preserve"> PAGEREF _Toc115787901 \h </w:instrText>
            </w:r>
            <w:r w:rsidRPr="0088307E">
              <w:rPr>
                <w:b w:val="0"/>
                <w:webHidden/>
              </w:rPr>
            </w:r>
            <w:r w:rsidRPr="0088307E">
              <w:rPr>
                <w:b w:val="0"/>
                <w:webHidden/>
              </w:rPr>
              <w:fldChar w:fldCharType="separate"/>
            </w:r>
            <w:r w:rsidR="00F80947">
              <w:rPr>
                <w:b w:val="0"/>
                <w:webHidden/>
              </w:rPr>
              <w:t>44</w:t>
            </w:r>
            <w:r w:rsidRPr="0088307E">
              <w:rPr>
                <w:b w:val="0"/>
                <w:webHidden/>
              </w:rPr>
              <w:fldChar w:fldCharType="end"/>
            </w:r>
          </w:hyperlink>
        </w:p>
        <w:p w14:paraId="1CCC2C1B" w14:textId="200F3EF1" w:rsidR="00AD73D1" w:rsidRPr="00AD73D1" w:rsidRDefault="00AD73D1">
          <w:pPr>
            <w:pStyle w:val="Obsah3"/>
            <w:rPr>
              <w:rFonts w:asciiTheme="minorHAnsi" w:eastAsiaTheme="minorEastAsia" w:hAnsiTheme="minorHAnsi" w:cstheme="minorBidi"/>
              <w:b w:val="0"/>
              <w:sz w:val="22"/>
              <w:szCs w:val="22"/>
            </w:rPr>
          </w:pPr>
          <w:hyperlink w:anchor="_Toc115787905" w:history="1">
            <w:r w:rsidRPr="0088307E">
              <w:rPr>
                <w:rStyle w:val="Hypertextovodkaz"/>
                <w:b w:val="0"/>
              </w:rPr>
              <w:t>3.4.2</w:t>
            </w:r>
            <w:r w:rsidRPr="00AD73D1">
              <w:rPr>
                <w:rFonts w:asciiTheme="minorHAnsi" w:eastAsiaTheme="minorEastAsia" w:hAnsiTheme="minorHAnsi" w:cstheme="minorBidi"/>
                <w:b w:val="0"/>
                <w:sz w:val="22"/>
                <w:szCs w:val="22"/>
              </w:rPr>
              <w:tab/>
            </w:r>
            <w:r w:rsidRPr="0088307E">
              <w:rPr>
                <w:rFonts w:eastAsiaTheme="minorEastAsia"/>
                <w:b w:val="0"/>
              </w:rPr>
              <w:t>Zřízené p</w:t>
            </w:r>
            <w:r w:rsidRPr="0088307E">
              <w:rPr>
                <w:rStyle w:val="Hypertextovodkaz"/>
                <w:b w:val="0"/>
              </w:rPr>
              <w:t>říspěvkové organizace</w:t>
            </w:r>
            <w:r w:rsidRPr="0088307E">
              <w:rPr>
                <w:b w:val="0"/>
                <w:webHidden/>
              </w:rPr>
              <w:tab/>
            </w:r>
            <w:r w:rsidRPr="0088307E">
              <w:rPr>
                <w:b w:val="0"/>
                <w:webHidden/>
              </w:rPr>
              <w:fldChar w:fldCharType="begin"/>
            </w:r>
            <w:r w:rsidRPr="0088307E">
              <w:rPr>
                <w:b w:val="0"/>
                <w:webHidden/>
              </w:rPr>
              <w:instrText xml:space="preserve"> PAGEREF _Toc115787905 \h </w:instrText>
            </w:r>
            <w:r w:rsidRPr="0088307E">
              <w:rPr>
                <w:b w:val="0"/>
                <w:webHidden/>
              </w:rPr>
            </w:r>
            <w:r w:rsidRPr="0088307E">
              <w:rPr>
                <w:b w:val="0"/>
                <w:webHidden/>
              </w:rPr>
              <w:fldChar w:fldCharType="separate"/>
            </w:r>
            <w:r w:rsidR="00F80947">
              <w:rPr>
                <w:b w:val="0"/>
                <w:webHidden/>
              </w:rPr>
              <w:t>48</w:t>
            </w:r>
            <w:r w:rsidRPr="0088307E">
              <w:rPr>
                <w:b w:val="0"/>
                <w:webHidden/>
              </w:rPr>
              <w:fldChar w:fldCharType="end"/>
            </w:r>
          </w:hyperlink>
        </w:p>
        <w:p w14:paraId="5FC4C613" w14:textId="6A84AE17" w:rsidR="00AD73D1" w:rsidRPr="00AD73D1" w:rsidRDefault="00AD73D1">
          <w:pPr>
            <w:pStyle w:val="Obsah3"/>
            <w:rPr>
              <w:rFonts w:asciiTheme="minorHAnsi" w:eastAsiaTheme="minorEastAsia" w:hAnsiTheme="minorHAnsi" w:cstheme="minorBidi"/>
              <w:b w:val="0"/>
              <w:sz w:val="22"/>
              <w:szCs w:val="22"/>
            </w:rPr>
          </w:pPr>
          <w:hyperlink w:anchor="_Toc115787906" w:history="1">
            <w:r w:rsidRPr="0088307E">
              <w:rPr>
                <w:rStyle w:val="Hypertextovodkaz"/>
                <w:b w:val="0"/>
              </w:rPr>
              <w:t>3.4.3</w:t>
            </w:r>
            <w:r w:rsidRPr="00AD73D1">
              <w:rPr>
                <w:rFonts w:asciiTheme="minorHAnsi" w:eastAsiaTheme="minorEastAsia" w:hAnsiTheme="minorHAnsi" w:cstheme="minorBidi"/>
                <w:b w:val="0"/>
                <w:sz w:val="22"/>
                <w:szCs w:val="22"/>
              </w:rPr>
              <w:tab/>
            </w:r>
            <w:r w:rsidRPr="0088307E">
              <w:rPr>
                <w:rStyle w:val="Hypertextovodkaz"/>
                <w:b w:val="0"/>
              </w:rPr>
              <w:t>Podnikatelské subjekty</w:t>
            </w:r>
            <w:r w:rsidRPr="0088307E">
              <w:rPr>
                <w:b w:val="0"/>
                <w:webHidden/>
              </w:rPr>
              <w:tab/>
            </w:r>
            <w:r w:rsidRPr="0088307E">
              <w:rPr>
                <w:b w:val="0"/>
                <w:webHidden/>
              </w:rPr>
              <w:fldChar w:fldCharType="begin"/>
            </w:r>
            <w:r w:rsidRPr="0088307E">
              <w:rPr>
                <w:b w:val="0"/>
                <w:webHidden/>
              </w:rPr>
              <w:instrText xml:space="preserve"> PAGEREF _Toc115787906 \h </w:instrText>
            </w:r>
            <w:r w:rsidRPr="0088307E">
              <w:rPr>
                <w:b w:val="0"/>
                <w:webHidden/>
              </w:rPr>
            </w:r>
            <w:r w:rsidRPr="0088307E">
              <w:rPr>
                <w:b w:val="0"/>
                <w:webHidden/>
              </w:rPr>
              <w:fldChar w:fldCharType="separate"/>
            </w:r>
            <w:r w:rsidR="00F80947">
              <w:rPr>
                <w:b w:val="0"/>
                <w:webHidden/>
              </w:rPr>
              <w:t>49</w:t>
            </w:r>
            <w:r w:rsidRPr="0088307E">
              <w:rPr>
                <w:b w:val="0"/>
                <w:webHidden/>
              </w:rPr>
              <w:fldChar w:fldCharType="end"/>
            </w:r>
          </w:hyperlink>
        </w:p>
        <w:p w14:paraId="1AEF9E92" w14:textId="483A582D" w:rsidR="00AD73D1" w:rsidRPr="00AD73D1" w:rsidRDefault="00AD73D1">
          <w:pPr>
            <w:pStyle w:val="Obsah3"/>
            <w:rPr>
              <w:rFonts w:asciiTheme="minorHAnsi" w:eastAsiaTheme="minorEastAsia" w:hAnsiTheme="minorHAnsi" w:cstheme="minorBidi"/>
              <w:b w:val="0"/>
              <w:sz w:val="22"/>
              <w:szCs w:val="22"/>
            </w:rPr>
          </w:pPr>
          <w:hyperlink w:anchor="_Toc115787907" w:history="1">
            <w:r w:rsidRPr="0088307E">
              <w:rPr>
                <w:rStyle w:val="Hypertextovodkaz"/>
                <w:b w:val="0"/>
              </w:rPr>
              <w:t>3.4.4</w:t>
            </w:r>
            <w:r w:rsidRPr="00AD73D1">
              <w:rPr>
                <w:rFonts w:asciiTheme="minorHAnsi" w:eastAsiaTheme="minorEastAsia" w:hAnsiTheme="minorHAnsi" w:cstheme="minorBidi"/>
                <w:b w:val="0"/>
                <w:sz w:val="22"/>
                <w:szCs w:val="22"/>
              </w:rPr>
              <w:tab/>
            </w:r>
            <w:r w:rsidRPr="0088307E">
              <w:rPr>
                <w:rStyle w:val="Hypertextovodkaz"/>
                <w:b w:val="0"/>
              </w:rPr>
              <w:t>Státní fondy</w:t>
            </w:r>
            <w:r w:rsidRPr="0088307E">
              <w:rPr>
                <w:b w:val="0"/>
                <w:webHidden/>
              </w:rPr>
              <w:tab/>
            </w:r>
            <w:r w:rsidRPr="0088307E">
              <w:rPr>
                <w:b w:val="0"/>
                <w:webHidden/>
              </w:rPr>
              <w:fldChar w:fldCharType="begin"/>
            </w:r>
            <w:r w:rsidRPr="0088307E">
              <w:rPr>
                <w:b w:val="0"/>
                <w:webHidden/>
              </w:rPr>
              <w:instrText xml:space="preserve"> PAGEREF _Toc115787907 \h </w:instrText>
            </w:r>
            <w:r w:rsidRPr="0088307E">
              <w:rPr>
                <w:b w:val="0"/>
                <w:webHidden/>
              </w:rPr>
            </w:r>
            <w:r w:rsidRPr="0088307E">
              <w:rPr>
                <w:b w:val="0"/>
                <w:webHidden/>
              </w:rPr>
              <w:fldChar w:fldCharType="separate"/>
            </w:r>
            <w:r w:rsidR="00F80947">
              <w:rPr>
                <w:b w:val="0"/>
                <w:webHidden/>
              </w:rPr>
              <w:t>50</w:t>
            </w:r>
            <w:r w:rsidRPr="0088307E">
              <w:rPr>
                <w:b w:val="0"/>
                <w:webHidden/>
              </w:rPr>
              <w:fldChar w:fldCharType="end"/>
            </w:r>
          </w:hyperlink>
        </w:p>
        <w:p w14:paraId="75A30E71" w14:textId="490DE42E" w:rsidR="00AD73D1" w:rsidRPr="00AD73D1" w:rsidRDefault="00AD73D1">
          <w:pPr>
            <w:pStyle w:val="Obsah3"/>
            <w:rPr>
              <w:rFonts w:asciiTheme="minorHAnsi" w:eastAsiaTheme="minorEastAsia" w:hAnsiTheme="minorHAnsi" w:cstheme="minorBidi"/>
              <w:b w:val="0"/>
              <w:sz w:val="22"/>
              <w:szCs w:val="22"/>
            </w:rPr>
          </w:pPr>
          <w:hyperlink w:anchor="_Toc115787916" w:history="1">
            <w:r w:rsidRPr="0088307E">
              <w:rPr>
                <w:rStyle w:val="Hypertextovodkaz"/>
                <w:b w:val="0"/>
              </w:rPr>
              <w:t>3.4.5</w:t>
            </w:r>
            <w:r w:rsidRPr="00AD73D1">
              <w:rPr>
                <w:rFonts w:asciiTheme="minorHAnsi" w:eastAsiaTheme="minorEastAsia" w:hAnsiTheme="minorHAnsi" w:cstheme="minorBidi"/>
                <w:b w:val="0"/>
                <w:sz w:val="22"/>
                <w:szCs w:val="22"/>
              </w:rPr>
              <w:tab/>
            </w:r>
            <w:r w:rsidRPr="0088307E">
              <w:rPr>
                <w:rStyle w:val="Hypertextovodkaz"/>
                <w:b w:val="0"/>
              </w:rPr>
              <w:t>Neziskové a podobné organizace</w:t>
            </w:r>
            <w:r w:rsidRPr="0088307E">
              <w:rPr>
                <w:b w:val="0"/>
                <w:webHidden/>
              </w:rPr>
              <w:tab/>
            </w:r>
            <w:r w:rsidRPr="0088307E">
              <w:rPr>
                <w:b w:val="0"/>
                <w:webHidden/>
              </w:rPr>
              <w:fldChar w:fldCharType="begin"/>
            </w:r>
            <w:r w:rsidRPr="0088307E">
              <w:rPr>
                <w:b w:val="0"/>
                <w:webHidden/>
              </w:rPr>
              <w:instrText xml:space="preserve"> PAGEREF _Toc115787916 \h </w:instrText>
            </w:r>
            <w:r w:rsidRPr="0088307E">
              <w:rPr>
                <w:b w:val="0"/>
                <w:webHidden/>
              </w:rPr>
            </w:r>
            <w:r w:rsidRPr="0088307E">
              <w:rPr>
                <w:b w:val="0"/>
                <w:webHidden/>
              </w:rPr>
              <w:fldChar w:fldCharType="separate"/>
            </w:r>
            <w:r w:rsidR="00F80947">
              <w:rPr>
                <w:b w:val="0"/>
                <w:webHidden/>
              </w:rPr>
              <w:t>51</w:t>
            </w:r>
            <w:r w:rsidRPr="0088307E">
              <w:rPr>
                <w:b w:val="0"/>
                <w:webHidden/>
              </w:rPr>
              <w:fldChar w:fldCharType="end"/>
            </w:r>
          </w:hyperlink>
        </w:p>
        <w:p w14:paraId="0B6E093A" w14:textId="19B53D3D" w:rsidR="00AD73D1" w:rsidRPr="00AD73D1" w:rsidRDefault="00AD73D1">
          <w:pPr>
            <w:pStyle w:val="Obsah2"/>
            <w:rPr>
              <w:rFonts w:asciiTheme="minorHAnsi" w:eastAsiaTheme="minorEastAsia" w:hAnsiTheme="minorHAnsi" w:cstheme="minorBidi"/>
              <w:bCs w:val="0"/>
              <w:sz w:val="22"/>
              <w:szCs w:val="22"/>
            </w:rPr>
          </w:pPr>
          <w:hyperlink w:anchor="_Toc115787996" w:history="1">
            <w:r w:rsidRPr="00AD73D1">
              <w:rPr>
                <w:rStyle w:val="Hypertextovodkaz"/>
              </w:rPr>
              <w:t>3.5</w:t>
            </w:r>
            <w:r w:rsidRPr="00AD73D1">
              <w:rPr>
                <w:rFonts w:asciiTheme="minorHAnsi" w:eastAsiaTheme="minorEastAsia" w:hAnsiTheme="minorHAnsi" w:cstheme="minorBidi"/>
                <w:bCs w:val="0"/>
                <w:sz w:val="22"/>
                <w:szCs w:val="22"/>
              </w:rPr>
              <w:tab/>
            </w:r>
            <w:r w:rsidRPr="00AD73D1">
              <w:rPr>
                <w:rStyle w:val="Hypertextovodkaz"/>
              </w:rPr>
              <w:t>Prostředky fondů Evropské unie</w:t>
            </w:r>
            <w:r w:rsidRPr="00AD73D1">
              <w:rPr>
                <w:webHidden/>
              </w:rPr>
              <w:tab/>
            </w:r>
            <w:r w:rsidRPr="00035CD3">
              <w:rPr>
                <w:webHidden/>
              </w:rPr>
              <w:fldChar w:fldCharType="begin"/>
            </w:r>
            <w:r w:rsidRPr="00AD73D1">
              <w:rPr>
                <w:webHidden/>
              </w:rPr>
              <w:instrText xml:space="preserve"> PAGEREF _Toc115787996 \h </w:instrText>
            </w:r>
            <w:r w:rsidRPr="00035CD3">
              <w:rPr>
                <w:webHidden/>
              </w:rPr>
            </w:r>
            <w:r w:rsidRPr="00035CD3">
              <w:rPr>
                <w:webHidden/>
              </w:rPr>
              <w:fldChar w:fldCharType="separate"/>
            </w:r>
            <w:r w:rsidR="00F80947">
              <w:rPr>
                <w:webHidden/>
              </w:rPr>
              <w:t>53</w:t>
            </w:r>
            <w:r w:rsidRPr="00035CD3">
              <w:rPr>
                <w:webHidden/>
              </w:rPr>
              <w:fldChar w:fldCharType="end"/>
            </w:r>
          </w:hyperlink>
        </w:p>
        <w:p w14:paraId="1764B96F" w14:textId="33707B11" w:rsidR="00AD73D1" w:rsidRPr="00AD73D1" w:rsidRDefault="00AD73D1">
          <w:pPr>
            <w:pStyle w:val="Obsah3"/>
            <w:rPr>
              <w:rFonts w:asciiTheme="minorHAnsi" w:eastAsiaTheme="minorEastAsia" w:hAnsiTheme="minorHAnsi" w:cstheme="minorBidi"/>
              <w:b w:val="0"/>
              <w:sz w:val="22"/>
              <w:szCs w:val="22"/>
            </w:rPr>
          </w:pPr>
          <w:hyperlink w:anchor="_Toc115787997" w:history="1">
            <w:r w:rsidRPr="0088307E">
              <w:rPr>
                <w:rStyle w:val="Hypertextovodkaz"/>
                <w:b w:val="0"/>
              </w:rPr>
              <w:t>3.5.1</w:t>
            </w:r>
            <w:r w:rsidRPr="00AD73D1">
              <w:rPr>
                <w:rFonts w:asciiTheme="minorHAnsi" w:eastAsiaTheme="minorEastAsia" w:hAnsiTheme="minorHAnsi" w:cstheme="minorBidi"/>
                <w:b w:val="0"/>
                <w:sz w:val="22"/>
                <w:szCs w:val="22"/>
              </w:rPr>
              <w:tab/>
            </w:r>
            <w:r w:rsidRPr="0088307E">
              <w:rPr>
                <w:rStyle w:val="Hypertextovodkaz"/>
                <w:b w:val="0"/>
              </w:rPr>
              <w:t>Operační program Doprava – programové období 2014 – 2020</w:t>
            </w:r>
            <w:r w:rsidRPr="0088307E">
              <w:rPr>
                <w:b w:val="0"/>
                <w:webHidden/>
              </w:rPr>
              <w:tab/>
            </w:r>
            <w:r w:rsidRPr="0088307E">
              <w:rPr>
                <w:b w:val="0"/>
                <w:webHidden/>
              </w:rPr>
              <w:fldChar w:fldCharType="begin"/>
            </w:r>
            <w:r w:rsidRPr="0088307E">
              <w:rPr>
                <w:b w:val="0"/>
                <w:webHidden/>
              </w:rPr>
              <w:instrText xml:space="preserve"> PAGEREF _Toc115787997 \h </w:instrText>
            </w:r>
            <w:r w:rsidRPr="0088307E">
              <w:rPr>
                <w:b w:val="0"/>
                <w:webHidden/>
              </w:rPr>
            </w:r>
            <w:r w:rsidRPr="0088307E">
              <w:rPr>
                <w:b w:val="0"/>
                <w:webHidden/>
              </w:rPr>
              <w:fldChar w:fldCharType="separate"/>
            </w:r>
            <w:r w:rsidR="00F80947">
              <w:rPr>
                <w:b w:val="0"/>
                <w:webHidden/>
              </w:rPr>
              <w:t>53</w:t>
            </w:r>
            <w:r w:rsidRPr="0088307E">
              <w:rPr>
                <w:b w:val="0"/>
                <w:webHidden/>
              </w:rPr>
              <w:fldChar w:fldCharType="end"/>
            </w:r>
          </w:hyperlink>
        </w:p>
        <w:p w14:paraId="0E2A961E" w14:textId="677F5EF3" w:rsidR="00AD73D1" w:rsidRPr="00AD73D1" w:rsidRDefault="00AD73D1">
          <w:pPr>
            <w:pStyle w:val="Obsah3"/>
            <w:rPr>
              <w:rFonts w:asciiTheme="minorHAnsi" w:eastAsiaTheme="minorEastAsia" w:hAnsiTheme="minorHAnsi" w:cstheme="minorBidi"/>
              <w:b w:val="0"/>
              <w:sz w:val="22"/>
              <w:szCs w:val="22"/>
            </w:rPr>
          </w:pPr>
          <w:hyperlink w:anchor="_Toc115787998" w:history="1">
            <w:r w:rsidRPr="0088307E">
              <w:rPr>
                <w:rStyle w:val="Hypertextovodkaz"/>
                <w:b w:val="0"/>
              </w:rPr>
              <w:t>3.5.2</w:t>
            </w:r>
            <w:r w:rsidRPr="00AD73D1">
              <w:rPr>
                <w:rFonts w:asciiTheme="minorHAnsi" w:eastAsiaTheme="minorEastAsia" w:hAnsiTheme="minorHAnsi" w:cstheme="minorBidi"/>
                <w:b w:val="0"/>
                <w:sz w:val="22"/>
                <w:szCs w:val="22"/>
              </w:rPr>
              <w:tab/>
            </w:r>
            <w:r w:rsidRPr="0088307E">
              <w:rPr>
                <w:rStyle w:val="Hypertextovodkaz"/>
                <w:b w:val="0"/>
              </w:rPr>
              <w:t>Komunitární programy (TEN-T) – programové období 2014 – 2020</w:t>
            </w:r>
            <w:r w:rsidRPr="0088307E">
              <w:rPr>
                <w:b w:val="0"/>
                <w:webHidden/>
              </w:rPr>
              <w:tab/>
            </w:r>
            <w:r w:rsidRPr="0088307E">
              <w:rPr>
                <w:b w:val="0"/>
                <w:webHidden/>
              </w:rPr>
              <w:fldChar w:fldCharType="begin"/>
            </w:r>
            <w:r w:rsidRPr="0088307E">
              <w:rPr>
                <w:b w:val="0"/>
                <w:webHidden/>
              </w:rPr>
              <w:instrText xml:space="preserve"> PAGEREF _Toc115787998 \h </w:instrText>
            </w:r>
            <w:r w:rsidRPr="0088307E">
              <w:rPr>
                <w:b w:val="0"/>
                <w:webHidden/>
              </w:rPr>
            </w:r>
            <w:r w:rsidRPr="0088307E">
              <w:rPr>
                <w:b w:val="0"/>
                <w:webHidden/>
              </w:rPr>
              <w:fldChar w:fldCharType="separate"/>
            </w:r>
            <w:r w:rsidR="00F80947">
              <w:rPr>
                <w:b w:val="0"/>
                <w:webHidden/>
              </w:rPr>
              <w:t>55</w:t>
            </w:r>
            <w:r w:rsidRPr="0088307E">
              <w:rPr>
                <w:b w:val="0"/>
                <w:webHidden/>
              </w:rPr>
              <w:fldChar w:fldCharType="end"/>
            </w:r>
          </w:hyperlink>
        </w:p>
        <w:p w14:paraId="12CDB89F" w14:textId="3AA684DD" w:rsidR="00AD73D1" w:rsidRPr="00AD73D1" w:rsidRDefault="00AD73D1">
          <w:pPr>
            <w:pStyle w:val="Obsah3"/>
            <w:rPr>
              <w:rFonts w:asciiTheme="minorHAnsi" w:eastAsiaTheme="minorEastAsia" w:hAnsiTheme="minorHAnsi" w:cstheme="minorBidi"/>
              <w:b w:val="0"/>
              <w:sz w:val="22"/>
              <w:szCs w:val="22"/>
            </w:rPr>
          </w:pPr>
          <w:hyperlink w:anchor="_Toc115787999" w:history="1">
            <w:r w:rsidRPr="0088307E">
              <w:rPr>
                <w:rStyle w:val="Hypertextovodkaz"/>
                <w:b w:val="0"/>
              </w:rPr>
              <w:t>3.5.3</w:t>
            </w:r>
            <w:r w:rsidRPr="00AD73D1">
              <w:rPr>
                <w:rFonts w:asciiTheme="minorHAnsi" w:eastAsiaTheme="minorEastAsia" w:hAnsiTheme="minorHAnsi" w:cstheme="minorBidi"/>
                <w:b w:val="0"/>
                <w:sz w:val="22"/>
                <w:szCs w:val="22"/>
              </w:rPr>
              <w:tab/>
            </w:r>
            <w:r w:rsidRPr="0088307E">
              <w:rPr>
                <w:rStyle w:val="Hypertextovodkaz"/>
                <w:b w:val="0"/>
              </w:rPr>
              <w:t>Operační program Podnikání a inovace</w:t>
            </w:r>
            <w:r w:rsidRPr="0088307E">
              <w:rPr>
                <w:b w:val="0"/>
                <w:webHidden/>
              </w:rPr>
              <w:tab/>
            </w:r>
            <w:r w:rsidRPr="0088307E">
              <w:rPr>
                <w:b w:val="0"/>
                <w:webHidden/>
              </w:rPr>
              <w:fldChar w:fldCharType="begin"/>
            </w:r>
            <w:r w:rsidRPr="0088307E">
              <w:rPr>
                <w:b w:val="0"/>
                <w:webHidden/>
              </w:rPr>
              <w:instrText xml:space="preserve"> PAGEREF _Toc115787999 \h </w:instrText>
            </w:r>
            <w:r w:rsidRPr="0088307E">
              <w:rPr>
                <w:b w:val="0"/>
                <w:webHidden/>
              </w:rPr>
            </w:r>
            <w:r w:rsidRPr="0088307E">
              <w:rPr>
                <w:b w:val="0"/>
                <w:webHidden/>
              </w:rPr>
              <w:fldChar w:fldCharType="separate"/>
            </w:r>
            <w:r w:rsidR="00F80947">
              <w:rPr>
                <w:b w:val="0"/>
                <w:webHidden/>
              </w:rPr>
              <w:t>58</w:t>
            </w:r>
            <w:r w:rsidRPr="0088307E">
              <w:rPr>
                <w:b w:val="0"/>
                <w:webHidden/>
              </w:rPr>
              <w:fldChar w:fldCharType="end"/>
            </w:r>
          </w:hyperlink>
        </w:p>
        <w:p w14:paraId="79305651" w14:textId="437BF3AE" w:rsidR="00AD73D1" w:rsidRPr="00AD73D1" w:rsidRDefault="00AD73D1">
          <w:pPr>
            <w:pStyle w:val="Obsah3"/>
            <w:rPr>
              <w:rFonts w:asciiTheme="minorHAnsi" w:eastAsiaTheme="minorEastAsia" w:hAnsiTheme="minorHAnsi" w:cstheme="minorBidi"/>
              <w:b w:val="0"/>
              <w:sz w:val="22"/>
              <w:szCs w:val="22"/>
            </w:rPr>
          </w:pPr>
          <w:hyperlink w:anchor="_Toc115788000" w:history="1">
            <w:r w:rsidRPr="0088307E">
              <w:rPr>
                <w:rStyle w:val="Hypertextovodkaz"/>
                <w:b w:val="0"/>
              </w:rPr>
              <w:t>3.5.4</w:t>
            </w:r>
            <w:r w:rsidRPr="00AD73D1">
              <w:rPr>
                <w:rFonts w:asciiTheme="minorHAnsi" w:eastAsiaTheme="minorEastAsia" w:hAnsiTheme="minorHAnsi" w:cstheme="minorBidi"/>
                <w:b w:val="0"/>
                <w:sz w:val="22"/>
                <w:szCs w:val="22"/>
              </w:rPr>
              <w:tab/>
            </w:r>
            <w:r w:rsidRPr="0088307E">
              <w:rPr>
                <w:rStyle w:val="Hypertextovodkaz"/>
                <w:b w:val="0"/>
              </w:rPr>
              <w:t>Operační program Doprava 2021 – 2027</w:t>
            </w:r>
            <w:r w:rsidRPr="0088307E">
              <w:rPr>
                <w:b w:val="0"/>
                <w:webHidden/>
              </w:rPr>
              <w:tab/>
            </w:r>
            <w:r w:rsidRPr="0088307E">
              <w:rPr>
                <w:b w:val="0"/>
                <w:webHidden/>
              </w:rPr>
              <w:fldChar w:fldCharType="begin"/>
            </w:r>
            <w:r w:rsidRPr="0088307E">
              <w:rPr>
                <w:b w:val="0"/>
                <w:webHidden/>
              </w:rPr>
              <w:instrText xml:space="preserve"> PAGEREF _Toc115788000 \h </w:instrText>
            </w:r>
            <w:r w:rsidRPr="0088307E">
              <w:rPr>
                <w:b w:val="0"/>
                <w:webHidden/>
              </w:rPr>
            </w:r>
            <w:r w:rsidRPr="0088307E">
              <w:rPr>
                <w:b w:val="0"/>
                <w:webHidden/>
              </w:rPr>
              <w:fldChar w:fldCharType="separate"/>
            </w:r>
            <w:r w:rsidR="00F80947">
              <w:rPr>
                <w:b w:val="0"/>
                <w:webHidden/>
              </w:rPr>
              <w:t>58</w:t>
            </w:r>
            <w:r w:rsidRPr="0088307E">
              <w:rPr>
                <w:b w:val="0"/>
                <w:webHidden/>
              </w:rPr>
              <w:fldChar w:fldCharType="end"/>
            </w:r>
          </w:hyperlink>
        </w:p>
        <w:p w14:paraId="4E6C6839" w14:textId="0A89EEDD" w:rsidR="00AD73D1" w:rsidRPr="00AD73D1" w:rsidRDefault="00AD73D1">
          <w:pPr>
            <w:pStyle w:val="Obsah3"/>
            <w:rPr>
              <w:rFonts w:asciiTheme="minorHAnsi" w:eastAsiaTheme="minorEastAsia" w:hAnsiTheme="minorHAnsi" w:cstheme="minorBidi"/>
              <w:b w:val="0"/>
              <w:sz w:val="22"/>
              <w:szCs w:val="22"/>
            </w:rPr>
          </w:pPr>
          <w:hyperlink w:anchor="_Toc115788001" w:history="1">
            <w:r w:rsidRPr="0088307E">
              <w:rPr>
                <w:rStyle w:val="Hypertextovodkaz"/>
                <w:b w:val="0"/>
              </w:rPr>
              <w:t>3.5.5</w:t>
            </w:r>
            <w:r w:rsidRPr="00AD73D1">
              <w:rPr>
                <w:rFonts w:asciiTheme="minorHAnsi" w:eastAsiaTheme="minorEastAsia" w:hAnsiTheme="minorHAnsi" w:cstheme="minorBidi"/>
                <w:b w:val="0"/>
                <w:sz w:val="22"/>
                <w:szCs w:val="22"/>
              </w:rPr>
              <w:tab/>
            </w:r>
            <w:r w:rsidRPr="0088307E">
              <w:rPr>
                <w:rStyle w:val="Hypertextovodkaz"/>
                <w:b w:val="0"/>
              </w:rPr>
              <w:t>Komunitární programy – programové období 2021 – 2027</w:t>
            </w:r>
            <w:r w:rsidRPr="0088307E">
              <w:rPr>
                <w:b w:val="0"/>
                <w:webHidden/>
              </w:rPr>
              <w:tab/>
            </w:r>
            <w:r w:rsidRPr="0088307E">
              <w:rPr>
                <w:b w:val="0"/>
                <w:webHidden/>
              </w:rPr>
              <w:fldChar w:fldCharType="begin"/>
            </w:r>
            <w:r w:rsidRPr="0088307E">
              <w:rPr>
                <w:b w:val="0"/>
                <w:webHidden/>
              </w:rPr>
              <w:instrText xml:space="preserve"> PAGEREF _Toc115788001 \h </w:instrText>
            </w:r>
            <w:r w:rsidRPr="0088307E">
              <w:rPr>
                <w:b w:val="0"/>
                <w:webHidden/>
              </w:rPr>
            </w:r>
            <w:r w:rsidRPr="0088307E">
              <w:rPr>
                <w:b w:val="0"/>
                <w:webHidden/>
              </w:rPr>
              <w:fldChar w:fldCharType="separate"/>
            </w:r>
            <w:r w:rsidR="00F80947">
              <w:rPr>
                <w:b w:val="0"/>
                <w:webHidden/>
              </w:rPr>
              <w:t>61</w:t>
            </w:r>
            <w:r w:rsidRPr="0088307E">
              <w:rPr>
                <w:b w:val="0"/>
                <w:webHidden/>
              </w:rPr>
              <w:fldChar w:fldCharType="end"/>
            </w:r>
          </w:hyperlink>
        </w:p>
        <w:p w14:paraId="2FE723DB" w14:textId="76E7BDB6" w:rsidR="00AD73D1" w:rsidRPr="00AD73D1" w:rsidRDefault="00AD73D1">
          <w:pPr>
            <w:pStyle w:val="Obsah3"/>
            <w:rPr>
              <w:rFonts w:asciiTheme="minorHAnsi" w:eastAsiaTheme="minorEastAsia" w:hAnsiTheme="minorHAnsi" w:cstheme="minorBidi"/>
              <w:b w:val="0"/>
              <w:sz w:val="22"/>
              <w:szCs w:val="22"/>
            </w:rPr>
          </w:pPr>
          <w:hyperlink w:anchor="_Toc115788002" w:history="1">
            <w:r w:rsidRPr="0088307E">
              <w:rPr>
                <w:rStyle w:val="Hypertextovodkaz"/>
                <w:b w:val="0"/>
              </w:rPr>
              <w:t>3.5.6</w:t>
            </w:r>
            <w:r w:rsidRPr="00AD73D1">
              <w:rPr>
                <w:rFonts w:asciiTheme="minorHAnsi" w:eastAsiaTheme="minorEastAsia" w:hAnsiTheme="minorHAnsi" w:cstheme="minorBidi"/>
                <w:b w:val="0"/>
                <w:sz w:val="22"/>
                <w:szCs w:val="22"/>
              </w:rPr>
              <w:tab/>
            </w:r>
            <w:r w:rsidRPr="0088307E">
              <w:rPr>
                <w:rStyle w:val="Hypertextovodkaz"/>
                <w:b w:val="0"/>
              </w:rPr>
              <w:t>Nástroj pro oživení a odolnost (Recovery and Resilience Facility – RRF)</w:t>
            </w:r>
            <w:r w:rsidRPr="0088307E">
              <w:rPr>
                <w:b w:val="0"/>
                <w:webHidden/>
              </w:rPr>
              <w:tab/>
            </w:r>
            <w:r w:rsidRPr="0088307E">
              <w:rPr>
                <w:b w:val="0"/>
                <w:webHidden/>
              </w:rPr>
              <w:fldChar w:fldCharType="begin"/>
            </w:r>
            <w:r w:rsidRPr="0088307E">
              <w:rPr>
                <w:b w:val="0"/>
                <w:webHidden/>
              </w:rPr>
              <w:instrText xml:space="preserve"> PAGEREF _Toc115788002 \h </w:instrText>
            </w:r>
            <w:r w:rsidRPr="0088307E">
              <w:rPr>
                <w:b w:val="0"/>
                <w:webHidden/>
              </w:rPr>
            </w:r>
            <w:r w:rsidRPr="0088307E">
              <w:rPr>
                <w:b w:val="0"/>
                <w:webHidden/>
              </w:rPr>
              <w:fldChar w:fldCharType="separate"/>
            </w:r>
            <w:r w:rsidR="00F80947">
              <w:rPr>
                <w:b w:val="0"/>
                <w:webHidden/>
              </w:rPr>
              <w:t>65</w:t>
            </w:r>
            <w:r w:rsidRPr="0088307E">
              <w:rPr>
                <w:b w:val="0"/>
                <w:webHidden/>
              </w:rPr>
              <w:fldChar w:fldCharType="end"/>
            </w:r>
          </w:hyperlink>
        </w:p>
        <w:p w14:paraId="51575788" w14:textId="69E29FCA" w:rsidR="00AD73D1" w:rsidRPr="00AD73D1" w:rsidRDefault="00AD73D1">
          <w:pPr>
            <w:pStyle w:val="Obsah3"/>
            <w:rPr>
              <w:rFonts w:asciiTheme="minorHAnsi" w:eastAsiaTheme="minorEastAsia" w:hAnsiTheme="minorHAnsi" w:cstheme="minorBidi"/>
              <w:b w:val="0"/>
              <w:sz w:val="22"/>
              <w:szCs w:val="22"/>
            </w:rPr>
          </w:pPr>
          <w:hyperlink w:anchor="_Toc115788003" w:history="1">
            <w:r w:rsidRPr="0088307E">
              <w:rPr>
                <w:rStyle w:val="Hypertextovodkaz"/>
                <w:b w:val="0"/>
              </w:rPr>
              <w:t>3.5.7</w:t>
            </w:r>
            <w:r w:rsidRPr="00AD73D1">
              <w:rPr>
                <w:rFonts w:asciiTheme="minorHAnsi" w:eastAsiaTheme="minorEastAsia" w:hAnsiTheme="minorHAnsi" w:cstheme="minorBidi"/>
                <w:b w:val="0"/>
                <w:sz w:val="22"/>
                <w:szCs w:val="22"/>
              </w:rPr>
              <w:tab/>
            </w:r>
            <w:r w:rsidRPr="0088307E">
              <w:rPr>
                <w:rStyle w:val="Hypertextovodkaz"/>
                <w:b w:val="0"/>
              </w:rPr>
              <w:t>BAR – rezerva na vyrovnání s důsledky Brexitu</w:t>
            </w:r>
            <w:r w:rsidRPr="0088307E">
              <w:rPr>
                <w:b w:val="0"/>
                <w:webHidden/>
              </w:rPr>
              <w:tab/>
            </w:r>
            <w:r w:rsidRPr="0088307E">
              <w:rPr>
                <w:b w:val="0"/>
                <w:webHidden/>
              </w:rPr>
              <w:fldChar w:fldCharType="begin"/>
            </w:r>
            <w:r w:rsidRPr="0088307E">
              <w:rPr>
                <w:b w:val="0"/>
                <w:webHidden/>
              </w:rPr>
              <w:instrText xml:space="preserve"> PAGEREF _Toc115788003 \h </w:instrText>
            </w:r>
            <w:r w:rsidRPr="0088307E">
              <w:rPr>
                <w:b w:val="0"/>
                <w:webHidden/>
              </w:rPr>
            </w:r>
            <w:r w:rsidRPr="0088307E">
              <w:rPr>
                <w:b w:val="0"/>
                <w:webHidden/>
              </w:rPr>
              <w:fldChar w:fldCharType="separate"/>
            </w:r>
            <w:r w:rsidR="00F80947">
              <w:rPr>
                <w:b w:val="0"/>
                <w:webHidden/>
              </w:rPr>
              <w:t>66</w:t>
            </w:r>
            <w:r w:rsidRPr="0088307E">
              <w:rPr>
                <w:b w:val="0"/>
                <w:webHidden/>
              </w:rPr>
              <w:fldChar w:fldCharType="end"/>
            </w:r>
          </w:hyperlink>
        </w:p>
        <w:p w14:paraId="1EC5E77B" w14:textId="78FB1934" w:rsidR="00AD73D1" w:rsidRPr="00AD73D1" w:rsidRDefault="00AD73D1">
          <w:pPr>
            <w:pStyle w:val="Obsah3"/>
            <w:rPr>
              <w:rFonts w:asciiTheme="minorHAnsi" w:eastAsiaTheme="minorEastAsia" w:hAnsiTheme="minorHAnsi" w:cstheme="minorBidi"/>
              <w:b w:val="0"/>
              <w:sz w:val="22"/>
              <w:szCs w:val="22"/>
            </w:rPr>
          </w:pPr>
          <w:hyperlink w:anchor="_Toc115788006" w:history="1">
            <w:r w:rsidRPr="0088307E">
              <w:rPr>
                <w:rStyle w:val="Hypertextovodkaz"/>
                <w:b w:val="0"/>
              </w:rPr>
              <w:t>3.5.8</w:t>
            </w:r>
            <w:r w:rsidRPr="00AD73D1">
              <w:rPr>
                <w:rFonts w:asciiTheme="minorHAnsi" w:eastAsiaTheme="minorEastAsia" w:hAnsiTheme="minorHAnsi" w:cstheme="minorBidi"/>
                <w:b w:val="0"/>
                <w:sz w:val="22"/>
                <w:szCs w:val="22"/>
              </w:rPr>
              <w:tab/>
            </w:r>
            <w:r w:rsidRPr="0088307E">
              <w:rPr>
                <w:rStyle w:val="Hypertextovodkaz"/>
                <w:b w:val="0"/>
              </w:rPr>
              <w:t>Rozdělení prostředků EU a podílu SR dle jednotlivých programů na rok 2023</w:t>
            </w:r>
            <w:r w:rsidRPr="0088307E">
              <w:rPr>
                <w:b w:val="0"/>
                <w:webHidden/>
              </w:rPr>
              <w:tab/>
            </w:r>
            <w:r w:rsidRPr="0088307E">
              <w:rPr>
                <w:b w:val="0"/>
                <w:webHidden/>
              </w:rPr>
              <w:fldChar w:fldCharType="begin"/>
            </w:r>
            <w:r w:rsidRPr="0088307E">
              <w:rPr>
                <w:b w:val="0"/>
                <w:webHidden/>
              </w:rPr>
              <w:instrText xml:space="preserve"> PAGEREF _Toc115788006 \h </w:instrText>
            </w:r>
            <w:r w:rsidRPr="0088307E">
              <w:rPr>
                <w:b w:val="0"/>
                <w:webHidden/>
              </w:rPr>
            </w:r>
            <w:r w:rsidRPr="0088307E">
              <w:rPr>
                <w:b w:val="0"/>
                <w:webHidden/>
              </w:rPr>
              <w:fldChar w:fldCharType="separate"/>
            </w:r>
            <w:r w:rsidR="00F80947">
              <w:rPr>
                <w:b w:val="0"/>
                <w:webHidden/>
              </w:rPr>
              <w:t>67</w:t>
            </w:r>
            <w:r w:rsidRPr="0088307E">
              <w:rPr>
                <w:b w:val="0"/>
                <w:webHidden/>
              </w:rPr>
              <w:fldChar w:fldCharType="end"/>
            </w:r>
          </w:hyperlink>
        </w:p>
        <w:p w14:paraId="294E22D1" w14:textId="0E615EC6" w:rsidR="00AD73D1" w:rsidRPr="00AD73D1" w:rsidRDefault="00AD73D1">
          <w:pPr>
            <w:pStyle w:val="Obsah2"/>
            <w:rPr>
              <w:rFonts w:asciiTheme="minorHAnsi" w:eastAsiaTheme="minorEastAsia" w:hAnsiTheme="minorHAnsi" w:cstheme="minorBidi"/>
              <w:bCs w:val="0"/>
              <w:sz w:val="22"/>
              <w:szCs w:val="22"/>
            </w:rPr>
          </w:pPr>
          <w:hyperlink w:anchor="_Toc115788007" w:history="1">
            <w:r w:rsidRPr="00AD73D1">
              <w:rPr>
                <w:rStyle w:val="Hypertextovodkaz"/>
              </w:rPr>
              <w:t>3.6</w:t>
            </w:r>
            <w:r w:rsidRPr="00AD73D1">
              <w:rPr>
                <w:rFonts w:asciiTheme="minorHAnsi" w:eastAsiaTheme="minorEastAsia" w:hAnsiTheme="minorHAnsi" w:cstheme="minorBidi"/>
                <w:bCs w:val="0"/>
                <w:sz w:val="22"/>
                <w:szCs w:val="22"/>
              </w:rPr>
              <w:tab/>
            </w:r>
            <w:r w:rsidRPr="00AD73D1">
              <w:rPr>
                <w:rStyle w:val="Hypertextovodkaz"/>
              </w:rPr>
              <w:t>Výdaje na výzkum, vývoj a inovace</w:t>
            </w:r>
            <w:r w:rsidRPr="00AD73D1">
              <w:rPr>
                <w:webHidden/>
              </w:rPr>
              <w:tab/>
            </w:r>
            <w:r w:rsidRPr="00035CD3">
              <w:rPr>
                <w:webHidden/>
              </w:rPr>
              <w:fldChar w:fldCharType="begin"/>
            </w:r>
            <w:r w:rsidRPr="00AD73D1">
              <w:rPr>
                <w:webHidden/>
              </w:rPr>
              <w:instrText xml:space="preserve"> PAGEREF _Toc115788007 \h </w:instrText>
            </w:r>
            <w:r w:rsidRPr="00035CD3">
              <w:rPr>
                <w:webHidden/>
              </w:rPr>
            </w:r>
            <w:r w:rsidRPr="00035CD3">
              <w:rPr>
                <w:webHidden/>
              </w:rPr>
              <w:fldChar w:fldCharType="separate"/>
            </w:r>
            <w:r w:rsidR="00F80947">
              <w:rPr>
                <w:webHidden/>
              </w:rPr>
              <w:t>68</w:t>
            </w:r>
            <w:r w:rsidRPr="00035CD3">
              <w:rPr>
                <w:webHidden/>
              </w:rPr>
              <w:fldChar w:fldCharType="end"/>
            </w:r>
          </w:hyperlink>
        </w:p>
        <w:p w14:paraId="359A6A31" w14:textId="15C3B24E" w:rsidR="00AD73D1" w:rsidRDefault="00AD73D1">
          <w:pPr>
            <w:pStyle w:val="Obsah2"/>
            <w:rPr>
              <w:rFonts w:asciiTheme="minorHAnsi" w:eastAsiaTheme="minorEastAsia" w:hAnsiTheme="minorHAnsi" w:cstheme="minorBidi"/>
              <w:bCs w:val="0"/>
              <w:sz w:val="22"/>
              <w:szCs w:val="22"/>
            </w:rPr>
          </w:pPr>
          <w:hyperlink w:anchor="_Toc115788008" w:history="1">
            <w:r w:rsidRPr="00AD73D1">
              <w:rPr>
                <w:rStyle w:val="Hypertextovodkaz"/>
              </w:rPr>
              <w:t>3.7</w:t>
            </w:r>
            <w:r w:rsidRPr="00AD73D1">
              <w:rPr>
                <w:rFonts w:asciiTheme="minorHAnsi" w:eastAsiaTheme="minorEastAsia" w:hAnsiTheme="minorHAnsi" w:cstheme="minorBidi"/>
                <w:bCs w:val="0"/>
                <w:sz w:val="22"/>
                <w:szCs w:val="22"/>
              </w:rPr>
              <w:tab/>
            </w:r>
            <w:r w:rsidRPr="00AD73D1">
              <w:rPr>
                <w:rStyle w:val="Hypertextovodkaz"/>
              </w:rPr>
              <w:t>Výdaje na významné veřejné zakázky</w:t>
            </w:r>
            <w:r w:rsidRPr="00AD73D1">
              <w:rPr>
                <w:webHidden/>
              </w:rPr>
              <w:tab/>
            </w:r>
            <w:r w:rsidRPr="00035CD3">
              <w:rPr>
                <w:webHidden/>
              </w:rPr>
              <w:fldChar w:fldCharType="begin"/>
            </w:r>
            <w:r w:rsidRPr="00AD73D1">
              <w:rPr>
                <w:webHidden/>
              </w:rPr>
              <w:instrText xml:space="preserve"> PAGEREF _Toc115788008 \h </w:instrText>
            </w:r>
            <w:r w:rsidRPr="00035CD3">
              <w:rPr>
                <w:webHidden/>
              </w:rPr>
            </w:r>
            <w:r w:rsidRPr="00035CD3">
              <w:rPr>
                <w:webHidden/>
              </w:rPr>
              <w:fldChar w:fldCharType="separate"/>
            </w:r>
            <w:r w:rsidR="00F80947">
              <w:rPr>
                <w:webHidden/>
              </w:rPr>
              <w:t>68</w:t>
            </w:r>
            <w:r w:rsidRPr="00035CD3">
              <w:rPr>
                <w:webHidden/>
              </w:rPr>
              <w:fldChar w:fldCharType="end"/>
            </w:r>
          </w:hyperlink>
        </w:p>
        <w:p w14:paraId="6C149D63" w14:textId="77777777" w:rsidR="00CD5258" w:rsidRPr="00E8518E" w:rsidRDefault="00CD5258" w:rsidP="00CE76D0">
          <w:pPr>
            <w:pStyle w:val="Obsah2"/>
            <w:rPr>
              <w:rFonts w:cs="Times New Roman"/>
              <w:color w:val="FF0000"/>
            </w:rPr>
          </w:pPr>
          <w:r w:rsidRPr="00E8518E">
            <w:rPr>
              <w:rFonts w:cs="Times New Roman"/>
              <w:bCs w:val="0"/>
              <w:color w:val="FF0000"/>
            </w:rPr>
            <w:fldChar w:fldCharType="end"/>
          </w:r>
        </w:p>
      </w:sdtContent>
    </w:sdt>
    <w:p w14:paraId="6DE6C23E" w14:textId="77777777" w:rsidR="00670C99" w:rsidRPr="00E8518E" w:rsidRDefault="00670C99">
      <w:pPr>
        <w:pStyle w:val="Obsah1"/>
      </w:pPr>
    </w:p>
    <w:p w14:paraId="48B6B84A" w14:textId="77777777" w:rsidR="00670C99" w:rsidRPr="00E8518E" w:rsidRDefault="00670C99">
      <w:pPr>
        <w:pStyle w:val="Obsah1"/>
      </w:pPr>
    </w:p>
    <w:p w14:paraId="24C8BACA" w14:textId="77777777" w:rsidR="00670C99" w:rsidRPr="00E8518E" w:rsidRDefault="00670C99">
      <w:pPr>
        <w:pStyle w:val="Obsah1"/>
      </w:pPr>
    </w:p>
    <w:p w14:paraId="43B28AEF" w14:textId="77777777" w:rsidR="00670C99" w:rsidRPr="00E8518E" w:rsidRDefault="00670C99">
      <w:pPr>
        <w:pStyle w:val="Obsah1"/>
      </w:pPr>
    </w:p>
    <w:p w14:paraId="3388CB77" w14:textId="77777777" w:rsidR="00670C99" w:rsidRPr="00E8518E" w:rsidRDefault="00670C99">
      <w:pPr>
        <w:pStyle w:val="Obsah1"/>
      </w:pPr>
    </w:p>
    <w:p w14:paraId="21F26980" w14:textId="77777777" w:rsidR="00670C99" w:rsidRPr="00E8518E" w:rsidRDefault="00670C99">
      <w:pPr>
        <w:rPr>
          <w:rFonts w:eastAsia="Times New Roman" w:cs="Times New Roman"/>
          <w:b/>
          <w:noProof/>
          <w:color w:val="FF0000"/>
          <w:szCs w:val="24"/>
          <w:lang w:eastAsia="cs-CZ"/>
        </w:rPr>
      </w:pPr>
      <w:r w:rsidRPr="00E8518E">
        <w:rPr>
          <w:color w:val="FF0000"/>
        </w:rPr>
        <w:br w:type="page"/>
      </w:r>
    </w:p>
    <w:p w14:paraId="6BC62219" w14:textId="77777777" w:rsidR="00F3318F" w:rsidRPr="00E8518E" w:rsidRDefault="00DB5031">
      <w:pPr>
        <w:pStyle w:val="Obsah1"/>
      </w:pPr>
      <w:r w:rsidRPr="00E8518E">
        <w:t>SEZNAM GRAFŮ</w:t>
      </w:r>
    </w:p>
    <w:p w14:paraId="2B1707AE" w14:textId="77777777" w:rsidR="00E01950" w:rsidRPr="00E8518E" w:rsidRDefault="00E01950" w:rsidP="00E01950">
      <w:pPr>
        <w:rPr>
          <w:color w:val="FF0000"/>
          <w:lang w:eastAsia="cs-CZ"/>
        </w:rPr>
      </w:pPr>
    </w:p>
    <w:p w14:paraId="2D8E5596" w14:textId="77777777" w:rsidR="00E01950" w:rsidRPr="00E8518E" w:rsidRDefault="00E01950" w:rsidP="00E01950">
      <w:pPr>
        <w:rPr>
          <w:color w:val="FF0000"/>
          <w:lang w:eastAsia="cs-CZ"/>
        </w:rPr>
      </w:pPr>
    </w:p>
    <w:p w14:paraId="4B6C7999" w14:textId="6BA08770" w:rsidR="00AD73D1" w:rsidRDefault="00E55CA7">
      <w:pPr>
        <w:pStyle w:val="Seznamobrzk"/>
        <w:tabs>
          <w:tab w:val="right" w:leader="dot" w:pos="9060"/>
        </w:tabs>
        <w:rPr>
          <w:rFonts w:asciiTheme="minorHAnsi" w:eastAsiaTheme="minorEastAsia" w:hAnsiTheme="minorHAnsi" w:cstheme="minorBidi"/>
          <w:noProof/>
          <w:sz w:val="22"/>
          <w:szCs w:val="22"/>
        </w:rPr>
      </w:pPr>
      <w:r w:rsidRPr="00E8518E">
        <w:rPr>
          <w:color w:val="FF0000"/>
        </w:rPr>
        <w:fldChar w:fldCharType="begin"/>
      </w:r>
      <w:r w:rsidRPr="00E8518E">
        <w:rPr>
          <w:color w:val="FF0000"/>
        </w:rPr>
        <w:instrText xml:space="preserve"> TOC \h \z \c "Graf č." </w:instrText>
      </w:r>
      <w:r w:rsidRPr="00E8518E">
        <w:rPr>
          <w:color w:val="FF0000"/>
        </w:rPr>
        <w:fldChar w:fldCharType="separate"/>
      </w:r>
      <w:hyperlink w:anchor="_Toc115788009" w:history="1">
        <w:r w:rsidR="00AD73D1" w:rsidRPr="00E66DF2">
          <w:rPr>
            <w:rStyle w:val="Hypertextovodkaz"/>
            <w:noProof/>
          </w:rPr>
          <w:t>Graf č. 1 Porovnání příjmů a výdajů v kapitole 327-MD (v tis. Kč)</w:t>
        </w:r>
        <w:r w:rsidR="00AD73D1">
          <w:rPr>
            <w:noProof/>
            <w:webHidden/>
          </w:rPr>
          <w:tab/>
        </w:r>
        <w:r w:rsidR="00AD73D1">
          <w:rPr>
            <w:noProof/>
            <w:webHidden/>
          </w:rPr>
          <w:fldChar w:fldCharType="begin"/>
        </w:r>
        <w:r w:rsidR="00AD73D1">
          <w:rPr>
            <w:noProof/>
            <w:webHidden/>
          </w:rPr>
          <w:instrText xml:space="preserve"> PAGEREF _Toc115788009 \h </w:instrText>
        </w:r>
        <w:r w:rsidR="00AD73D1">
          <w:rPr>
            <w:noProof/>
            <w:webHidden/>
          </w:rPr>
        </w:r>
        <w:r w:rsidR="00AD73D1">
          <w:rPr>
            <w:noProof/>
            <w:webHidden/>
          </w:rPr>
          <w:fldChar w:fldCharType="separate"/>
        </w:r>
        <w:r w:rsidR="00F80947">
          <w:rPr>
            <w:noProof/>
            <w:webHidden/>
          </w:rPr>
          <w:t>1</w:t>
        </w:r>
        <w:r w:rsidR="00AD73D1">
          <w:rPr>
            <w:noProof/>
            <w:webHidden/>
          </w:rPr>
          <w:fldChar w:fldCharType="end"/>
        </w:r>
      </w:hyperlink>
    </w:p>
    <w:p w14:paraId="1B81B3F5" w14:textId="1DFB56AC"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0" w:history="1">
        <w:r w:rsidRPr="00E66DF2">
          <w:rPr>
            <w:rStyle w:val="Hypertextovodkaz"/>
            <w:noProof/>
          </w:rPr>
          <w:t>Graf č. 2 Porovnání transferů přijatých v kapitole 327-MD (v tis. Kč)</w:t>
        </w:r>
        <w:r>
          <w:rPr>
            <w:noProof/>
            <w:webHidden/>
          </w:rPr>
          <w:tab/>
        </w:r>
        <w:r>
          <w:rPr>
            <w:noProof/>
            <w:webHidden/>
          </w:rPr>
          <w:fldChar w:fldCharType="begin"/>
        </w:r>
        <w:r>
          <w:rPr>
            <w:noProof/>
            <w:webHidden/>
          </w:rPr>
          <w:instrText xml:space="preserve"> PAGEREF _Toc115788010 \h </w:instrText>
        </w:r>
        <w:r>
          <w:rPr>
            <w:noProof/>
            <w:webHidden/>
          </w:rPr>
        </w:r>
        <w:r>
          <w:rPr>
            <w:noProof/>
            <w:webHidden/>
          </w:rPr>
          <w:fldChar w:fldCharType="separate"/>
        </w:r>
        <w:r w:rsidR="00F80947">
          <w:rPr>
            <w:noProof/>
            <w:webHidden/>
          </w:rPr>
          <w:t>8</w:t>
        </w:r>
        <w:r>
          <w:rPr>
            <w:noProof/>
            <w:webHidden/>
          </w:rPr>
          <w:fldChar w:fldCharType="end"/>
        </w:r>
      </w:hyperlink>
    </w:p>
    <w:p w14:paraId="59E17B85" w14:textId="75C7528E"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1" w:history="1">
        <w:r w:rsidRPr="00E66DF2">
          <w:rPr>
            <w:rStyle w:val="Hypertextovodkaz"/>
            <w:noProof/>
          </w:rPr>
          <w:t>Graf č. 3 Porovnání ostatních příjmů v kapitole 327-MD (v tis. Kč)</w:t>
        </w:r>
        <w:r>
          <w:rPr>
            <w:noProof/>
            <w:webHidden/>
          </w:rPr>
          <w:tab/>
        </w:r>
        <w:r>
          <w:rPr>
            <w:noProof/>
            <w:webHidden/>
          </w:rPr>
          <w:fldChar w:fldCharType="begin"/>
        </w:r>
        <w:r>
          <w:rPr>
            <w:noProof/>
            <w:webHidden/>
          </w:rPr>
          <w:instrText xml:space="preserve"> PAGEREF _Toc115788011 \h </w:instrText>
        </w:r>
        <w:r>
          <w:rPr>
            <w:noProof/>
            <w:webHidden/>
          </w:rPr>
        </w:r>
        <w:r>
          <w:rPr>
            <w:noProof/>
            <w:webHidden/>
          </w:rPr>
          <w:fldChar w:fldCharType="separate"/>
        </w:r>
        <w:r w:rsidR="00F80947">
          <w:rPr>
            <w:noProof/>
            <w:webHidden/>
          </w:rPr>
          <w:t>8</w:t>
        </w:r>
        <w:r>
          <w:rPr>
            <w:noProof/>
            <w:webHidden/>
          </w:rPr>
          <w:fldChar w:fldCharType="end"/>
        </w:r>
      </w:hyperlink>
    </w:p>
    <w:p w14:paraId="3A4C7C07" w14:textId="5BA56A8A"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2" w:history="1">
        <w:r w:rsidRPr="00E66DF2">
          <w:rPr>
            <w:rStyle w:val="Hypertextovodkaz"/>
            <w:noProof/>
          </w:rPr>
          <w:t>Graf č. 4: Přehled specifických ukazatelů v kapitole 327</w:t>
        </w:r>
        <w:r w:rsidRPr="00E66DF2">
          <w:rPr>
            <w:rStyle w:val="Hypertextovodkaz"/>
            <w:noProof/>
          </w:rPr>
          <w:noBreakHyphen/>
          <w:t>MD (v tis. Kč)</w:t>
        </w:r>
        <w:r>
          <w:rPr>
            <w:noProof/>
            <w:webHidden/>
          </w:rPr>
          <w:tab/>
        </w:r>
        <w:r>
          <w:rPr>
            <w:noProof/>
            <w:webHidden/>
          </w:rPr>
          <w:fldChar w:fldCharType="begin"/>
        </w:r>
        <w:r>
          <w:rPr>
            <w:noProof/>
            <w:webHidden/>
          </w:rPr>
          <w:instrText xml:space="preserve"> PAGEREF _Toc115788012 \h </w:instrText>
        </w:r>
        <w:r>
          <w:rPr>
            <w:noProof/>
            <w:webHidden/>
          </w:rPr>
        </w:r>
        <w:r>
          <w:rPr>
            <w:noProof/>
            <w:webHidden/>
          </w:rPr>
          <w:fldChar w:fldCharType="separate"/>
        </w:r>
        <w:r w:rsidR="00F80947">
          <w:rPr>
            <w:noProof/>
            <w:webHidden/>
          </w:rPr>
          <w:t>11</w:t>
        </w:r>
        <w:r>
          <w:rPr>
            <w:noProof/>
            <w:webHidden/>
          </w:rPr>
          <w:fldChar w:fldCharType="end"/>
        </w:r>
      </w:hyperlink>
    </w:p>
    <w:p w14:paraId="233EE2CD" w14:textId="1E18BE44"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3" w:history="1">
        <w:r w:rsidRPr="00E66DF2">
          <w:rPr>
            <w:rStyle w:val="Hypertextovodkaz"/>
            <w:noProof/>
          </w:rPr>
          <w:t>Graf č. 5: Členění běžných výdajů 2023</w:t>
        </w:r>
        <w:r>
          <w:rPr>
            <w:noProof/>
            <w:webHidden/>
          </w:rPr>
          <w:tab/>
        </w:r>
        <w:r>
          <w:rPr>
            <w:noProof/>
            <w:webHidden/>
          </w:rPr>
          <w:fldChar w:fldCharType="begin"/>
        </w:r>
        <w:r>
          <w:rPr>
            <w:noProof/>
            <w:webHidden/>
          </w:rPr>
          <w:instrText xml:space="preserve"> PAGEREF _Toc115788013 \h </w:instrText>
        </w:r>
        <w:r>
          <w:rPr>
            <w:noProof/>
            <w:webHidden/>
          </w:rPr>
        </w:r>
        <w:r>
          <w:rPr>
            <w:noProof/>
            <w:webHidden/>
          </w:rPr>
          <w:fldChar w:fldCharType="separate"/>
        </w:r>
        <w:r w:rsidR="00F80947">
          <w:rPr>
            <w:noProof/>
            <w:webHidden/>
          </w:rPr>
          <w:t>15</w:t>
        </w:r>
        <w:r>
          <w:rPr>
            <w:noProof/>
            <w:webHidden/>
          </w:rPr>
          <w:fldChar w:fldCharType="end"/>
        </w:r>
      </w:hyperlink>
    </w:p>
    <w:p w14:paraId="3E8F862C" w14:textId="0034B548"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4" w:history="1">
        <w:r w:rsidRPr="00E66DF2">
          <w:rPr>
            <w:rStyle w:val="Hypertextovodkaz"/>
            <w:noProof/>
          </w:rPr>
          <w:t>Graf č. 6: Neinvestiční transfery podnikatelským subjektům</w:t>
        </w:r>
        <w:r>
          <w:rPr>
            <w:noProof/>
            <w:webHidden/>
          </w:rPr>
          <w:tab/>
        </w:r>
        <w:r>
          <w:rPr>
            <w:noProof/>
            <w:webHidden/>
          </w:rPr>
          <w:fldChar w:fldCharType="begin"/>
        </w:r>
        <w:r>
          <w:rPr>
            <w:noProof/>
            <w:webHidden/>
          </w:rPr>
          <w:instrText xml:space="preserve"> PAGEREF _Toc115788014 \h </w:instrText>
        </w:r>
        <w:r>
          <w:rPr>
            <w:noProof/>
            <w:webHidden/>
          </w:rPr>
        </w:r>
        <w:r>
          <w:rPr>
            <w:noProof/>
            <w:webHidden/>
          </w:rPr>
          <w:fldChar w:fldCharType="separate"/>
        </w:r>
        <w:r w:rsidR="00F80947">
          <w:rPr>
            <w:noProof/>
            <w:webHidden/>
          </w:rPr>
          <w:t>37</w:t>
        </w:r>
        <w:r>
          <w:rPr>
            <w:noProof/>
            <w:webHidden/>
          </w:rPr>
          <w:fldChar w:fldCharType="end"/>
        </w:r>
      </w:hyperlink>
    </w:p>
    <w:p w14:paraId="231B2C90" w14:textId="0F9A435F"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5" w:history="1">
        <w:r w:rsidRPr="00E66DF2">
          <w:rPr>
            <w:rStyle w:val="Hypertextovodkaz"/>
            <w:noProof/>
          </w:rPr>
          <w:t>Graf č. 7: Neinvestiční transfery veřejným rozpočtům územní úrovně (v tis. Kč)</w:t>
        </w:r>
        <w:r>
          <w:rPr>
            <w:noProof/>
            <w:webHidden/>
          </w:rPr>
          <w:tab/>
        </w:r>
        <w:r>
          <w:rPr>
            <w:noProof/>
            <w:webHidden/>
          </w:rPr>
          <w:fldChar w:fldCharType="begin"/>
        </w:r>
        <w:r>
          <w:rPr>
            <w:noProof/>
            <w:webHidden/>
          </w:rPr>
          <w:instrText xml:space="preserve"> PAGEREF _Toc115788015 \h </w:instrText>
        </w:r>
        <w:r>
          <w:rPr>
            <w:noProof/>
            <w:webHidden/>
          </w:rPr>
        </w:r>
        <w:r>
          <w:rPr>
            <w:noProof/>
            <w:webHidden/>
          </w:rPr>
          <w:fldChar w:fldCharType="separate"/>
        </w:r>
        <w:r w:rsidR="00F80947">
          <w:rPr>
            <w:noProof/>
            <w:webHidden/>
          </w:rPr>
          <w:t>38</w:t>
        </w:r>
        <w:r>
          <w:rPr>
            <w:noProof/>
            <w:webHidden/>
          </w:rPr>
          <w:fldChar w:fldCharType="end"/>
        </w:r>
      </w:hyperlink>
    </w:p>
    <w:p w14:paraId="64895D56" w14:textId="12EB380A"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6" w:history="1">
        <w:r w:rsidRPr="00E66DF2">
          <w:rPr>
            <w:rStyle w:val="Hypertextovodkaz"/>
            <w:noProof/>
          </w:rPr>
          <w:t>Graf č. 8 Členění kapitálových výdajů</w:t>
        </w:r>
        <w:r>
          <w:rPr>
            <w:noProof/>
            <w:webHidden/>
          </w:rPr>
          <w:tab/>
        </w:r>
        <w:r>
          <w:rPr>
            <w:noProof/>
            <w:webHidden/>
          </w:rPr>
          <w:fldChar w:fldCharType="begin"/>
        </w:r>
        <w:r>
          <w:rPr>
            <w:noProof/>
            <w:webHidden/>
          </w:rPr>
          <w:instrText xml:space="preserve"> PAGEREF _Toc115788016 \h </w:instrText>
        </w:r>
        <w:r>
          <w:rPr>
            <w:noProof/>
            <w:webHidden/>
          </w:rPr>
        </w:r>
        <w:r>
          <w:rPr>
            <w:noProof/>
            <w:webHidden/>
          </w:rPr>
          <w:fldChar w:fldCharType="separate"/>
        </w:r>
        <w:r w:rsidR="00F80947">
          <w:rPr>
            <w:noProof/>
            <w:webHidden/>
          </w:rPr>
          <w:t>42</w:t>
        </w:r>
        <w:r>
          <w:rPr>
            <w:noProof/>
            <w:webHidden/>
          </w:rPr>
          <w:fldChar w:fldCharType="end"/>
        </w:r>
      </w:hyperlink>
    </w:p>
    <w:p w14:paraId="04CEA1F5" w14:textId="5684BAD3" w:rsidR="00AD73D1" w:rsidRDefault="00AD73D1">
      <w:pPr>
        <w:pStyle w:val="Seznamobrzk"/>
        <w:tabs>
          <w:tab w:val="right" w:leader="dot" w:pos="9060"/>
        </w:tabs>
        <w:rPr>
          <w:rFonts w:asciiTheme="minorHAnsi" w:eastAsiaTheme="minorEastAsia" w:hAnsiTheme="minorHAnsi" w:cstheme="minorBidi"/>
          <w:noProof/>
          <w:sz w:val="22"/>
          <w:szCs w:val="22"/>
        </w:rPr>
      </w:pPr>
      <w:hyperlink w:anchor="_Toc115788017" w:history="1">
        <w:r w:rsidRPr="00E66DF2">
          <w:rPr>
            <w:rStyle w:val="Hypertextovodkaz"/>
            <w:noProof/>
          </w:rPr>
          <w:t>Graf č. 9 Rozdělení prostředků z rozpočtu EU dle programů</w:t>
        </w:r>
        <w:r>
          <w:rPr>
            <w:noProof/>
            <w:webHidden/>
          </w:rPr>
          <w:tab/>
        </w:r>
        <w:r>
          <w:rPr>
            <w:noProof/>
            <w:webHidden/>
          </w:rPr>
          <w:fldChar w:fldCharType="begin"/>
        </w:r>
        <w:r>
          <w:rPr>
            <w:noProof/>
            <w:webHidden/>
          </w:rPr>
          <w:instrText xml:space="preserve"> PAGEREF _Toc115788017 \h </w:instrText>
        </w:r>
        <w:r>
          <w:rPr>
            <w:noProof/>
            <w:webHidden/>
          </w:rPr>
        </w:r>
        <w:r>
          <w:rPr>
            <w:noProof/>
            <w:webHidden/>
          </w:rPr>
          <w:fldChar w:fldCharType="separate"/>
        </w:r>
        <w:r w:rsidR="00F80947">
          <w:rPr>
            <w:noProof/>
            <w:webHidden/>
          </w:rPr>
          <w:t>68</w:t>
        </w:r>
        <w:r>
          <w:rPr>
            <w:noProof/>
            <w:webHidden/>
          </w:rPr>
          <w:fldChar w:fldCharType="end"/>
        </w:r>
      </w:hyperlink>
    </w:p>
    <w:p w14:paraId="694F592C" w14:textId="77777777" w:rsidR="00670C99" w:rsidRPr="00E8518E" w:rsidRDefault="00E55CA7">
      <w:pPr>
        <w:rPr>
          <w:rFonts w:cs="Times New Roman"/>
          <w:color w:val="FF0000"/>
          <w:szCs w:val="24"/>
        </w:rPr>
      </w:pPr>
      <w:r w:rsidRPr="00E8518E">
        <w:rPr>
          <w:rFonts w:cs="Times New Roman"/>
          <w:color w:val="FF0000"/>
          <w:szCs w:val="24"/>
        </w:rPr>
        <w:fldChar w:fldCharType="end"/>
      </w:r>
    </w:p>
    <w:p w14:paraId="1BFBDB36" w14:textId="77777777" w:rsidR="0002708E" w:rsidRPr="00E8518E" w:rsidRDefault="00670C99">
      <w:pPr>
        <w:rPr>
          <w:rFonts w:cs="Times New Roman"/>
          <w:color w:val="FF0000"/>
          <w:szCs w:val="24"/>
        </w:rPr>
        <w:sectPr w:rsidR="0002708E" w:rsidRPr="00E8518E" w:rsidSect="0002708E">
          <w:headerReference w:type="default" r:id="rId13"/>
          <w:footerReference w:type="default" r:id="rId14"/>
          <w:pgSz w:w="11906" w:h="16838" w:code="9"/>
          <w:pgMar w:top="1418" w:right="1418" w:bottom="993" w:left="1418" w:header="709" w:footer="709" w:gutter="0"/>
          <w:pgNumType w:start="1"/>
          <w:cols w:space="708"/>
          <w:titlePg/>
          <w:docGrid w:linePitch="360"/>
        </w:sectPr>
      </w:pPr>
      <w:r w:rsidRPr="00E8518E">
        <w:rPr>
          <w:rFonts w:cs="Times New Roman"/>
          <w:color w:val="FF0000"/>
          <w:szCs w:val="24"/>
        </w:rPr>
        <w:br w:type="page"/>
      </w:r>
      <w:bookmarkStart w:id="0" w:name="_GoBack"/>
      <w:bookmarkEnd w:id="0"/>
    </w:p>
    <w:p w14:paraId="281556B9" w14:textId="77777777" w:rsidR="00F3318F" w:rsidRPr="0088307E" w:rsidRDefault="00F3318F" w:rsidP="00CD5258">
      <w:pPr>
        <w:pStyle w:val="Nadpis1"/>
        <w:rPr>
          <w:bCs/>
          <w:smallCaps/>
          <w:szCs w:val="28"/>
        </w:rPr>
      </w:pPr>
      <w:bookmarkStart w:id="1" w:name="_Toc462314382"/>
      <w:bookmarkStart w:id="2" w:name="_Toc115787421"/>
      <w:r w:rsidRPr="0088307E">
        <w:rPr>
          <w:bCs/>
          <w:smallCaps/>
          <w:szCs w:val="28"/>
        </w:rPr>
        <w:t>Úvod</w:t>
      </w:r>
      <w:bookmarkEnd w:id="1"/>
      <w:bookmarkEnd w:id="2"/>
    </w:p>
    <w:p w14:paraId="69045488" w14:textId="6917FFAA" w:rsidR="0010766D" w:rsidRDefault="00CF4BB2" w:rsidP="0088307E">
      <w:pPr>
        <w:pStyle w:val="Styl1"/>
        <w:spacing w:before="160" w:after="160"/>
      </w:pPr>
      <w:r w:rsidRPr="0088307E">
        <w:t>Návrh rozpočtu kapitoly 327 Ministerstvo dopravy na rok 202</w:t>
      </w:r>
      <w:r w:rsidR="008D5D76" w:rsidRPr="0088307E">
        <w:t>3</w:t>
      </w:r>
      <w:r w:rsidRPr="0088307E">
        <w:t xml:space="preserve"> byl vypracován v souladu </w:t>
      </w:r>
      <w:r w:rsidRPr="0088307E">
        <w:br/>
        <w:t xml:space="preserve">s usnesením vlády České republiky </w:t>
      </w:r>
      <w:r w:rsidR="005C45F8">
        <w:t xml:space="preserve">č. 808 </w:t>
      </w:r>
      <w:r w:rsidRPr="0088307E">
        <w:t>ze dne</w:t>
      </w:r>
      <w:r w:rsidR="008A57D3" w:rsidRPr="0088307E">
        <w:t xml:space="preserve"> </w:t>
      </w:r>
      <w:r w:rsidR="005C45F8" w:rsidRPr="0088307E">
        <w:t>26</w:t>
      </w:r>
      <w:r w:rsidR="008A57D3" w:rsidRPr="0088307E">
        <w:t xml:space="preserve">. </w:t>
      </w:r>
      <w:r w:rsidR="005C45F8" w:rsidRPr="0088307E">
        <w:t>září</w:t>
      </w:r>
      <w:r w:rsidR="008A57D3" w:rsidRPr="0088307E">
        <w:t xml:space="preserve"> 2022,</w:t>
      </w:r>
      <w:r w:rsidRPr="0088307E">
        <w:t xml:space="preserve"> k  návrhu zákona o státním rozp</w:t>
      </w:r>
      <w:r w:rsidR="00AF2F16" w:rsidRPr="0088307E">
        <w:t>očtu České republiky na rok 202</w:t>
      </w:r>
      <w:r w:rsidR="008D5D76" w:rsidRPr="0088307E">
        <w:t>3</w:t>
      </w:r>
      <w:r w:rsidRPr="0088307E">
        <w:t xml:space="preserve"> a střednědobého výhledu státního rozpo</w:t>
      </w:r>
      <w:r w:rsidR="00AF2F16" w:rsidRPr="0088307E">
        <w:t>čtu České republiky na léta 202</w:t>
      </w:r>
      <w:r w:rsidR="008D5D76" w:rsidRPr="0088307E">
        <w:t>4</w:t>
      </w:r>
      <w:r w:rsidR="00AF2F16" w:rsidRPr="0088307E">
        <w:t xml:space="preserve"> a 202</w:t>
      </w:r>
      <w:r w:rsidR="008D5D76" w:rsidRPr="0088307E">
        <w:t>5</w:t>
      </w:r>
      <w:r w:rsidRPr="0088307E">
        <w:t xml:space="preserve">. </w:t>
      </w:r>
    </w:p>
    <w:p w14:paraId="55ACC236" w14:textId="71C26EDB" w:rsidR="00CF4BB2" w:rsidRPr="0088307E" w:rsidRDefault="00750C12" w:rsidP="0088307E">
      <w:pPr>
        <w:pStyle w:val="Styl1"/>
        <w:spacing w:before="160" w:after="160"/>
      </w:pPr>
      <w:r w:rsidRPr="005E6B5D">
        <w:rPr>
          <w:i/>
        </w:rPr>
        <w:t xml:space="preserve">Uvedené hodnoty </w:t>
      </w:r>
      <w:proofErr w:type="spellStart"/>
      <w:r w:rsidR="002160C6" w:rsidRPr="005E6B5D">
        <w:rPr>
          <w:i/>
        </w:rPr>
        <w:t>scháleného</w:t>
      </w:r>
      <w:proofErr w:type="spellEnd"/>
      <w:r w:rsidR="002160C6" w:rsidRPr="005E6B5D">
        <w:rPr>
          <w:i/>
        </w:rPr>
        <w:t xml:space="preserve"> rozpočtu pro rok 2022 </w:t>
      </w:r>
      <w:r w:rsidRPr="005E6B5D">
        <w:rPr>
          <w:i/>
        </w:rPr>
        <w:t xml:space="preserve">odpovídají </w:t>
      </w:r>
      <w:r w:rsidR="002160C6" w:rsidRPr="005E6B5D">
        <w:rPr>
          <w:i/>
        </w:rPr>
        <w:t xml:space="preserve">zákonu č. 57/2022 Sb., </w:t>
      </w:r>
      <w:r w:rsidR="00705BF3">
        <w:rPr>
          <w:i/>
        </w:rPr>
        <w:br/>
      </w:r>
      <w:r w:rsidR="002160C6" w:rsidRPr="005E6B5D">
        <w:rPr>
          <w:i/>
        </w:rPr>
        <w:t xml:space="preserve">o státním rozpočtu ČR na rok 2022 ze dne 10. března 2022 a nereflektuji tak připravovanou novelu zákona, která doposud </w:t>
      </w:r>
      <w:r w:rsidR="00DB49C4" w:rsidRPr="005E6B5D">
        <w:rPr>
          <w:i/>
        </w:rPr>
        <w:t>(</w:t>
      </w:r>
      <w:r w:rsidR="00AB7113" w:rsidRPr="005E6B5D">
        <w:rPr>
          <w:i/>
        </w:rPr>
        <w:t xml:space="preserve">tj. </w:t>
      </w:r>
      <w:r w:rsidR="00BC414A" w:rsidRPr="005E6B5D">
        <w:rPr>
          <w:i/>
        </w:rPr>
        <w:t>ke dni tisku</w:t>
      </w:r>
      <w:r w:rsidR="00DB49C4" w:rsidRPr="005E6B5D">
        <w:rPr>
          <w:i/>
        </w:rPr>
        <w:t>)</w:t>
      </w:r>
      <w:r w:rsidR="002160C6" w:rsidRPr="005E6B5D">
        <w:rPr>
          <w:i/>
        </w:rPr>
        <w:t xml:space="preserve"> nebyla schválena P</w:t>
      </w:r>
      <w:r w:rsidR="00DB49C4" w:rsidRPr="005E6B5D">
        <w:rPr>
          <w:i/>
        </w:rPr>
        <w:t>SP ČR.</w:t>
      </w:r>
    </w:p>
    <w:p w14:paraId="5FA364A3" w14:textId="77777777" w:rsidR="00CF4BB2" w:rsidRPr="0088307E" w:rsidRDefault="00CF4BB2" w:rsidP="0088307E">
      <w:pPr>
        <w:pStyle w:val="Styl1"/>
        <w:spacing w:before="160" w:after="160"/>
      </w:pPr>
      <w:r w:rsidRPr="0088307E">
        <w:t xml:space="preserve">Ministerstvo dopravy je ústředním orgánem státní správy ve věcech dopravy a odpovídá </w:t>
      </w:r>
      <w:r w:rsidRPr="0088307E">
        <w:br/>
        <w:t xml:space="preserve">za tvorbu a uskutečňování státní politiky v oblasti dopravy v  rozsahu své působnosti. </w:t>
      </w:r>
    </w:p>
    <w:p w14:paraId="1A58A4F2" w14:textId="58B81132" w:rsidR="00CF4BB2" w:rsidRPr="0088307E" w:rsidRDefault="00CF4BB2" w:rsidP="00CF4BB2">
      <w:pPr>
        <w:pStyle w:val="Styl1"/>
        <w:spacing w:before="60" w:after="60"/>
      </w:pPr>
      <w:r w:rsidRPr="0088307E">
        <w:t>Mezi hlavní výdajové priority rozpočtu kapitoly MD jsou pro rok 202</w:t>
      </w:r>
      <w:r w:rsidR="008D5D76" w:rsidRPr="0088307E">
        <w:t>3</w:t>
      </w:r>
      <w:r w:rsidRPr="0088307E">
        <w:t xml:space="preserve"> zařazeny:</w:t>
      </w:r>
    </w:p>
    <w:p w14:paraId="55BCA8B0" w14:textId="77777777" w:rsidR="00CF4BB2" w:rsidRPr="0088307E" w:rsidRDefault="00CF4BB2" w:rsidP="004B2F70">
      <w:pPr>
        <w:pStyle w:val="Styl1"/>
        <w:numPr>
          <w:ilvl w:val="0"/>
          <w:numId w:val="17"/>
        </w:numPr>
        <w:spacing w:before="0" w:after="0"/>
        <w:ind w:left="567" w:hanging="283"/>
      </w:pPr>
      <w:r w:rsidRPr="0088307E">
        <w:t>Výdaje na financování společných programů EU a ČR;</w:t>
      </w:r>
    </w:p>
    <w:p w14:paraId="41A03A6F" w14:textId="77777777" w:rsidR="00CF4BB2" w:rsidRPr="0088307E" w:rsidRDefault="00CF4BB2" w:rsidP="004B2F70">
      <w:pPr>
        <w:pStyle w:val="Styl1"/>
        <w:numPr>
          <w:ilvl w:val="0"/>
          <w:numId w:val="17"/>
        </w:numPr>
        <w:spacing w:before="0" w:after="0"/>
        <w:ind w:left="567" w:hanging="283"/>
      </w:pPr>
      <w:r w:rsidRPr="0088307E">
        <w:t>Úhrada ztráty ze závazku veřejné služby ve veřejné drážní osobní dopravě;</w:t>
      </w:r>
    </w:p>
    <w:p w14:paraId="3AEE8DA4" w14:textId="77777777" w:rsidR="00CF4BB2" w:rsidRPr="0088307E" w:rsidRDefault="00CF4BB2" w:rsidP="004B2F70">
      <w:pPr>
        <w:pStyle w:val="Styl1"/>
        <w:numPr>
          <w:ilvl w:val="0"/>
          <w:numId w:val="17"/>
        </w:numPr>
        <w:spacing w:before="0" w:after="0"/>
        <w:ind w:left="567" w:hanging="283"/>
      </w:pPr>
      <w:r w:rsidRPr="0088307E">
        <w:t>Dotace Státnímu fondu dopravní infrastruktury;</w:t>
      </w:r>
    </w:p>
    <w:p w14:paraId="6CBC93D5" w14:textId="77777777" w:rsidR="00CF4BB2" w:rsidRPr="0088307E" w:rsidRDefault="00CF4BB2" w:rsidP="004B2F70">
      <w:pPr>
        <w:pStyle w:val="Styl1"/>
        <w:numPr>
          <w:ilvl w:val="0"/>
          <w:numId w:val="17"/>
        </w:numPr>
        <w:spacing w:before="0" w:after="0"/>
        <w:ind w:left="567" w:hanging="283"/>
      </w:pPr>
      <w:r w:rsidRPr="0088307E">
        <w:t>Příspěvky na volitelné programy ESA;</w:t>
      </w:r>
    </w:p>
    <w:p w14:paraId="1980489E" w14:textId="77777777" w:rsidR="00CF4BB2" w:rsidRPr="0088307E" w:rsidRDefault="00CF4BB2" w:rsidP="004B2F70">
      <w:pPr>
        <w:pStyle w:val="Styl1"/>
        <w:numPr>
          <w:ilvl w:val="0"/>
          <w:numId w:val="17"/>
        </w:numPr>
        <w:spacing w:before="0" w:after="0"/>
        <w:ind w:left="567" w:hanging="283"/>
      </w:pPr>
      <w:r w:rsidRPr="0088307E">
        <w:t>Kompenzace slev jízdného;</w:t>
      </w:r>
    </w:p>
    <w:p w14:paraId="696EA126" w14:textId="77777777" w:rsidR="00CF4BB2" w:rsidRPr="0088307E" w:rsidRDefault="00CF4BB2" w:rsidP="004B2F70">
      <w:pPr>
        <w:pStyle w:val="Styl1"/>
        <w:numPr>
          <w:ilvl w:val="0"/>
          <w:numId w:val="17"/>
        </w:numPr>
        <w:spacing w:before="0" w:after="0"/>
        <w:ind w:left="567" w:hanging="283"/>
      </w:pPr>
      <w:r w:rsidRPr="0088307E">
        <w:t>Výdaje na zabezpečení činností orgánů státní správy.</w:t>
      </w:r>
    </w:p>
    <w:p w14:paraId="54292125" w14:textId="28788F58" w:rsidR="00CF4BB2" w:rsidRPr="0088307E" w:rsidRDefault="00CF4BB2" w:rsidP="0088307E">
      <w:pPr>
        <w:pStyle w:val="Styl1"/>
        <w:spacing w:before="160" w:after="160"/>
      </w:pPr>
      <w:r w:rsidRPr="0088307E">
        <w:t>Vztah kapitoly Ministerstvo dopravy ke státnímu rozpočtu České republiky na rok 202</w:t>
      </w:r>
      <w:r w:rsidR="008D5D76">
        <w:t>3</w:t>
      </w:r>
      <w:r w:rsidRPr="0088307E">
        <w:t xml:space="preserve"> je dán souhrnnými ukazateli:</w:t>
      </w:r>
    </w:p>
    <w:p w14:paraId="48E96953" w14:textId="3B66D89A" w:rsidR="00CF4BB2" w:rsidRPr="0088307E" w:rsidRDefault="00CF4BB2" w:rsidP="00CF4BB2">
      <w:pPr>
        <w:numPr>
          <w:ilvl w:val="0"/>
          <w:numId w:val="1"/>
        </w:numPr>
        <w:spacing w:line="240" w:lineRule="auto"/>
        <w:ind w:left="567" w:hanging="283"/>
        <w:rPr>
          <w:rFonts w:eastAsia="Times New Roman" w:cs="Times New Roman"/>
          <w:b/>
          <w:bCs/>
          <w:szCs w:val="24"/>
          <w:lang w:eastAsia="cs-CZ"/>
        </w:rPr>
      </w:pPr>
      <w:r w:rsidRPr="0088307E">
        <w:rPr>
          <w:rFonts w:eastAsia="Times New Roman" w:cs="Times New Roman"/>
          <w:b/>
          <w:bCs/>
          <w:szCs w:val="24"/>
          <w:lang w:eastAsia="cs-CZ"/>
        </w:rPr>
        <w:t>Příjmy celkem</w:t>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00DB49C4">
        <w:rPr>
          <w:rFonts w:eastAsia="Times New Roman" w:cs="Times New Roman"/>
          <w:b/>
          <w:bCs/>
          <w:szCs w:val="24"/>
          <w:lang w:eastAsia="cs-CZ"/>
        </w:rPr>
        <w:tab/>
      </w:r>
      <w:r w:rsidR="000263D6">
        <w:rPr>
          <w:rFonts w:eastAsia="Times New Roman" w:cs="Times New Roman"/>
          <w:b/>
          <w:bCs/>
          <w:szCs w:val="24"/>
          <w:lang w:eastAsia="cs-CZ"/>
        </w:rPr>
        <w:t xml:space="preserve">   </w:t>
      </w:r>
      <w:r w:rsidR="005B5878" w:rsidRPr="0088307E">
        <w:rPr>
          <w:rFonts w:eastAsia="Times New Roman" w:cs="Times New Roman"/>
          <w:b/>
          <w:bCs/>
          <w:szCs w:val="24"/>
          <w:lang w:eastAsia="cs-CZ"/>
        </w:rPr>
        <w:t>29 053 763</w:t>
      </w:r>
      <w:r w:rsidRPr="0088307E">
        <w:rPr>
          <w:rFonts w:eastAsia="Times New Roman" w:cs="Times New Roman"/>
          <w:b/>
          <w:bCs/>
          <w:szCs w:val="24"/>
          <w:lang w:eastAsia="cs-CZ"/>
        </w:rPr>
        <w:t xml:space="preserve"> tis. Kč</w:t>
      </w:r>
    </w:p>
    <w:p w14:paraId="3D7A69AC" w14:textId="0569E406" w:rsidR="00CF4BB2" w:rsidRPr="0088307E" w:rsidRDefault="00CF4BB2" w:rsidP="00CF4BB2">
      <w:pPr>
        <w:numPr>
          <w:ilvl w:val="0"/>
          <w:numId w:val="1"/>
        </w:numPr>
        <w:spacing w:line="240" w:lineRule="auto"/>
        <w:ind w:left="567" w:hanging="283"/>
        <w:rPr>
          <w:rFonts w:eastAsia="Times New Roman" w:cs="Times New Roman"/>
          <w:b/>
          <w:bCs/>
          <w:szCs w:val="24"/>
          <w:lang w:eastAsia="cs-CZ"/>
        </w:rPr>
      </w:pPr>
      <w:r w:rsidRPr="0088307E">
        <w:rPr>
          <w:rFonts w:eastAsia="Times New Roman" w:cs="Times New Roman"/>
          <w:b/>
          <w:bCs/>
          <w:szCs w:val="24"/>
          <w:lang w:eastAsia="cs-CZ"/>
        </w:rPr>
        <w:t xml:space="preserve">Výdaje celkem </w:t>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Pr="0088307E">
        <w:rPr>
          <w:rFonts w:eastAsia="Times New Roman" w:cs="Times New Roman"/>
          <w:b/>
          <w:bCs/>
          <w:szCs w:val="24"/>
          <w:lang w:eastAsia="cs-CZ"/>
        </w:rPr>
        <w:tab/>
      </w:r>
      <w:r w:rsidR="00FC0C76">
        <w:rPr>
          <w:rFonts w:eastAsia="Times New Roman" w:cs="Times New Roman"/>
          <w:b/>
          <w:bCs/>
          <w:szCs w:val="24"/>
          <w:lang w:eastAsia="cs-CZ"/>
        </w:rPr>
        <w:t xml:space="preserve"> </w:t>
      </w:r>
      <w:r w:rsidR="00502277">
        <w:rPr>
          <w:rFonts w:eastAsia="Times New Roman" w:cs="Times New Roman"/>
          <w:b/>
          <w:bCs/>
          <w:szCs w:val="24"/>
          <w:lang w:eastAsia="cs-CZ"/>
        </w:rPr>
        <w:t>112</w:t>
      </w:r>
      <w:r w:rsidR="00FC0C76">
        <w:rPr>
          <w:rFonts w:eastAsia="Times New Roman" w:cs="Times New Roman"/>
          <w:b/>
          <w:bCs/>
          <w:szCs w:val="24"/>
          <w:lang w:eastAsia="cs-CZ"/>
        </w:rPr>
        <w:t> 700 867</w:t>
      </w:r>
      <w:r w:rsidR="00E07733" w:rsidRPr="0088307E">
        <w:rPr>
          <w:rFonts w:eastAsia="Times New Roman" w:cs="Times New Roman"/>
          <w:b/>
          <w:bCs/>
          <w:szCs w:val="24"/>
          <w:lang w:eastAsia="cs-CZ"/>
        </w:rPr>
        <w:t xml:space="preserve"> </w:t>
      </w:r>
      <w:r w:rsidRPr="0088307E">
        <w:rPr>
          <w:rFonts w:eastAsia="Times New Roman" w:cs="Times New Roman"/>
          <w:b/>
          <w:bCs/>
          <w:szCs w:val="24"/>
          <w:lang w:eastAsia="cs-CZ"/>
        </w:rPr>
        <w:t>tis. Kč</w:t>
      </w:r>
    </w:p>
    <w:p w14:paraId="1C34C121" w14:textId="77777777" w:rsidR="00CF4BB2" w:rsidRPr="0088307E" w:rsidRDefault="00CF4BB2" w:rsidP="00CF4BB2">
      <w:pPr>
        <w:ind w:left="567"/>
        <w:rPr>
          <w:rFonts w:eastAsia="Times New Roman" w:cs="Times New Roman"/>
          <w:szCs w:val="24"/>
          <w:lang w:eastAsia="cs-CZ"/>
        </w:rPr>
      </w:pPr>
      <w:r w:rsidRPr="0088307E">
        <w:rPr>
          <w:rFonts w:eastAsia="Times New Roman" w:cs="Times New Roman"/>
          <w:szCs w:val="24"/>
          <w:lang w:eastAsia="cs-CZ"/>
        </w:rPr>
        <w:t>v tom:</w:t>
      </w:r>
    </w:p>
    <w:p w14:paraId="2EE1DA11" w14:textId="4A5D6AA8" w:rsidR="00CF4BB2" w:rsidRPr="0088307E" w:rsidRDefault="00CF4BB2" w:rsidP="00CF4BB2">
      <w:pPr>
        <w:ind w:left="567"/>
        <w:rPr>
          <w:rFonts w:eastAsia="Times New Roman" w:cs="Times New Roman"/>
          <w:szCs w:val="24"/>
          <w:lang w:eastAsia="cs-CZ"/>
        </w:rPr>
      </w:pPr>
      <w:r w:rsidRPr="0088307E">
        <w:rPr>
          <w:rFonts w:eastAsia="Times New Roman" w:cs="Times New Roman"/>
          <w:szCs w:val="24"/>
          <w:lang w:eastAsia="cs-CZ"/>
        </w:rPr>
        <w:t>běžné výdaje</w:t>
      </w:r>
      <w:r w:rsidRPr="0088307E">
        <w:rPr>
          <w:rFonts w:eastAsia="Times New Roman" w:cs="Times New Roman"/>
          <w:szCs w:val="24"/>
          <w:lang w:eastAsia="cs-CZ"/>
        </w:rPr>
        <w:tab/>
      </w:r>
      <w:r w:rsidRPr="0088307E">
        <w:rPr>
          <w:rFonts w:eastAsia="Times New Roman" w:cs="Times New Roman"/>
          <w:szCs w:val="24"/>
          <w:lang w:eastAsia="cs-CZ"/>
        </w:rPr>
        <w:tab/>
      </w:r>
      <w:r w:rsidRPr="0088307E">
        <w:rPr>
          <w:rFonts w:eastAsia="Times New Roman" w:cs="Times New Roman"/>
          <w:szCs w:val="24"/>
          <w:lang w:eastAsia="cs-CZ"/>
        </w:rPr>
        <w:tab/>
      </w:r>
      <w:r w:rsidRPr="0088307E">
        <w:rPr>
          <w:rFonts w:eastAsia="Times New Roman" w:cs="Times New Roman"/>
          <w:szCs w:val="24"/>
          <w:lang w:eastAsia="cs-CZ"/>
        </w:rPr>
        <w:tab/>
      </w:r>
      <w:r w:rsidRPr="0088307E">
        <w:rPr>
          <w:rFonts w:eastAsia="Times New Roman" w:cs="Times New Roman"/>
          <w:szCs w:val="24"/>
          <w:lang w:eastAsia="cs-CZ"/>
        </w:rPr>
        <w:tab/>
      </w:r>
      <w:r w:rsidRPr="0088307E">
        <w:rPr>
          <w:rFonts w:eastAsia="Times New Roman" w:cs="Times New Roman"/>
          <w:szCs w:val="24"/>
          <w:lang w:eastAsia="cs-CZ"/>
        </w:rPr>
        <w:tab/>
      </w:r>
      <w:r w:rsidRPr="0088307E">
        <w:rPr>
          <w:rFonts w:eastAsia="Times New Roman" w:cs="Times New Roman"/>
          <w:szCs w:val="24"/>
          <w:lang w:eastAsia="cs-CZ"/>
        </w:rPr>
        <w:tab/>
      </w:r>
      <w:r w:rsidRPr="0088307E">
        <w:rPr>
          <w:rFonts w:eastAsia="Times New Roman" w:cs="Times New Roman"/>
          <w:szCs w:val="24"/>
          <w:lang w:eastAsia="cs-CZ"/>
        </w:rPr>
        <w:tab/>
        <w:t xml:space="preserve">   </w:t>
      </w:r>
      <w:r w:rsidR="00502277" w:rsidRPr="0088307E">
        <w:rPr>
          <w:rFonts w:eastAsia="Times New Roman" w:cs="Times New Roman"/>
          <w:szCs w:val="24"/>
          <w:lang w:eastAsia="cs-CZ"/>
        </w:rPr>
        <w:t>36 024 603</w:t>
      </w:r>
      <w:r w:rsidR="00E07733" w:rsidRPr="0088307E">
        <w:rPr>
          <w:rFonts w:eastAsia="Times New Roman" w:cs="Times New Roman"/>
          <w:szCs w:val="24"/>
          <w:lang w:eastAsia="cs-CZ"/>
        </w:rPr>
        <w:t xml:space="preserve"> </w:t>
      </w:r>
      <w:r w:rsidRPr="0088307E">
        <w:rPr>
          <w:rFonts w:eastAsia="Times New Roman" w:cs="Times New Roman"/>
          <w:szCs w:val="24"/>
          <w:lang w:eastAsia="cs-CZ"/>
        </w:rPr>
        <w:t>tis. Kč</w:t>
      </w:r>
    </w:p>
    <w:p w14:paraId="78BEEF22" w14:textId="20DDCF2C" w:rsidR="00AB7113" w:rsidRDefault="00CF4BB2" w:rsidP="0088307E">
      <w:pPr>
        <w:tabs>
          <w:tab w:val="left" w:pos="7200"/>
        </w:tabs>
        <w:spacing w:after="240"/>
        <w:ind w:left="567"/>
      </w:pPr>
      <w:r w:rsidRPr="0088307E">
        <w:rPr>
          <w:rFonts w:eastAsia="Times New Roman" w:cs="Times New Roman"/>
          <w:szCs w:val="24"/>
          <w:lang w:eastAsia="cs-CZ"/>
        </w:rPr>
        <w:t>kapitálové výdaje</w:t>
      </w:r>
      <w:r w:rsidRPr="0088307E">
        <w:rPr>
          <w:rFonts w:eastAsia="Times New Roman" w:cs="Times New Roman"/>
          <w:szCs w:val="24"/>
          <w:lang w:eastAsia="cs-CZ"/>
        </w:rPr>
        <w:tab/>
      </w:r>
      <w:r w:rsidR="00C34844" w:rsidRPr="0088307E">
        <w:rPr>
          <w:rFonts w:eastAsia="Times New Roman" w:cs="Times New Roman"/>
          <w:szCs w:val="24"/>
          <w:lang w:eastAsia="cs-CZ"/>
        </w:rPr>
        <w:t xml:space="preserve"> </w:t>
      </w:r>
      <w:r w:rsidR="00502277" w:rsidRPr="0088307E">
        <w:rPr>
          <w:rFonts w:eastAsia="Times New Roman" w:cs="Times New Roman"/>
          <w:szCs w:val="24"/>
          <w:lang w:eastAsia="cs-CZ"/>
        </w:rPr>
        <w:t>76 676 264</w:t>
      </w:r>
      <w:r w:rsidR="00920B28" w:rsidRPr="0088307E">
        <w:rPr>
          <w:rFonts w:eastAsia="Times New Roman" w:cs="Times New Roman"/>
          <w:szCs w:val="24"/>
          <w:lang w:eastAsia="cs-CZ"/>
        </w:rPr>
        <w:t xml:space="preserve"> </w:t>
      </w:r>
      <w:r w:rsidRPr="0088307E">
        <w:rPr>
          <w:rFonts w:eastAsia="Times New Roman" w:cs="Times New Roman"/>
          <w:szCs w:val="24"/>
          <w:lang w:eastAsia="cs-CZ"/>
        </w:rPr>
        <w:t>tis. Kč</w:t>
      </w:r>
      <w:bookmarkStart w:id="3" w:name="_Toc49763345"/>
      <w:bookmarkStart w:id="4" w:name="_Toc115788009"/>
    </w:p>
    <w:p w14:paraId="6C1562DD" w14:textId="474E8220" w:rsidR="00CF4BB2" w:rsidRPr="0088307E" w:rsidRDefault="00CF4BB2">
      <w:pPr>
        <w:pStyle w:val="Titulek"/>
      </w:pPr>
      <w:r w:rsidRPr="0088307E">
        <w:t xml:space="preserve">Graf č. </w:t>
      </w:r>
      <w:fldSimple w:instr=" SEQ Graf_č. \* ARABIC ">
        <w:r w:rsidR="00F80947">
          <w:rPr>
            <w:noProof/>
          </w:rPr>
          <w:t>1</w:t>
        </w:r>
      </w:fldSimple>
      <w:r w:rsidRPr="0088307E">
        <w:t xml:space="preserve"> Porovnání příjmů a výdajů v kapitole 327-MD (v tis. Kč)</w:t>
      </w:r>
      <w:bookmarkEnd w:id="3"/>
      <w:bookmarkEnd w:id="4"/>
    </w:p>
    <w:p w14:paraId="0B7EAFCD" w14:textId="591A60BF" w:rsidR="00CF4BB2" w:rsidRPr="00E8518E" w:rsidRDefault="00CF4BB2" w:rsidP="00CF4BB2">
      <w:pPr>
        <w:pStyle w:val="obyctext"/>
        <w:keepNext/>
        <w:ind w:firstLine="0"/>
        <w:rPr>
          <w:noProof/>
          <w:color w:val="FF0000"/>
        </w:rPr>
      </w:pPr>
      <w:r w:rsidRPr="00E8518E">
        <w:rPr>
          <w:noProof/>
          <w:color w:val="FF0000"/>
        </w:rPr>
        <w:drawing>
          <wp:inline distT="0" distB="0" distL="0" distR="0" wp14:anchorId="3E91BBBC" wp14:editId="5FD0518B">
            <wp:extent cx="5759450" cy="2633784"/>
            <wp:effectExtent l="0" t="0" r="12700" b="1460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59FCDA1E" w14:textId="77777777" w:rsidR="00AB7113" w:rsidRDefault="00AB7113" w:rsidP="005B5878">
      <w:pPr>
        <w:pStyle w:val="Styl1"/>
      </w:pPr>
    </w:p>
    <w:p w14:paraId="2AFDA4C8" w14:textId="1C85F460" w:rsidR="005B5878" w:rsidRDefault="005B5878" w:rsidP="005B5878">
      <w:pPr>
        <w:pStyle w:val="Styl1"/>
        <w:rPr>
          <w:color w:val="FF0000"/>
        </w:rPr>
      </w:pPr>
      <w:r>
        <w:t xml:space="preserve">Příjmy kapitoly 327 Ministerstvo dopravy v návrhu rozpočtu na rok 2023 </w:t>
      </w:r>
      <w:r w:rsidRPr="0088307E">
        <w:t>(29 053 763</w:t>
      </w:r>
      <w:r w:rsidRPr="005B5878">
        <w:t xml:space="preserve"> tis. Kč) jsou oproti schválenému rozpočtu roku 2022 (48 755 702 tis. Kč) o </w:t>
      </w:r>
      <w:r w:rsidRPr="0088307E">
        <w:t>19 701 939</w:t>
      </w:r>
      <w:r w:rsidRPr="005B5878">
        <w:t xml:space="preserve"> tis. Kč nižší, </w:t>
      </w:r>
      <w:r w:rsidRPr="005B5878">
        <w:br/>
        <w:t>tj. o</w:t>
      </w:r>
      <w:r w:rsidRPr="0088307E">
        <w:t xml:space="preserve"> 40,41</w:t>
      </w:r>
      <w:r w:rsidRPr="005B5878">
        <w:t xml:space="preserve"> %. Důvodem jsou především</w:t>
      </w:r>
      <w:r w:rsidR="00425ABB">
        <w:t xml:space="preserve"> nižší rozpočtované příjmy z EU, konkrétně např. u Operačního programu Doprava 2014+</w:t>
      </w:r>
      <w:r w:rsidR="003B4CF4">
        <w:t xml:space="preserve"> </w:t>
      </w:r>
      <w:r w:rsidR="00425ABB">
        <w:t xml:space="preserve">(1 783 515 tis. Kč) </w:t>
      </w:r>
      <w:r w:rsidR="001D01B2">
        <w:t xml:space="preserve">pokles </w:t>
      </w:r>
      <w:r w:rsidR="00425ABB">
        <w:t xml:space="preserve">o 14 870 729 tis. Kč či Národního programu obnovy (3 003 459 tis. Kč) </w:t>
      </w:r>
      <w:r w:rsidR="00531FD9">
        <w:t xml:space="preserve">pokles </w:t>
      </w:r>
      <w:r w:rsidR="00425ABB">
        <w:t>o 6 943 154 tis. Kč.</w:t>
      </w:r>
    </w:p>
    <w:p w14:paraId="05F42C9D" w14:textId="7BCEC7B8" w:rsidR="00C26186" w:rsidRPr="00076693" w:rsidRDefault="00C26186" w:rsidP="00C26186">
      <w:pPr>
        <w:pStyle w:val="Styl1"/>
        <w:rPr>
          <w:color w:val="FF0000"/>
        </w:rPr>
      </w:pPr>
      <w:r w:rsidRPr="00502277">
        <w:t xml:space="preserve">Výdaje kapitoly 327-MD v návrhu rozpočtu na rok 2023 </w:t>
      </w:r>
      <w:r w:rsidR="00502277" w:rsidRPr="0088307E">
        <w:t>(112 700 867</w:t>
      </w:r>
      <w:r w:rsidRPr="00502277">
        <w:t xml:space="preserve"> tis. Kč) jsou v porovnání se schváleným rozpočtem na rok</w:t>
      </w:r>
      <w:r w:rsidRPr="0088307E">
        <w:t xml:space="preserve"> </w:t>
      </w:r>
      <w:r w:rsidRPr="00502277">
        <w:t xml:space="preserve">2022 (107 226 660 tis. Kč) o </w:t>
      </w:r>
      <w:r w:rsidR="00502277" w:rsidRPr="0088307E">
        <w:t>5 474 207 tis. Kč vyšší</w:t>
      </w:r>
      <w:r w:rsidRPr="00502277">
        <w:t xml:space="preserve">, </w:t>
      </w:r>
      <w:r w:rsidRPr="0088307E">
        <w:br/>
        <w:t xml:space="preserve">tj. o </w:t>
      </w:r>
      <w:r w:rsidR="00502277" w:rsidRPr="0088307E">
        <w:t>5,11</w:t>
      </w:r>
      <w:r w:rsidRPr="00502277">
        <w:t xml:space="preserve"> %. Důvodem je především</w:t>
      </w:r>
      <w:r w:rsidRPr="00076693">
        <w:rPr>
          <w:color w:val="FF0000"/>
        </w:rPr>
        <w:t xml:space="preserve"> </w:t>
      </w:r>
      <w:r w:rsidR="00502277" w:rsidRPr="0088307E">
        <w:t>opětovné dorovnání výdajů určených na nařízené slevy jízdného</w:t>
      </w:r>
      <w:r w:rsidR="000636D2">
        <w:t xml:space="preserve"> (5 000 000 tis. Kč)</w:t>
      </w:r>
      <w:r w:rsidR="00502277">
        <w:rPr>
          <w:color w:val="FF0000"/>
        </w:rPr>
        <w:t xml:space="preserve"> </w:t>
      </w:r>
      <w:r w:rsidR="00502277" w:rsidRPr="0088307E">
        <w:t>o 3 960 000 tis. Kč a</w:t>
      </w:r>
      <w:r w:rsidR="00695135">
        <w:t xml:space="preserve"> navýšení</w:t>
      </w:r>
      <w:r w:rsidRPr="000636D2">
        <w:t xml:space="preserve"> dotace pro Státn</w:t>
      </w:r>
      <w:r w:rsidR="00502277" w:rsidRPr="0088307E">
        <w:t xml:space="preserve">í fond dopravní infrastruktury </w:t>
      </w:r>
      <w:r w:rsidR="000636D2">
        <w:t xml:space="preserve">(92 369 489 tis. Kč) </w:t>
      </w:r>
      <w:r w:rsidRPr="000636D2">
        <w:t>celkem o</w:t>
      </w:r>
      <w:r w:rsidR="000636D2" w:rsidRPr="0088307E">
        <w:t xml:space="preserve"> 2 534 393</w:t>
      </w:r>
      <w:r w:rsidRPr="000636D2">
        <w:t xml:space="preserve"> tis. Kč.</w:t>
      </w:r>
    </w:p>
    <w:p w14:paraId="42DADBBB" w14:textId="32CA29B1" w:rsidR="00327798" w:rsidRPr="0088307E" w:rsidRDefault="00327798">
      <w:pPr>
        <w:pStyle w:val="Styl1"/>
      </w:pPr>
      <w:r w:rsidRPr="0088307E">
        <w:rPr>
          <w:rStyle w:val="normaltextrun"/>
          <w:shd w:val="clear" w:color="auto" w:fill="FFFFFF"/>
        </w:rPr>
        <w:t xml:space="preserve">Výdaje určené pro vlastní Ministerstvo dopravy a jím zřízené organizační složky státu, příspěvkové organizace a veřejnou výzkumnou organizaci jsou zvýšeny oproti roku 2022 </w:t>
      </w:r>
      <w:r w:rsidRPr="0088307E">
        <w:rPr>
          <w:shd w:val="clear" w:color="auto" w:fill="FFFFFF"/>
        </w:rPr>
        <w:br/>
      </w:r>
      <w:r w:rsidRPr="0088307E">
        <w:rPr>
          <w:rStyle w:val="normaltextrun"/>
          <w:shd w:val="clear" w:color="auto" w:fill="FFFFFF"/>
        </w:rPr>
        <w:t>o</w:t>
      </w:r>
      <w:r w:rsidRPr="0088307E">
        <w:rPr>
          <w:rStyle w:val="normaltextrun"/>
          <w:color w:val="FF0000"/>
          <w:shd w:val="clear" w:color="auto" w:fill="FFFFFF"/>
        </w:rPr>
        <w:t xml:space="preserve"> </w:t>
      </w:r>
      <w:r w:rsidR="007E51FB" w:rsidRPr="0088307E">
        <w:rPr>
          <w:rStyle w:val="normaltextrun"/>
          <w:shd w:val="clear" w:color="auto" w:fill="FFFFFF"/>
        </w:rPr>
        <w:t>4 157 854</w:t>
      </w:r>
      <w:r w:rsidRPr="0088307E">
        <w:rPr>
          <w:rStyle w:val="normaltextrun"/>
          <w:shd w:val="clear" w:color="auto" w:fill="FFFFFF"/>
        </w:rPr>
        <w:t xml:space="preserve"> tis. Kč, zejména z důvodu zvýšení kompenzace slev z jízdného o </w:t>
      </w:r>
      <w:r w:rsidR="007E51FB" w:rsidRPr="0088307E">
        <w:rPr>
          <w:rStyle w:val="normaltextrun"/>
          <w:shd w:val="clear" w:color="auto" w:fill="FFFFFF"/>
        </w:rPr>
        <w:t>3 960 000</w:t>
      </w:r>
      <w:r w:rsidRPr="0088307E">
        <w:rPr>
          <w:rStyle w:val="normaltextrun"/>
          <w:shd w:val="clear" w:color="auto" w:fill="FFFFFF"/>
        </w:rPr>
        <w:t xml:space="preserve"> tis. Kč.  Výdaje určené na transfery podnikatelským subjekt</w:t>
      </w:r>
      <w:r w:rsidR="00DF0689">
        <w:rPr>
          <w:rStyle w:val="normaltextrun"/>
          <w:shd w:val="clear" w:color="auto" w:fill="FFFFFF"/>
        </w:rPr>
        <w:t>ům jsou oproti roku 2022 snížené</w:t>
      </w:r>
      <w:r w:rsidRPr="0088307E">
        <w:rPr>
          <w:rStyle w:val="normaltextrun"/>
          <w:shd w:val="clear" w:color="auto" w:fill="FFFFFF"/>
        </w:rPr>
        <w:t xml:space="preserve"> </w:t>
      </w:r>
      <w:r w:rsidRPr="0088307E">
        <w:rPr>
          <w:shd w:val="clear" w:color="auto" w:fill="FFFFFF"/>
        </w:rPr>
        <w:br/>
      </w:r>
      <w:r w:rsidRPr="0088307E">
        <w:rPr>
          <w:rStyle w:val="normaltextrun"/>
          <w:shd w:val="clear" w:color="auto" w:fill="FFFFFF"/>
        </w:rPr>
        <w:t xml:space="preserve">o </w:t>
      </w:r>
      <w:r w:rsidR="007E51FB" w:rsidRPr="0088307E">
        <w:rPr>
          <w:rStyle w:val="normaltextrun"/>
          <w:shd w:val="clear" w:color="auto" w:fill="FFFFFF"/>
        </w:rPr>
        <w:t>1 343 122</w:t>
      </w:r>
      <w:r w:rsidRPr="0088307E">
        <w:rPr>
          <w:rStyle w:val="normaltextrun"/>
          <w:shd w:val="clear" w:color="auto" w:fill="FFFFFF"/>
        </w:rPr>
        <w:t xml:space="preserve"> tis. Kč, především z důvodu ukončení nárokování investičních prostředků EU  v rámci programu 127 65 „Pořízení a modernizace železničních kolejových vozidel“ ve výši 3 289 777 tis. Kč vázaných pouze k roku 2022. Výdaje pro rok 2023 na druhou stranu nově  zahrnují v rámci OP Doprava </w:t>
      </w:r>
      <w:r w:rsidRPr="0088307E">
        <w:rPr>
          <w:rStyle w:val="contextualspellingandgrammarerror"/>
          <w:shd w:val="clear" w:color="auto" w:fill="FFFFFF"/>
        </w:rPr>
        <w:t>2021 -2027</w:t>
      </w:r>
      <w:r w:rsidRPr="0088307E">
        <w:rPr>
          <w:rStyle w:val="normaltextrun"/>
          <w:shd w:val="clear" w:color="auto" w:fill="FFFFFF"/>
        </w:rPr>
        <w:t xml:space="preserve"> finanční prostředky určené na „Infrastrukturu pro  alternativní paliva 2021+“ ve výši 300 000 tis. Kč</w:t>
      </w:r>
      <w:r w:rsidRPr="0088307E">
        <w:rPr>
          <w:rStyle w:val="normaltextrun"/>
          <w:color w:val="FF0000"/>
          <w:shd w:val="clear" w:color="auto" w:fill="FFFFFF"/>
        </w:rPr>
        <w:t xml:space="preserve"> </w:t>
      </w:r>
      <w:r w:rsidRPr="0088307E">
        <w:rPr>
          <w:rStyle w:val="normaltextrun"/>
          <w:shd w:val="clear" w:color="auto" w:fill="FFFFFF"/>
        </w:rPr>
        <w:t xml:space="preserve">a BAR – </w:t>
      </w:r>
      <w:proofErr w:type="spellStart"/>
      <w:r w:rsidRPr="0088307E">
        <w:rPr>
          <w:rStyle w:val="spellingerror"/>
          <w:shd w:val="clear" w:color="auto" w:fill="FFFFFF"/>
        </w:rPr>
        <w:t>Brexitovou</w:t>
      </w:r>
      <w:proofErr w:type="spellEnd"/>
      <w:r w:rsidRPr="0088307E">
        <w:rPr>
          <w:rStyle w:val="normaltextrun"/>
          <w:shd w:val="clear" w:color="auto" w:fill="FFFFFF"/>
        </w:rPr>
        <w:t xml:space="preserve"> rezervu ve výši </w:t>
      </w:r>
      <w:r w:rsidRPr="0088307E">
        <w:rPr>
          <w:shd w:val="clear" w:color="auto" w:fill="FFFFFF"/>
        </w:rPr>
        <w:br/>
      </w:r>
      <w:r w:rsidR="007E51FB" w:rsidRPr="0088307E">
        <w:rPr>
          <w:rStyle w:val="normaltextrun"/>
          <w:shd w:val="clear" w:color="auto" w:fill="FFFFFF"/>
        </w:rPr>
        <w:t>532 116</w:t>
      </w:r>
      <w:r w:rsidRPr="0088307E">
        <w:rPr>
          <w:rStyle w:val="normaltextrun"/>
          <w:shd w:val="clear" w:color="auto" w:fill="FFFFFF"/>
        </w:rPr>
        <w:t xml:space="preserve"> tis. Kč. V</w:t>
      </w:r>
      <w:r w:rsidRPr="0088307E">
        <w:rPr>
          <w:rStyle w:val="normaltextrun"/>
          <w:rFonts w:ascii="Segoe UI" w:hAnsi="Segoe UI" w:cs="Segoe UI"/>
          <w:shd w:val="clear" w:color="auto" w:fill="FFFFFF"/>
        </w:rPr>
        <w:t>ý</w:t>
      </w:r>
      <w:r w:rsidRPr="0088307E">
        <w:rPr>
          <w:rStyle w:val="normaltextrun"/>
          <w:shd w:val="clear" w:color="auto" w:fill="FFFFFF"/>
        </w:rPr>
        <w:t>daje na volitelné programy ESA zůstávají ve stejné výši,</w:t>
      </w:r>
      <w:r w:rsidR="00097799">
        <w:rPr>
          <w:shd w:val="clear" w:color="auto" w:fill="FFFFFF"/>
        </w:rPr>
        <w:t xml:space="preserve"> </w:t>
      </w:r>
      <w:r w:rsidR="00097799">
        <w:rPr>
          <w:shd w:val="clear" w:color="auto" w:fill="FFFFFF"/>
        </w:rPr>
        <w:br/>
      </w:r>
      <w:r w:rsidRPr="0088307E">
        <w:rPr>
          <w:rStyle w:val="normaltextrun"/>
          <w:shd w:val="clear" w:color="auto" w:fill="FFFFFF"/>
        </w:rPr>
        <w:t>tj. 1 205 000 tis. Kč.</w:t>
      </w:r>
      <w:r w:rsidRPr="0088307E">
        <w:rPr>
          <w:rStyle w:val="eop"/>
          <w:shd w:val="clear" w:color="auto" w:fill="FFFFFF"/>
        </w:rPr>
        <w:t> </w:t>
      </w:r>
    </w:p>
    <w:p w14:paraId="078DF127" w14:textId="32240525" w:rsidR="00D978F6" w:rsidRPr="0088307E" w:rsidRDefault="00D978F6" w:rsidP="00EB5FB3">
      <w:pPr>
        <w:pStyle w:val="Styl1"/>
      </w:pPr>
      <w:r w:rsidRPr="0088307E">
        <w:t xml:space="preserve">Z celkového objemu výdajů kapitoly Ministerstva dopravy jsou do rozpočtové sféry (organizační složky státu) určeny prostředky v objemu </w:t>
      </w:r>
      <w:r w:rsidR="00F86013" w:rsidRPr="0088307E">
        <w:t>6 745 641</w:t>
      </w:r>
      <w:r w:rsidRPr="0088307E">
        <w:t xml:space="preserve"> tis. Kč, tj. </w:t>
      </w:r>
      <w:r w:rsidR="00F86013" w:rsidRPr="0088307E">
        <w:t>5,99</w:t>
      </w:r>
      <w:r w:rsidRPr="0088307E">
        <w:t xml:space="preserve"> % celkových výdajů, v tom běžné výdaje </w:t>
      </w:r>
      <w:r w:rsidR="00F86013" w:rsidRPr="0088307E">
        <w:t>6 648 107</w:t>
      </w:r>
      <w:r w:rsidRPr="0088307E">
        <w:t xml:space="preserve"> tis. Kč, kapitálové výdaje </w:t>
      </w:r>
      <w:r w:rsidR="00F86013" w:rsidRPr="0088307E">
        <w:t>97 534</w:t>
      </w:r>
      <w:r w:rsidRPr="0088307E">
        <w:t xml:space="preserve"> tis. Kč.</w:t>
      </w:r>
    </w:p>
    <w:p w14:paraId="352BDEFF" w14:textId="45F60E9E" w:rsidR="00271095" w:rsidRPr="00076693" w:rsidRDefault="00271095" w:rsidP="00271095">
      <w:pPr>
        <w:pStyle w:val="Styl1"/>
        <w:rPr>
          <w:color w:val="FF0000"/>
        </w:rPr>
      </w:pPr>
      <w:r w:rsidRPr="00F86013">
        <w:t xml:space="preserve">Do příspěvkové sféry, zahrnující zřízené státní příspěvkové organizace Ředitelství silnic </w:t>
      </w:r>
      <w:r w:rsidRPr="00F86013">
        <w:br/>
        <w:t>a dálnic ČR a Centrum služeb pro silniční dopravu a dále veřejnou výzkumnou instituci Centrum dopravního výzkumu, jsou rozpočto</w:t>
      </w:r>
      <w:r w:rsidR="00140C74" w:rsidRPr="00F86013">
        <w:t xml:space="preserve">vány prostředky v objemu </w:t>
      </w:r>
      <w:r w:rsidR="00F86013" w:rsidRPr="0088307E">
        <w:t>583 007</w:t>
      </w:r>
      <w:r w:rsidRPr="00F86013">
        <w:t xml:space="preserve"> tis. Kč, </w:t>
      </w:r>
      <w:r w:rsidRPr="00F86013">
        <w:br/>
        <w:t xml:space="preserve">tj. </w:t>
      </w:r>
      <w:r w:rsidR="00F86013" w:rsidRPr="0088307E">
        <w:t>0,52</w:t>
      </w:r>
      <w:r w:rsidRPr="00723715">
        <w:t xml:space="preserve"> % celkových vý</w:t>
      </w:r>
      <w:r w:rsidR="00140C74" w:rsidRPr="00723715">
        <w:t xml:space="preserve">dajů, </w:t>
      </w:r>
      <w:r w:rsidR="00140C74" w:rsidRPr="00F86013">
        <w:t xml:space="preserve">v tom běžné výdaje </w:t>
      </w:r>
      <w:r w:rsidR="00F86013" w:rsidRPr="0088307E">
        <w:t>260 766</w:t>
      </w:r>
      <w:r w:rsidRPr="00F86013">
        <w:t xml:space="preserve"> tis. Kč, </w:t>
      </w:r>
      <w:r w:rsidR="00F86013" w:rsidRPr="0088307E">
        <w:t xml:space="preserve">kapitálové výdaje </w:t>
      </w:r>
      <w:r w:rsidR="00F86013" w:rsidRPr="0088307E">
        <w:br/>
        <w:t>322 241</w:t>
      </w:r>
      <w:r w:rsidRPr="00F86013">
        <w:t xml:space="preserve"> tis. Kč.</w:t>
      </w:r>
    </w:p>
    <w:p w14:paraId="3908CD71" w14:textId="59C92542" w:rsidR="00EB5FB3" w:rsidRPr="0088307E" w:rsidRDefault="00271095" w:rsidP="00D978F6">
      <w:pPr>
        <w:pStyle w:val="Styl1"/>
        <w:rPr>
          <w:rFonts w:eastAsiaTheme="minorHAnsi" w:cstheme="minorBidi"/>
          <w:lang w:eastAsia="en-US"/>
        </w:rPr>
      </w:pPr>
      <w:r w:rsidRPr="00F86013">
        <w:t xml:space="preserve">Na transfery do podnikatelské sféry jsou určeny prostředky ve výši </w:t>
      </w:r>
      <w:r w:rsidR="00723715" w:rsidRPr="0088307E">
        <w:t>8 158 565</w:t>
      </w:r>
      <w:r w:rsidRPr="00723715">
        <w:t xml:space="preserve"> tis. Kč, </w:t>
      </w:r>
      <w:r w:rsidRPr="00076693">
        <w:rPr>
          <w:color w:val="FF0000"/>
        </w:rPr>
        <w:br/>
      </w:r>
      <w:r w:rsidRPr="00723715">
        <w:t>tj. 7,</w:t>
      </w:r>
      <w:r w:rsidR="00723715" w:rsidRPr="0088307E">
        <w:t>24</w:t>
      </w:r>
      <w:r w:rsidRPr="00723715">
        <w:t xml:space="preserve"> % celkových výdajů kapitoly, </w:t>
      </w:r>
      <w:r w:rsidRPr="00F86013">
        <w:t xml:space="preserve">v tom běžné výdaje </w:t>
      </w:r>
      <w:r w:rsidR="00F86013" w:rsidRPr="0088307E">
        <w:rPr>
          <w:rFonts w:eastAsiaTheme="minorHAnsi" w:cstheme="minorBidi"/>
          <w:szCs w:val="22"/>
          <w:lang w:eastAsia="en-US"/>
        </w:rPr>
        <w:t>7 848 565</w:t>
      </w:r>
      <w:r w:rsidRPr="00F86013">
        <w:rPr>
          <w:rFonts w:eastAsiaTheme="minorHAnsi" w:cstheme="minorBidi"/>
          <w:szCs w:val="22"/>
          <w:lang w:eastAsia="en-US"/>
        </w:rPr>
        <w:t xml:space="preserve"> </w:t>
      </w:r>
      <w:r w:rsidRPr="00F86013">
        <w:t xml:space="preserve">tis. Kč, kapitálové výdaje </w:t>
      </w:r>
      <w:r w:rsidRPr="00F86013">
        <w:rPr>
          <w:rFonts w:eastAsiaTheme="minorHAnsi" w:cstheme="minorBidi"/>
          <w:lang w:eastAsia="en-US"/>
        </w:rPr>
        <w:t>310 000 tis. Kč. Podnikatelskou sféru představují zejména České dráhy, a.s. a</w:t>
      </w:r>
      <w:r w:rsidR="0051310C">
        <w:rPr>
          <w:rFonts w:eastAsiaTheme="minorHAnsi" w:cstheme="minorBidi"/>
          <w:lang w:eastAsia="en-US"/>
        </w:rPr>
        <w:t xml:space="preserve"> ŘLP, s. p.</w:t>
      </w:r>
    </w:p>
    <w:p w14:paraId="472CBDF3" w14:textId="67FCFC96" w:rsidR="00652481" w:rsidRPr="00F86013" w:rsidRDefault="00652481" w:rsidP="00652481">
      <w:pPr>
        <w:pStyle w:val="Styl1"/>
      </w:pPr>
      <w:r w:rsidRPr="009A7B88">
        <w:t xml:space="preserve">Transfer Státnímu fondu dopravní infrastruktury v objemu </w:t>
      </w:r>
      <w:r w:rsidR="009A7B88" w:rsidRPr="0088307E">
        <w:t>92 369 489</w:t>
      </w:r>
      <w:r w:rsidRPr="009A7B88">
        <w:t xml:space="preserve"> tis. Kč tvoří </w:t>
      </w:r>
      <w:r w:rsidR="009A7B88">
        <w:rPr>
          <w:color w:val="FF0000"/>
        </w:rPr>
        <w:br/>
      </w:r>
      <w:r w:rsidR="009A7B88" w:rsidRPr="0088307E">
        <w:t>81,96</w:t>
      </w:r>
      <w:r w:rsidRPr="009A7B88">
        <w:t xml:space="preserve"> % celkových výdajů kapitoly, v tom výdaje na společné programy (projekty) EU </w:t>
      </w:r>
      <w:r w:rsidRPr="009A7B88">
        <w:br/>
        <w:t>a ČR</w:t>
      </w:r>
      <w:r w:rsidRPr="0088307E">
        <w:t xml:space="preserve"> 27 544 489</w:t>
      </w:r>
      <w:r w:rsidRPr="009A7B88">
        <w:t xml:space="preserve"> tis. Kč, výdaje na projekty spolufinancované z EIB 2 547 406 tis. Kč a ostatní výdaje, tj. dotace na vyrovnání deficitu rozpočtu, </w:t>
      </w:r>
      <w:r w:rsidR="009A7B88" w:rsidRPr="0088307E">
        <w:t>62 277 594</w:t>
      </w:r>
      <w:r w:rsidRPr="009A7B88">
        <w:t xml:space="preserve"> tis. Kč. Z celkové </w:t>
      </w:r>
      <w:r w:rsidRPr="00F86013">
        <w:t xml:space="preserve">výše prostředků pro SFDI činí neinvestiční transfer 16 423 000 tis. Kč a investiční transfer činí </w:t>
      </w:r>
      <w:r w:rsidR="009A7B88">
        <w:br/>
      </w:r>
      <w:r w:rsidR="00F86013" w:rsidRPr="0088307E">
        <w:t>75 946 489</w:t>
      </w:r>
      <w:r w:rsidRPr="00F86013">
        <w:t xml:space="preserve"> tis. Kč.</w:t>
      </w:r>
    </w:p>
    <w:p w14:paraId="4F7A4AC4" w14:textId="5024AC1C" w:rsidR="00271095" w:rsidRPr="00F86013" w:rsidRDefault="00271095" w:rsidP="00271095">
      <w:pPr>
        <w:pStyle w:val="Styl1"/>
      </w:pPr>
      <w:r w:rsidRPr="00F86013">
        <w:t xml:space="preserve">Transfery obcím a krajům jsou rozpočtovány ve výši 3 608 251 tis. Kč, tj. </w:t>
      </w:r>
      <w:r w:rsidR="00F86013" w:rsidRPr="0088307E">
        <w:t>3,20</w:t>
      </w:r>
      <w:r w:rsidRPr="00F86013">
        <w:t xml:space="preserve"> % z celkových výdajů kapitoly. Tyto neinvestiční transfery js</w:t>
      </w:r>
      <w:r w:rsidR="00320DB1">
        <w:t>ou určeny k doplnění</w:t>
      </w:r>
      <w:r w:rsidRPr="00F86013">
        <w:t xml:space="preserve"> finančních zdrojů krajů </w:t>
      </w:r>
      <w:r w:rsidR="00320DB1">
        <w:br/>
      </w:r>
      <w:r w:rsidRPr="00F86013">
        <w:t>a hl. m. Prahy na úhradu ztráty ze závazku veřejné služby ve veřejné drážní osobní dopravě.</w:t>
      </w:r>
    </w:p>
    <w:p w14:paraId="6DFE208E" w14:textId="18A67759" w:rsidR="00271095" w:rsidRPr="00695135" w:rsidRDefault="00271095" w:rsidP="00271095">
      <w:pPr>
        <w:pStyle w:val="Styl1"/>
      </w:pPr>
      <w:r w:rsidRPr="00695135">
        <w:t xml:space="preserve">Výdaje ve výši 1 224 981 tis. Kč, tj. </w:t>
      </w:r>
      <w:r w:rsidR="00695135" w:rsidRPr="0088307E">
        <w:t>1,09</w:t>
      </w:r>
      <w:r w:rsidRPr="00695135">
        <w:t xml:space="preserve"> % z celkových výdajů, jsou určeny na neinvestiční transfery do zahraničí a zbývající část výdajů ve výši 10 933 tis. Kč, tj. 0,01 % z celkových výdajů, je určena na neinvestiční transfery spolkům.</w:t>
      </w:r>
    </w:p>
    <w:p w14:paraId="2923B547" w14:textId="6F4D45A4" w:rsidR="00CF4BB2" w:rsidRPr="0088307E" w:rsidRDefault="00CF4BB2" w:rsidP="00CF4BB2">
      <w:pPr>
        <w:pStyle w:val="Nadpis1"/>
        <w:pageBreakBefore/>
      </w:pPr>
      <w:bookmarkStart w:id="5" w:name="_Toc115786832"/>
      <w:bookmarkStart w:id="6" w:name="_Toc115787422"/>
      <w:bookmarkStart w:id="7" w:name="_Toc462314383"/>
      <w:bookmarkStart w:id="8" w:name="_Toc49761893"/>
      <w:bookmarkStart w:id="9" w:name="_Toc115787423"/>
      <w:bookmarkEnd w:id="5"/>
      <w:bookmarkEnd w:id="6"/>
      <w:r w:rsidRPr="0088307E">
        <w:t>ROZPOČET PŘÍJMŮ NA ROK 20</w:t>
      </w:r>
      <w:bookmarkEnd w:id="7"/>
      <w:r w:rsidRPr="0088307E">
        <w:t>2</w:t>
      </w:r>
      <w:bookmarkEnd w:id="8"/>
      <w:r w:rsidR="00413CE9" w:rsidRPr="0088307E">
        <w:t>3</w:t>
      </w:r>
      <w:bookmarkEnd w:id="9"/>
    </w:p>
    <w:p w14:paraId="59EE235B" w14:textId="3CFE0328" w:rsidR="00CF4BB2" w:rsidRPr="00E8518E" w:rsidRDefault="00CF4BB2" w:rsidP="006B75C3">
      <w:pPr>
        <w:pStyle w:val="Styl1"/>
        <w:spacing w:after="120"/>
        <w:rPr>
          <w:color w:val="FF0000"/>
        </w:rPr>
      </w:pPr>
      <w:r w:rsidRPr="0088307E">
        <w:t xml:space="preserve">Souhrnný ukazatel rozpočtu kapitoly MD </w:t>
      </w:r>
      <w:r w:rsidRPr="0088307E">
        <w:rPr>
          <w:b/>
        </w:rPr>
        <w:t>„Příjmy celkem“</w:t>
      </w:r>
      <w:r w:rsidRPr="0088307E">
        <w:t xml:space="preserve"> je </w:t>
      </w:r>
      <w:r w:rsidRPr="0088307E">
        <w:rPr>
          <w:bCs/>
        </w:rPr>
        <w:t>navržený ve výši</w:t>
      </w:r>
      <w:r w:rsidR="00A71477" w:rsidRPr="0088307E">
        <w:rPr>
          <w:b/>
          <w:bCs/>
        </w:rPr>
        <w:t xml:space="preserve"> </w:t>
      </w:r>
      <w:r w:rsidR="00A71477" w:rsidRPr="0088307E">
        <w:rPr>
          <w:b/>
          <w:bCs/>
        </w:rPr>
        <w:br/>
      </w:r>
      <w:r w:rsidR="00413CE9" w:rsidRPr="0088307E">
        <w:rPr>
          <w:b/>
          <w:bCs/>
        </w:rPr>
        <w:t>29 053 763</w:t>
      </w:r>
      <w:r w:rsidRPr="0088307E">
        <w:rPr>
          <w:b/>
          <w:bCs/>
        </w:rPr>
        <w:t xml:space="preserve"> tis. Kč</w:t>
      </w:r>
      <w:r w:rsidRPr="0088307E">
        <w:t>.</w:t>
      </w:r>
    </w:p>
    <w:p w14:paraId="1FCF4D9A" w14:textId="3D874BF1" w:rsidR="00423CD3" w:rsidRPr="0088307E" w:rsidRDefault="00423CD3" w:rsidP="006B75C3">
      <w:pPr>
        <w:pStyle w:val="Titulek"/>
        <w:spacing w:before="0"/>
      </w:pPr>
      <w:r w:rsidRPr="0088307E">
        <w:t xml:space="preserve">Tabulka č. </w:t>
      </w:r>
      <w:fldSimple w:instr=" SEQ Tabulka \* ARABIC ">
        <w:r w:rsidR="00F80947">
          <w:rPr>
            <w:noProof/>
          </w:rPr>
          <w:t>1</w:t>
        </w:r>
      </w:fldSimple>
      <w:r w:rsidRPr="0088307E">
        <w:t xml:space="preserve"> Přehled celkových příjmů v rámci kapitoly 327 MD (v tis. Kč)</w:t>
      </w:r>
    </w:p>
    <w:tbl>
      <w:tblPr>
        <w:tblStyle w:val="Svtltabulkasmkou1"/>
        <w:tblW w:w="94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634"/>
        <w:gridCol w:w="1333"/>
        <w:gridCol w:w="1418"/>
        <w:gridCol w:w="1275"/>
        <w:gridCol w:w="1276"/>
        <w:gridCol w:w="1276"/>
        <w:gridCol w:w="1276"/>
      </w:tblGrid>
      <w:tr w:rsidR="00E8518E" w:rsidRPr="00E8518E" w14:paraId="4C925CBA" w14:textId="77777777" w:rsidTr="00870FDC">
        <w:tc>
          <w:tcPr>
            <w:tcW w:w="1634" w:type="dxa"/>
            <w:vMerge w:val="restart"/>
            <w:tcBorders>
              <w:top w:val="single" w:sz="8" w:space="0" w:color="7F7F7F" w:themeColor="text1" w:themeTint="80"/>
            </w:tcBorders>
            <w:shd w:val="thinReverseDiagStripe" w:color="D9D9D9" w:themeColor="background1" w:themeShade="D9" w:fill="FFFFFF" w:themeFill="background1"/>
            <w:vAlign w:val="center"/>
          </w:tcPr>
          <w:p w14:paraId="6EE0C3DD" w14:textId="77777777" w:rsidR="00A71477" w:rsidRPr="00E8518E" w:rsidRDefault="00A71477" w:rsidP="00905890">
            <w:pPr>
              <w:pStyle w:val="Zkladntext"/>
              <w:jc w:val="center"/>
              <w:rPr>
                <w:b/>
                <w:color w:val="FF0000"/>
                <w:sz w:val="22"/>
                <w:szCs w:val="22"/>
              </w:rPr>
            </w:pPr>
            <w:r w:rsidRPr="0088307E">
              <w:rPr>
                <w:b/>
                <w:sz w:val="22"/>
                <w:szCs w:val="22"/>
              </w:rPr>
              <w:t>Příjmy celkem</w:t>
            </w:r>
          </w:p>
        </w:tc>
        <w:tc>
          <w:tcPr>
            <w:tcW w:w="1333"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3FC6FAF5" w14:textId="77CBE7F3" w:rsidR="00A71477" w:rsidRPr="0088307E" w:rsidRDefault="00A71477">
            <w:pPr>
              <w:jc w:val="center"/>
              <w:rPr>
                <w:rFonts w:cs="Times New Roman"/>
                <w:b/>
                <w:sz w:val="22"/>
              </w:rPr>
            </w:pPr>
            <w:r w:rsidRPr="0088307E">
              <w:rPr>
                <w:rFonts w:cs="Times New Roman"/>
                <w:b/>
                <w:sz w:val="22"/>
              </w:rPr>
              <w:t>Skutečnost 201</w:t>
            </w:r>
            <w:r w:rsidR="00413CE9" w:rsidRPr="0088307E">
              <w:rPr>
                <w:rFonts w:cs="Times New Roman"/>
                <w:b/>
                <w:sz w:val="22"/>
              </w:rPr>
              <w:t>8</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F9664A4" w14:textId="648E4DFC" w:rsidR="00A71477" w:rsidRPr="0088307E" w:rsidRDefault="00A71477">
            <w:pPr>
              <w:jc w:val="center"/>
              <w:rPr>
                <w:rFonts w:cs="Times New Roman"/>
                <w:b/>
                <w:sz w:val="22"/>
              </w:rPr>
            </w:pPr>
            <w:r w:rsidRPr="0088307E">
              <w:rPr>
                <w:rFonts w:cs="Times New Roman"/>
                <w:b/>
                <w:sz w:val="22"/>
              </w:rPr>
              <w:t>Skutečnost 201</w:t>
            </w:r>
            <w:r w:rsidR="00413CE9" w:rsidRPr="0088307E">
              <w:rPr>
                <w:rFonts w:cs="Times New Roman"/>
                <w:b/>
                <w:sz w:val="22"/>
              </w:rPr>
              <w:t>9</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579FC709" w14:textId="4252AE5D" w:rsidR="00A71477" w:rsidRPr="0088307E" w:rsidRDefault="00A71477">
            <w:pPr>
              <w:jc w:val="center"/>
              <w:rPr>
                <w:rFonts w:cs="Times New Roman"/>
                <w:b/>
                <w:sz w:val="22"/>
              </w:rPr>
            </w:pPr>
            <w:r w:rsidRPr="0088307E">
              <w:rPr>
                <w:rFonts w:cs="Times New Roman"/>
                <w:b/>
                <w:sz w:val="22"/>
              </w:rPr>
              <w:t>Skutečnost 20</w:t>
            </w:r>
            <w:r w:rsidR="00413CE9" w:rsidRPr="0088307E">
              <w:rPr>
                <w:rFonts w:cs="Times New Roman"/>
                <w:b/>
                <w:sz w:val="22"/>
              </w:rPr>
              <w:t>20</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27A38DD8" w14:textId="78F7FC40" w:rsidR="00A71477" w:rsidRPr="0088307E" w:rsidRDefault="00A71477">
            <w:pPr>
              <w:jc w:val="center"/>
              <w:rPr>
                <w:rFonts w:cs="Times New Roman"/>
                <w:b/>
                <w:sz w:val="22"/>
              </w:rPr>
            </w:pPr>
            <w:r w:rsidRPr="0088307E">
              <w:rPr>
                <w:rFonts w:cs="Times New Roman"/>
                <w:b/>
                <w:sz w:val="22"/>
              </w:rPr>
              <w:t>S</w:t>
            </w:r>
            <w:r w:rsidR="00870FDC" w:rsidRPr="0088307E">
              <w:rPr>
                <w:rFonts w:cs="Times New Roman"/>
                <w:b/>
                <w:sz w:val="22"/>
              </w:rPr>
              <w:t>kutečnost</w:t>
            </w:r>
            <w:r w:rsidRPr="0088307E">
              <w:rPr>
                <w:rFonts w:cs="Times New Roman"/>
                <w:b/>
                <w:sz w:val="22"/>
              </w:rPr>
              <w:t xml:space="preserve"> 202</w:t>
            </w:r>
            <w:r w:rsidR="00413CE9" w:rsidRPr="0088307E">
              <w:rPr>
                <w:rFonts w:cs="Times New Roman"/>
                <w:b/>
                <w:sz w:val="22"/>
              </w:rPr>
              <w:t>1</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8856EAF" w14:textId="5C95149D" w:rsidR="00A71477" w:rsidRPr="0088307E" w:rsidRDefault="00870FDC">
            <w:pPr>
              <w:jc w:val="center"/>
              <w:rPr>
                <w:rFonts w:cs="Times New Roman"/>
                <w:b/>
                <w:sz w:val="22"/>
              </w:rPr>
            </w:pPr>
            <w:r w:rsidRPr="0088307E">
              <w:rPr>
                <w:rFonts w:cs="Times New Roman"/>
                <w:b/>
                <w:sz w:val="22"/>
              </w:rPr>
              <w:t xml:space="preserve">Schválený rozpočet </w:t>
            </w:r>
            <w:r w:rsidR="00A71477" w:rsidRPr="0088307E">
              <w:rPr>
                <w:rFonts w:cs="Times New Roman"/>
                <w:b/>
                <w:sz w:val="22"/>
              </w:rPr>
              <w:t>202</w:t>
            </w:r>
            <w:r w:rsidR="00413CE9" w:rsidRPr="0088307E">
              <w:rPr>
                <w:rFonts w:cs="Times New Roman"/>
                <w:b/>
                <w:sz w:val="22"/>
              </w:rPr>
              <w:t>2</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1F419E6" w14:textId="5E44C47E" w:rsidR="00A71477" w:rsidRPr="0088307E" w:rsidRDefault="00402666">
            <w:pPr>
              <w:jc w:val="center"/>
              <w:rPr>
                <w:rFonts w:cs="Times New Roman"/>
                <w:b/>
                <w:sz w:val="22"/>
              </w:rPr>
            </w:pPr>
            <w:r w:rsidRPr="0088307E">
              <w:rPr>
                <w:rFonts w:cs="Times New Roman"/>
                <w:b/>
                <w:sz w:val="22"/>
              </w:rPr>
              <w:t>Návrh rozpočtu 202</w:t>
            </w:r>
            <w:r w:rsidR="00413CE9" w:rsidRPr="0088307E">
              <w:rPr>
                <w:rFonts w:cs="Times New Roman"/>
                <w:b/>
                <w:sz w:val="22"/>
              </w:rPr>
              <w:t>3</w:t>
            </w:r>
          </w:p>
        </w:tc>
      </w:tr>
      <w:tr w:rsidR="00413CE9" w:rsidRPr="00E8518E" w14:paraId="29CF9607" w14:textId="77777777" w:rsidTr="006B75C3">
        <w:trPr>
          <w:trHeight w:val="379"/>
        </w:trPr>
        <w:tc>
          <w:tcPr>
            <w:tcW w:w="1634" w:type="dxa"/>
            <w:vMerge/>
            <w:tcBorders>
              <w:bottom w:val="single" w:sz="8" w:space="0" w:color="7F7F7F" w:themeColor="text1" w:themeTint="80"/>
            </w:tcBorders>
          </w:tcPr>
          <w:p w14:paraId="25FC330C" w14:textId="77777777" w:rsidR="00413CE9" w:rsidRPr="00E8518E" w:rsidRDefault="00413CE9" w:rsidP="00413CE9">
            <w:pPr>
              <w:rPr>
                <w:rFonts w:cs="Times New Roman"/>
                <w:b/>
                <w:color w:val="FF0000"/>
                <w:szCs w:val="24"/>
              </w:rPr>
            </w:pPr>
          </w:p>
        </w:tc>
        <w:tc>
          <w:tcPr>
            <w:tcW w:w="1333" w:type="dxa"/>
            <w:tcBorders>
              <w:top w:val="single" w:sz="8" w:space="0" w:color="7F7F7F" w:themeColor="text1" w:themeTint="80"/>
              <w:bottom w:val="single" w:sz="8" w:space="0" w:color="7F7F7F" w:themeColor="text1" w:themeTint="80"/>
            </w:tcBorders>
            <w:vAlign w:val="center"/>
          </w:tcPr>
          <w:p w14:paraId="573F2747" w14:textId="0F33007A" w:rsidR="00413CE9" w:rsidRPr="0088307E" w:rsidRDefault="00413CE9" w:rsidP="00413CE9">
            <w:pPr>
              <w:pStyle w:val="Zkladntext"/>
              <w:spacing w:before="81" w:after="81"/>
              <w:jc w:val="right"/>
              <w:rPr>
                <w:bCs w:val="0"/>
                <w:sz w:val="22"/>
                <w:szCs w:val="22"/>
              </w:rPr>
            </w:pPr>
            <w:r w:rsidRPr="0088307E">
              <w:rPr>
                <w:bCs w:val="0"/>
                <w:sz w:val="22"/>
                <w:szCs w:val="22"/>
              </w:rPr>
              <w:t>22 958 912</w:t>
            </w:r>
          </w:p>
        </w:tc>
        <w:tc>
          <w:tcPr>
            <w:tcW w:w="1418" w:type="dxa"/>
            <w:tcBorders>
              <w:top w:val="single" w:sz="8" w:space="0" w:color="7F7F7F" w:themeColor="text1" w:themeTint="80"/>
              <w:bottom w:val="single" w:sz="8" w:space="0" w:color="7F7F7F" w:themeColor="text1" w:themeTint="80"/>
            </w:tcBorders>
            <w:vAlign w:val="center"/>
          </w:tcPr>
          <w:p w14:paraId="2CD2B96B" w14:textId="32A5EE9C" w:rsidR="00413CE9" w:rsidRPr="0088307E" w:rsidRDefault="00413CE9" w:rsidP="00413CE9">
            <w:pPr>
              <w:pStyle w:val="Zkladntext"/>
              <w:spacing w:before="81" w:after="81"/>
              <w:jc w:val="right"/>
              <w:rPr>
                <w:bCs w:val="0"/>
                <w:sz w:val="22"/>
                <w:szCs w:val="22"/>
              </w:rPr>
            </w:pPr>
            <w:r w:rsidRPr="0088307E">
              <w:rPr>
                <w:bCs w:val="0"/>
                <w:sz w:val="22"/>
                <w:szCs w:val="22"/>
              </w:rPr>
              <w:t>17 449 764</w:t>
            </w:r>
          </w:p>
        </w:tc>
        <w:tc>
          <w:tcPr>
            <w:tcW w:w="1275" w:type="dxa"/>
            <w:tcBorders>
              <w:top w:val="single" w:sz="8" w:space="0" w:color="7F7F7F" w:themeColor="text1" w:themeTint="80"/>
              <w:bottom w:val="single" w:sz="8" w:space="0" w:color="7F7F7F" w:themeColor="text1" w:themeTint="80"/>
            </w:tcBorders>
            <w:vAlign w:val="center"/>
          </w:tcPr>
          <w:p w14:paraId="2B20038E" w14:textId="22BFA98B" w:rsidR="00413CE9" w:rsidRPr="0088307E" w:rsidRDefault="00413CE9" w:rsidP="00413CE9">
            <w:pPr>
              <w:pStyle w:val="Zkladntext"/>
              <w:spacing w:before="81" w:after="81"/>
              <w:jc w:val="right"/>
              <w:rPr>
                <w:bCs w:val="0"/>
                <w:sz w:val="22"/>
                <w:szCs w:val="22"/>
              </w:rPr>
            </w:pPr>
            <w:r w:rsidRPr="0088307E">
              <w:rPr>
                <w:bCs w:val="0"/>
                <w:sz w:val="22"/>
                <w:szCs w:val="22"/>
              </w:rPr>
              <w:t>25 910 017</w:t>
            </w:r>
          </w:p>
        </w:tc>
        <w:tc>
          <w:tcPr>
            <w:tcW w:w="1276" w:type="dxa"/>
            <w:tcBorders>
              <w:top w:val="single" w:sz="8" w:space="0" w:color="7F7F7F" w:themeColor="text1" w:themeTint="80"/>
              <w:bottom w:val="single" w:sz="8" w:space="0" w:color="7F7F7F" w:themeColor="text1" w:themeTint="80"/>
            </w:tcBorders>
            <w:vAlign w:val="center"/>
          </w:tcPr>
          <w:p w14:paraId="06353595" w14:textId="2DD80F4A" w:rsidR="00413CE9" w:rsidRPr="00E8518E" w:rsidRDefault="00413CE9" w:rsidP="00413CE9">
            <w:pPr>
              <w:pStyle w:val="Zkladntext"/>
              <w:spacing w:before="81" w:after="81"/>
              <w:jc w:val="right"/>
              <w:rPr>
                <w:bCs w:val="0"/>
                <w:color w:val="FF0000"/>
                <w:sz w:val="22"/>
                <w:szCs w:val="22"/>
              </w:rPr>
            </w:pPr>
            <w:r w:rsidRPr="0088307E">
              <w:rPr>
                <w:bCs w:val="0"/>
                <w:sz w:val="22"/>
                <w:szCs w:val="22"/>
              </w:rPr>
              <w:t>19 824 645</w:t>
            </w:r>
          </w:p>
        </w:tc>
        <w:tc>
          <w:tcPr>
            <w:tcW w:w="1276" w:type="dxa"/>
            <w:tcBorders>
              <w:top w:val="single" w:sz="8" w:space="0" w:color="7F7F7F" w:themeColor="text1" w:themeTint="80"/>
              <w:bottom w:val="single" w:sz="8" w:space="0" w:color="7F7F7F" w:themeColor="text1" w:themeTint="80"/>
            </w:tcBorders>
            <w:vAlign w:val="center"/>
          </w:tcPr>
          <w:p w14:paraId="4255442F" w14:textId="54CF62E6" w:rsidR="00413CE9" w:rsidRPr="00E8518E" w:rsidRDefault="00413CE9">
            <w:pPr>
              <w:pStyle w:val="Zkladntext"/>
              <w:spacing w:before="81" w:after="81"/>
              <w:jc w:val="right"/>
              <w:rPr>
                <w:bCs w:val="0"/>
                <w:color w:val="FF0000"/>
                <w:sz w:val="22"/>
                <w:szCs w:val="22"/>
              </w:rPr>
            </w:pPr>
            <w:r w:rsidRPr="0088307E">
              <w:rPr>
                <w:bCs w:val="0"/>
                <w:sz w:val="22"/>
                <w:szCs w:val="22"/>
              </w:rPr>
              <w:t>48 755 702</w:t>
            </w:r>
          </w:p>
        </w:tc>
        <w:tc>
          <w:tcPr>
            <w:tcW w:w="1276" w:type="dxa"/>
            <w:tcBorders>
              <w:top w:val="single" w:sz="8" w:space="0" w:color="7F7F7F" w:themeColor="text1" w:themeTint="80"/>
              <w:bottom w:val="single" w:sz="8" w:space="0" w:color="7F7F7F" w:themeColor="text1" w:themeTint="80"/>
            </w:tcBorders>
            <w:vAlign w:val="center"/>
          </w:tcPr>
          <w:p w14:paraId="5C259B9C" w14:textId="3311E34D" w:rsidR="00413CE9" w:rsidRPr="00E8518E" w:rsidRDefault="00413CE9" w:rsidP="00413CE9">
            <w:pPr>
              <w:pStyle w:val="Zkladntext"/>
              <w:spacing w:before="81" w:after="81"/>
              <w:jc w:val="right"/>
              <w:rPr>
                <w:bCs w:val="0"/>
                <w:color w:val="FF0000"/>
                <w:sz w:val="22"/>
                <w:szCs w:val="22"/>
              </w:rPr>
            </w:pPr>
            <w:r w:rsidRPr="0088307E">
              <w:rPr>
                <w:bCs w:val="0"/>
                <w:sz w:val="22"/>
                <w:szCs w:val="22"/>
              </w:rPr>
              <w:t>29 053 763</w:t>
            </w:r>
          </w:p>
        </w:tc>
      </w:tr>
    </w:tbl>
    <w:p w14:paraId="1BBB42AB" w14:textId="00EACFFB" w:rsidR="00CF4BB2" w:rsidRPr="0088307E" w:rsidRDefault="00CF4BB2" w:rsidP="00CF4BB2">
      <w:pPr>
        <w:pStyle w:val="Titulek"/>
      </w:pPr>
      <w:r w:rsidRPr="0088307E">
        <w:t xml:space="preserve">Tabulka </w:t>
      </w:r>
      <w:proofErr w:type="gramStart"/>
      <w:r w:rsidRPr="0088307E">
        <w:t xml:space="preserve">č. </w:t>
      </w:r>
      <w:fldSimple w:instr=" SEQ Tabulka \* ARABIC ">
        <w:r w:rsidR="00F80947">
          <w:rPr>
            <w:noProof/>
          </w:rPr>
          <w:t>2</w:t>
        </w:r>
      </w:fldSimple>
      <w:r w:rsidRPr="0088307E">
        <w:t xml:space="preserve"> Struktura</w:t>
      </w:r>
      <w:proofErr w:type="gramEnd"/>
      <w:r w:rsidRPr="0088307E">
        <w:t xml:space="preserve"> p</w:t>
      </w:r>
      <w:r w:rsidR="00A71477" w:rsidRPr="0088307E">
        <w:t>říjmů (v rámci PVS) pro rok 202</w:t>
      </w:r>
      <w:r w:rsidR="00413CE9" w:rsidRPr="0088307E">
        <w:t>3</w:t>
      </w:r>
    </w:p>
    <w:tbl>
      <w:tblPr>
        <w:tblStyle w:val="Svtlmkatabulky"/>
        <w:tblW w:w="932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1008"/>
        <w:gridCol w:w="1260"/>
        <w:gridCol w:w="7054"/>
      </w:tblGrid>
      <w:tr w:rsidR="00413CE9" w:rsidRPr="00413CE9" w14:paraId="703CFC9A" w14:textId="77777777" w:rsidTr="00316A6C">
        <w:trPr>
          <w:trHeight w:val="393"/>
        </w:trPr>
        <w:tc>
          <w:tcPr>
            <w:tcW w:w="100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79F94F78" w14:textId="77777777" w:rsidR="00A71477" w:rsidRPr="0088307E" w:rsidRDefault="00A71477" w:rsidP="00316A6C">
            <w:pPr>
              <w:spacing w:before="40"/>
              <w:rPr>
                <w:rFonts w:cs="Times New Roman"/>
                <w:b/>
                <w:szCs w:val="24"/>
              </w:rPr>
            </w:pPr>
            <w:r w:rsidRPr="0088307E">
              <w:rPr>
                <w:rFonts w:cs="Times New Roman"/>
                <w:b/>
                <w:szCs w:val="24"/>
              </w:rPr>
              <w:t>Blok</w:t>
            </w:r>
          </w:p>
        </w:tc>
        <w:tc>
          <w:tcPr>
            <w:tcW w:w="126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6C6A9505" w14:textId="77777777" w:rsidR="00A71477" w:rsidRPr="0088307E" w:rsidRDefault="00A71477" w:rsidP="00316A6C">
            <w:pPr>
              <w:spacing w:before="40"/>
              <w:rPr>
                <w:rFonts w:cs="Times New Roman"/>
                <w:b/>
                <w:szCs w:val="24"/>
              </w:rPr>
            </w:pPr>
            <w:r w:rsidRPr="0088307E">
              <w:rPr>
                <w:rFonts w:cs="Times New Roman"/>
                <w:b/>
                <w:szCs w:val="24"/>
              </w:rPr>
              <w:t>Okruh</w:t>
            </w:r>
          </w:p>
        </w:tc>
        <w:tc>
          <w:tcPr>
            <w:tcW w:w="7054"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4FE3C658" w14:textId="77777777" w:rsidR="00A71477" w:rsidRPr="0088307E" w:rsidRDefault="00A71477" w:rsidP="00316A6C">
            <w:pPr>
              <w:spacing w:before="40"/>
              <w:rPr>
                <w:rFonts w:cs="Times New Roman"/>
                <w:b/>
                <w:szCs w:val="24"/>
              </w:rPr>
            </w:pPr>
            <w:r w:rsidRPr="0088307E">
              <w:rPr>
                <w:rFonts w:cs="Times New Roman"/>
                <w:b/>
                <w:szCs w:val="24"/>
              </w:rPr>
              <w:t>Název</w:t>
            </w:r>
          </w:p>
        </w:tc>
      </w:tr>
      <w:tr w:rsidR="00413CE9" w:rsidRPr="00413CE9" w14:paraId="17F4730A" w14:textId="77777777" w:rsidTr="00316A6C">
        <w:tc>
          <w:tcPr>
            <w:tcW w:w="1008" w:type="dxa"/>
            <w:vMerge w:val="restart"/>
            <w:tcBorders>
              <w:top w:val="single" w:sz="8" w:space="0" w:color="7F7F7F" w:themeColor="text1" w:themeTint="80"/>
            </w:tcBorders>
          </w:tcPr>
          <w:p w14:paraId="6EB38997" w14:textId="77777777" w:rsidR="00A71477" w:rsidRPr="0088307E" w:rsidRDefault="00A71477" w:rsidP="00316A6C">
            <w:pPr>
              <w:rPr>
                <w:rFonts w:cs="Times New Roman"/>
                <w:szCs w:val="24"/>
              </w:rPr>
            </w:pPr>
            <w:r w:rsidRPr="0088307E">
              <w:rPr>
                <w:rFonts w:cs="Times New Roman"/>
                <w:szCs w:val="24"/>
              </w:rPr>
              <w:t>101</w:t>
            </w:r>
          </w:p>
        </w:tc>
        <w:tc>
          <w:tcPr>
            <w:tcW w:w="1260" w:type="dxa"/>
            <w:tcBorders>
              <w:top w:val="single" w:sz="8" w:space="0" w:color="7F7F7F" w:themeColor="text1" w:themeTint="80"/>
            </w:tcBorders>
          </w:tcPr>
          <w:p w14:paraId="78B26A8D" w14:textId="77777777" w:rsidR="00A71477" w:rsidRPr="0088307E" w:rsidRDefault="00A71477" w:rsidP="00316A6C">
            <w:pPr>
              <w:rPr>
                <w:rFonts w:cs="Times New Roman"/>
                <w:szCs w:val="24"/>
              </w:rPr>
            </w:pPr>
          </w:p>
        </w:tc>
        <w:tc>
          <w:tcPr>
            <w:tcW w:w="7054" w:type="dxa"/>
            <w:tcBorders>
              <w:top w:val="single" w:sz="8" w:space="0" w:color="7F7F7F" w:themeColor="text1" w:themeTint="80"/>
            </w:tcBorders>
          </w:tcPr>
          <w:p w14:paraId="6FAE976F" w14:textId="77777777" w:rsidR="00A71477" w:rsidRPr="0088307E" w:rsidRDefault="00A71477" w:rsidP="00316A6C">
            <w:pPr>
              <w:rPr>
                <w:rFonts w:cs="Times New Roman"/>
                <w:szCs w:val="24"/>
              </w:rPr>
            </w:pPr>
            <w:r w:rsidRPr="0088307E">
              <w:rPr>
                <w:rFonts w:cs="Times New Roman"/>
                <w:szCs w:val="24"/>
              </w:rPr>
              <w:t>Daňové příjmy</w:t>
            </w:r>
          </w:p>
        </w:tc>
      </w:tr>
      <w:tr w:rsidR="00413CE9" w:rsidRPr="00413CE9" w14:paraId="0D26A376" w14:textId="77777777" w:rsidTr="00316A6C">
        <w:tc>
          <w:tcPr>
            <w:tcW w:w="1008" w:type="dxa"/>
            <w:vMerge/>
            <w:tcBorders>
              <w:bottom w:val="single" w:sz="8" w:space="0" w:color="7F7F7F" w:themeColor="text1" w:themeTint="80"/>
            </w:tcBorders>
          </w:tcPr>
          <w:p w14:paraId="17EE07E6" w14:textId="77777777" w:rsidR="00A71477" w:rsidRPr="0088307E" w:rsidRDefault="00A71477" w:rsidP="00316A6C">
            <w:pPr>
              <w:rPr>
                <w:rFonts w:cs="Times New Roman"/>
                <w:szCs w:val="24"/>
              </w:rPr>
            </w:pPr>
          </w:p>
        </w:tc>
        <w:tc>
          <w:tcPr>
            <w:tcW w:w="1260" w:type="dxa"/>
            <w:tcBorders>
              <w:bottom w:val="single" w:sz="8" w:space="0" w:color="7F7F7F" w:themeColor="text1" w:themeTint="80"/>
            </w:tcBorders>
          </w:tcPr>
          <w:p w14:paraId="21B1BE0D" w14:textId="77777777" w:rsidR="00A71477" w:rsidRPr="0088307E" w:rsidRDefault="00A71477" w:rsidP="00316A6C">
            <w:pPr>
              <w:rPr>
                <w:rFonts w:cs="Times New Roman"/>
                <w:szCs w:val="24"/>
              </w:rPr>
            </w:pPr>
            <w:r w:rsidRPr="0088307E">
              <w:rPr>
                <w:rFonts w:cs="Times New Roman"/>
                <w:szCs w:val="24"/>
              </w:rPr>
              <w:t>101001</w:t>
            </w:r>
          </w:p>
        </w:tc>
        <w:tc>
          <w:tcPr>
            <w:tcW w:w="7054" w:type="dxa"/>
            <w:tcBorders>
              <w:bottom w:val="single" w:sz="8" w:space="0" w:color="7F7F7F" w:themeColor="text1" w:themeTint="80"/>
            </w:tcBorders>
          </w:tcPr>
          <w:p w14:paraId="3AD4B4BE" w14:textId="77777777" w:rsidR="00A71477" w:rsidRPr="0088307E" w:rsidRDefault="00A71477" w:rsidP="00316A6C">
            <w:pPr>
              <w:rPr>
                <w:rFonts w:cs="Times New Roman"/>
                <w:szCs w:val="24"/>
              </w:rPr>
            </w:pPr>
            <w:r w:rsidRPr="0088307E">
              <w:rPr>
                <w:rFonts w:cs="Times New Roman"/>
                <w:szCs w:val="24"/>
              </w:rPr>
              <w:t>Daňové příjmy</w:t>
            </w:r>
          </w:p>
        </w:tc>
      </w:tr>
      <w:tr w:rsidR="00413CE9" w:rsidRPr="00413CE9" w14:paraId="3DE89FA1" w14:textId="77777777" w:rsidTr="00316A6C">
        <w:tc>
          <w:tcPr>
            <w:tcW w:w="1008" w:type="dxa"/>
            <w:vMerge w:val="restart"/>
            <w:tcBorders>
              <w:top w:val="single" w:sz="8" w:space="0" w:color="7F7F7F" w:themeColor="text1" w:themeTint="80"/>
              <w:bottom w:val="single" w:sz="4" w:space="0" w:color="7F7F7F" w:themeColor="text1" w:themeTint="80"/>
            </w:tcBorders>
          </w:tcPr>
          <w:p w14:paraId="1E598F74" w14:textId="77777777" w:rsidR="00A71477" w:rsidRPr="0088307E" w:rsidRDefault="00A71477" w:rsidP="00316A6C">
            <w:pPr>
              <w:rPr>
                <w:rFonts w:cs="Times New Roman"/>
                <w:szCs w:val="24"/>
              </w:rPr>
            </w:pPr>
            <w:r w:rsidRPr="0088307E">
              <w:rPr>
                <w:rFonts w:cs="Times New Roman"/>
                <w:szCs w:val="24"/>
              </w:rPr>
              <w:t>103</w:t>
            </w:r>
          </w:p>
        </w:tc>
        <w:tc>
          <w:tcPr>
            <w:tcW w:w="1260" w:type="dxa"/>
            <w:tcBorders>
              <w:top w:val="single" w:sz="8" w:space="0" w:color="7F7F7F" w:themeColor="text1" w:themeTint="80"/>
              <w:bottom w:val="single" w:sz="4" w:space="0" w:color="7F7F7F" w:themeColor="text1" w:themeTint="80"/>
            </w:tcBorders>
          </w:tcPr>
          <w:p w14:paraId="6CE127B6" w14:textId="77777777" w:rsidR="00A71477" w:rsidRPr="0088307E" w:rsidRDefault="00A71477" w:rsidP="00316A6C">
            <w:pPr>
              <w:rPr>
                <w:rFonts w:cs="Times New Roman"/>
                <w:szCs w:val="24"/>
              </w:rPr>
            </w:pPr>
          </w:p>
        </w:tc>
        <w:tc>
          <w:tcPr>
            <w:tcW w:w="7054" w:type="dxa"/>
            <w:tcBorders>
              <w:top w:val="single" w:sz="8" w:space="0" w:color="7F7F7F" w:themeColor="text1" w:themeTint="80"/>
              <w:bottom w:val="single" w:sz="4" w:space="0" w:color="7F7F7F" w:themeColor="text1" w:themeTint="80"/>
            </w:tcBorders>
          </w:tcPr>
          <w:p w14:paraId="14BD5167" w14:textId="77777777" w:rsidR="00A71477" w:rsidRPr="0088307E" w:rsidRDefault="00A71477" w:rsidP="00316A6C">
            <w:pPr>
              <w:rPr>
                <w:rFonts w:cs="Times New Roman"/>
                <w:szCs w:val="24"/>
              </w:rPr>
            </w:pPr>
            <w:r w:rsidRPr="0088307E">
              <w:rPr>
                <w:rFonts w:cs="Times New Roman"/>
                <w:szCs w:val="24"/>
              </w:rPr>
              <w:t>Nedaňové příjmy, kapitálové příjmy a přijaté transfery celkem</w:t>
            </w:r>
          </w:p>
        </w:tc>
      </w:tr>
      <w:tr w:rsidR="00413CE9" w:rsidRPr="00413CE9" w14:paraId="1427974C" w14:textId="77777777" w:rsidTr="00316A6C">
        <w:tc>
          <w:tcPr>
            <w:tcW w:w="1008" w:type="dxa"/>
            <w:vMerge/>
            <w:tcBorders>
              <w:top w:val="single" w:sz="4" w:space="0" w:color="7F7F7F" w:themeColor="text1" w:themeTint="80"/>
            </w:tcBorders>
          </w:tcPr>
          <w:p w14:paraId="2040BAB5" w14:textId="77777777" w:rsidR="00A71477" w:rsidRPr="0088307E" w:rsidRDefault="00A71477" w:rsidP="00316A6C">
            <w:pPr>
              <w:rPr>
                <w:rFonts w:cs="Times New Roman"/>
                <w:szCs w:val="24"/>
              </w:rPr>
            </w:pPr>
          </w:p>
        </w:tc>
        <w:tc>
          <w:tcPr>
            <w:tcW w:w="1260" w:type="dxa"/>
            <w:tcBorders>
              <w:top w:val="single" w:sz="4" w:space="0" w:color="7F7F7F" w:themeColor="text1" w:themeTint="80"/>
            </w:tcBorders>
          </w:tcPr>
          <w:p w14:paraId="6E4775B6" w14:textId="77777777" w:rsidR="00A71477" w:rsidRPr="0088307E" w:rsidRDefault="00A71477" w:rsidP="00316A6C">
            <w:pPr>
              <w:rPr>
                <w:rFonts w:cs="Times New Roman"/>
                <w:szCs w:val="24"/>
              </w:rPr>
            </w:pPr>
            <w:r w:rsidRPr="0088307E">
              <w:rPr>
                <w:rFonts w:cs="Times New Roman"/>
                <w:szCs w:val="24"/>
              </w:rPr>
              <w:t>103001</w:t>
            </w:r>
          </w:p>
        </w:tc>
        <w:tc>
          <w:tcPr>
            <w:tcW w:w="7054" w:type="dxa"/>
            <w:tcBorders>
              <w:top w:val="single" w:sz="4" w:space="0" w:color="7F7F7F" w:themeColor="text1" w:themeTint="80"/>
            </w:tcBorders>
          </w:tcPr>
          <w:p w14:paraId="467BBDA7" w14:textId="77777777" w:rsidR="00A71477" w:rsidRPr="0088307E" w:rsidRDefault="00A71477" w:rsidP="00316A6C">
            <w:pPr>
              <w:rPr>
                <w:rFonts w:cs="Times New Roman"/>
                <w:szCs w:val="24"/>
              </w:rPr>
            </w:pPr>
            <w:r w:rsidRPr="0088307E">
              <w:rPr>
                <w:rFonts w:cs="Times New Roman"/>
                <w:szCs w:val="24"/>
              </w:rPr>
              <w:t>Příjmy z rozpočtu Evropské unie bez SZP</w:t>
            </w:r>
          </w:p>
        </w:tc>
      </w:tr>
      <w:tr w:rsidR="00413CE9" w:rsidRPr="00413CE9" w14:paraId="61C9ABB9" w14:textId="77777777" w:rsidTr="00316A6C">
        <w:trPr>
          <w:trHeight w:val="215"/>
        </w:trPr>
        <w:tc>
          <w:tcPr>
            <w:tcW w:w="1008" w:type="dxa"/>
            <w:vMerge/>
          </w:tcPr>
          <w:p w14:paraId="4DE3FA1A" w14:textId="77777777" w:rsidR="00A71477" w:rsidRPr="0088307E" w:rsidRDefault="00A71477" w:rsidP="00316A6C">
            <w:pPr>
              <w:rPr>
                <w:rFonts w:cs="Times New Roman"/>
                <w:szCs w:val="24"/>
              </w:rPr>
            </w:pPr>
          </w:p>
        </w:tc>
        <w:tc>
          <w:tcPr>
            <w:tcW w:w="1260" w:type="dxa"/>
          </w:tcPr>
          <w:p w14:paraId="3DFE99D4" w14:textId="77777777" w:rsidR="00A71477" w:rsidRPr="0088307E" w:rsidRDefault="00A71477" w:rsidP="00316A6C">
            <w:pPr>
              <w:rPr>
                <w:rFonts w:cs="Times New Roman"/>
                <w:szCs w:val="24"/>
              </w:rPr>
            </w:pPr>
            <w:r w:rsidRPr="0088307E">
              <w:rPr>
                <w:rFonts w:cs="Times New Roman"/>
                <w:szCs w:val="24"/>
              </w:rPr>
              <w:t>103003</w:t>
            </w:r>
          </w:p>
        </w:tc>
        <w:tc>
          <w:tcPr>
            <w:tcW w:w="7054" w:type="dxa"/>
          </w:tcPr>
          <w:p w14:paraId="6B602072" w14:textId="77777777" w:rsidR="00A71477" w:rsidRPr="0088307E" w:rsidRDefault="00A71477" w:rsidP="00316A6C">
            <w:pPr>
              <w:rPr>
                <w:rFonts w:cs="Times New Roman"/>
                <w:szCs w:val="24"/>
              </w:rPr>
            </w:pPr>
            <w:r w:rsidRPr="0088307E">
              <w:rPr>
                <w:rFonts w:cs="Times New Roman"/>
                <w:szCs w:val="24"/>
              </w:rPr>
              <w:t>Příjmy z prostředků finančních mechanismů</w:t>
            </w:r>
          </w:p>
        </w:tc>
      </w:tr>
      <w:tr w:rsidR="00413CE9" w:rsidRPr="00413CE9" w14:paraId="09316A30" w14:textId="77777777" w:rsidTr="00316A6C">
        <w:tc>
          <w:tcPr>
            <w:tcW w:w="1008" w:type="dxa"/>
            <w:vMerge/>
          </w:tcPr>
          <w:p w14:paraId="10CDD138" w14:textId="77777777" w:rsidR="00A71477" w:rsidRPr="0088307E" w:rsidRDefault="00A71477" w:rsidP="00316A6C">
            <w:pPr>
              <w:rPr>
                <w:rFonts w:cs="Times New Roman"/>
                <w:szCs w:val="24"/>
              </w:rPr>
            </w:pPr>
          </w:p>
        </w:tc>
        <w:tc>
          <w:tcPr>
            <w:tcW w:w="1260" w:type="dxa"/>
          </w:tcPr>
          <w:p w14:paraId="42E0123B" w14:textId="77777777" w:rsidR="00A71477" w:rsidRPr="0088307E" w:rsidRDefault="00A71477" w:rsidP="00316A6C">
            <w:pPr>
              <w:rPr>
                <w:rFonts w:cs="Times New Roman"/>
                <w:b/>
                <w:szCs w:val="24"/>
              </w:rPr>
            </w:pPr>
            <w:r w:rsidRPr="0088307E">
              <w:rPr>
                <w:rFonts w:cs="Times New Roman"/>
                <w:szCs w:val="24"/>
              </w:rPr>
              <w:t>103004</w:t>
            </w:r>
          </w:p>
        </w:tc>
        <w:tc>
          <w:tcPr>
            <w:tcW w:w="7054" w:type="dxa"/>
          </w:tcPr>
          <w:p w14:paraId="292846D0" w14:textId="77777777" w:rsidR="00A71477" w:rsidRPr="0088307E" w:rsidRDefault="00A71477" w:rsidP="00316A6C">
            <w:pPr>
              <w:rPr>
                <w:rFonts w:cs="Times New Roman"/>
                <w:szCs w:val="24"/>
              </w:rPr>
            </w:pPr>
            <w:r w:rsidRPr="0088307E">
              <w:rPr>
                <w:rFonts w:cs="Times New Roman"/>
                <w:szCs w:val="24"/>
              </w:rPr>
              <w:t>Ostatní nedaňové příjmy, kapitálové příjmy a přijaté transfery celkem</w:t>
            </w:r>
          </w:p>
        </w:tc>
      </w:tr>
    </w:tbl>
    <w:p w14:paraId="47C377FF" w14:textId="3D5643FC" w:rsidR="00A71477" w:rsidRPr="0088307E" w:rsidRDefault="00A71477" w:rsidP="00A71477">
      <w:pPr>
        <w:pStyle w:val="Styl1"/>
      </w:pPr>
      <w:bookmarkStart w:id="10" w:name="_Toc274061123"/>
      <w:bookmarkStart w:id="11" w:name="_Toc462314384"/>
      <w:bookmarkStart w:id="12" w:name="_Toc49761894"/>
      <w:r w:rsidRPr="0088307E">
        <w:t>V rámci okruhu „Příjmy z prostředků finančních mechanismů“ nejsou pro rok 202</w:t>
      </w:r>
      <w:r w:rsidR="00413CE9" w:rsidRPr="0088307E">
        <w:t>3</w:t>
      </w:r>
      <w:r w:rsidRPr="0088307E">
        <w:t xml:space="preserve"> rozpočtovány příjmy.</w:t>
      </w:r>
    </w:p>
    <w:p w14:paraId="30DF5332" w14:textId="77777777" w:rsidR="00CF4BB2" w:rsidRPr="0088307E" w:rsidRDefault="00CF4BB2" w:rsidP="00CF4BB2">
      <w:pPr>
        <w:pStyle w:val="Nadpis2"/>
        <w:numPr>
          <w:ilvl w:val="1"/>
          <w:numId w:val="7"/>
        </w:numPr>
        <w:tabs>
          <w:tab w:val="clear" w:pos="576"/>
          <w:tab w:val="left" w:pos="1985"/>
        </w:tabs>
        <w:spacing w:before="120"/>
        <w:ind w:left="567" w:hanging="567"/>
        <w:rPr>
          <w:i/>
        </w:rPr>
      </w:pPr>
      <w:bookmarkStart w:id="13" w:name="_Toc115787424"/>
      <w:r w:rsidRPr="0088307E">
        <w:t>Specifické ukazatele – příjmy</w:t>
      </w:r>
      <w:bookmarkEnd w:id="10"/>
      <w:bookmarkEnd w:id="11"/>
      <w:bookmarkEnd w:id="12"/>
      <w:bookmarkEnd w:id="13"/>
    </w:p>
    <w:p w14:paraId="02876BAD" w14:textId="750E6E6D" w:rsidR="00CF4BB2" w:rsidRPr="0088307E" w:rsidRDefault="00CF4BB2" w:rsidP="00CF4BB2">
      <w:pPr>
        <w:pStyle w:val="Titulek"/>
      </w:pPr>
      <w:r w:rsidRPr="0088307E">
        <w:t xml:space="preserve">Tabulka č. </w:t>
      </w:r>
      <w:fldSimple w:instr=" SEQ Tabulka \* ARABIC ">
        <w:r w:rsidR="00F80947">
          <w:rPr>
            <w:noProof/>
          </w:rPr>
          <w:t>3</w:t>
        </w:r>
      </w:fldSimple>
      <w:r w:rsidRPr="0088307E">
        <w:t xml:space="preserve"> Specifické ukazatele – příjmy (v tis. Kč)</w:t>
      </w:r>
    </w:p>
    <w:tbl>
      <w:tblPr>
        <w:tblStyle w:val="Svtltabulkasmkou1"/>
        <w:tblW w:w="9288"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7488"/>
        <w:gridCol w:w="1800"/>
      </w:tblGrid>
      <w:tr w:rsidR="00E8518E" w:rsidRPr="00E8518E" w14:paraId="24F5C150" w14:textId="77777777" w:rsidTr="00316A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488" w:type="dxa"/>
            <w:tcBorders>
              <w:bottom w:val="single" w:sz="8" w:space="0" w:color="7F7F7F" w:themeColor="text1" w:themeTint="80"/>
            </w:tcBorders>
          </w:tcPr>
          <w:p w14:paraId="203A7C67" w14:textId="77777777" w:rsidR="00A71477" w:rsidRPr="0088307E" w:rsidRDefault="00A71477" w:rsidP="00A71477">
            <w:pPr>
              <w:numPr>
                <w:ilvl w:val="0"/>
                <w:numId w:val="6"/>
              </w:numPr>
              <w:tabs>
                <w:tab w:val="clear" w:pos="644"/>
                <w:tab w:val="num" w:pos="244"/>
                <w:tab w:val="num" w:pos="437"/>
              </w:tabs>
              <w:spacing w:before="81"/>
              <w:ind w:left="242" w:hanging="242"/>
              <w:rPr>
                <w:rFonts w:cs="Times New Roman"/>
                <w:b w:val="0"/>
                <w:szCs w:val="24"/>
              </w:rPr>
            </w:pPr>
            <w:r w:rsidRPr="0088307E">
              <w:rPr>
                <w:rFonts w:cs="Times New Roman"/>
                <w:szCs w:val="24"/>
              </w:rPr>
              <w:t>Daňové příjmy</w:t>
            </w:r>
          </w:p>
        </w:tc>
        <w:tc>
          <w:tcPr>
            <w:tcW w:w="1800" w:type="dxa"/>
            <w:tcBorders>
              <w:bottom w:val="single" w:sz="8" w:space="0" w:color="7F7F7F" w:themeColor="text1" w:themeTint="80"/>
            </w:tcBorders>
          </w:tcPr>
          <w:p w14:paraId="7EC349DE" w14:textId="77777777" w:rsidR="00A71477" w:rsidRPr="0088307E" w:rsidRDefault="00A71477" w:rsidP="00316A6C">
            <w:pPr>
              <w:pStyle w:val="Nvod"/>
              <w:keepNext/>
              <w:tabs>
                <w:tab w:val="left" w:pos="1072"/>
              </w:tabs>
              <w:spacing w:before="108"/>
              <w:ind w:left="0" w:firstLine="0"/>
              <w:jc w:val="right"/>
              <w:cnfStyle w:val="100000000000" w:firstRow="1" w:lastRow="0" w:firstColumn="0" w:lastColumn="0" w:oddVBand="0" w:evenVBand="0" w:oddHBand="0" w:evenHBand="0" w:firstRowFirstColumn="0" w:firstRowLastColumn="0" w:lastRowFirstColumn="0" w:lastRowLastColumn="0"/>
              <w:rPr>
                <w:b w:val="0"/>
                <w:szCs w:val="24"/>
              </w:rPr>
            </w:pPr>
            <w:r w:rsidRPr="0088307E">
              <w:rPr>
                <w:szCs w:val="24"/>
              </w:rPr>
              <w:t xml:space="preserve">185 000     </w:t>
            </w:r>
          </w:p>
        </w:tc>
      </w:tr>
      <w:tr w:rsidR="00E8518E" w:rsidRPr="00E8518E" w14:paraId="21A52FA3"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single" w:sz="8" w:space="0" w:color="7F7F7F" w:themeColor="text1" w:themeTint="80"/>
              <w:bottom w:val="nil"/>
            </w:tcBorders>
          </w:tcPr>
          <w:p w14:paraId="0305D0B0" w14:textId="77777777" w:rsidR="00A71477" w:rsidRPr="0088307E" w:rsidRDefault="00A71477" w:rsidP="00A71477">
            <w:pPr>
              <w:numPr>
                <w:ilvl w:val="0"/>
                <w:numId w:val="6"/>
              </w:numPr>
              <w:tabs>
                <w:tab w:val="clear" w:pos="644"/>
                <w:tab w:val="num" w:pos="244"/>
                <w:tab w:val="num" w:pos="437"/>
              </w:tabs>
              <w:spacing w:before="81"/>
              <w:ind w:left="242" w:hanging="242"/>
              <w:rPr>
                <w:rFonts w:cs="Times New Roman"/>
                <w:b w:val="0"/>
                <w:szCs w:val="24"/>
              </w:rPr>
            </w:pPr>
            <w:r w:rsidRPr="0088307E">
              <w:rPr>
                <w:rFonts w:cs="Times New Roman"/>
                <w:szCs w:val="24"/>
              </w:rPr>
              <w:t xml:space="preserve">Nedaňové příjmy, kapitálové příjmy a přijaté transfery celkem </w:t>
            </w:r>
          </w:p>
        </w:tc>
        <w:tc>
          <w:tcPr>
            <w:tcW w:w="1800" w:type="dxa"/>
            <w:tcBorders>
              <w:top w:val="single" w:sz="8" w:space="0" w:color="7F7F7F" w:themeColor="text1" w:themeTint="80"/>
              <w:bottom w:val="nil"/>
            </w:tcBorders>
          </w:tcPr>
          <w:p w14:paraId="1123B360" w14:textId="3EBC29C0" w:rsidR="00A71477" w:rsidRPr="0088307E" w:rsidRDefault="00413CE9" w:rsidP="00316A6C">
            <w:pPr>
              <w:pStyle w:val="Nvod"/>
              <w:keepNext/>
              <w:tabs>
                <w:tab w:val="left" w:pos="1072"/>
              </w:tabs>
              <w:spacing w:before="108"/>
              <w:ind w:left="0" w:firstLine="0"/>
              <w:jc w:val="right"/>
              <w:cnfStyle w:val="000000000000" w:firstRow="0" w:lastRow="0" w:firstColumn="0" w:lastColumn="0" w:oddVBand="0" w:evenVBand="0" w:oddHBand="0" w:evenHBand="0" w:firstRowFirstColumn="0" w:firstRowLastColumn="0" w:lastRowFirstColumn="0" w:lastRowLastColumn="0"/>
              <w:rPr>
                <w:b/>
                <w:szCs w:val="24"/>
              </w:rPr>
            </w:pPr>
            <w:r w:rsidRPr="0088307E">
              <w:rPr>
                <w:b/>
                <w:szCs w:val="24"/>
              </w:rPr>
              <w:t>28 868 763</w:t>
            </w:r>
          </w:p>
        </w:tc>
      </w:tr>
      <w:tr w:rsidR="00E8518E" w:rsidRPr="00E8518E" w14:paraId="1501EF89"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nil"/>
            </w:tcBorders>
          </w:tcPr>
          <w:p w14:paraId="59214ED0" w14:textId="77777777" w:rsidR="00A71477" w:rsidRPr="0088307E" w:rsidRDefault="00A71477" w:rsidP="00316A6C">
            <w:pPr>
              <w:rPr>
                <w:rFonts w:cs="Times New Roman"/>
                <w:b w:val="0"/>
                <w:szCs w:val="24"/>
              </w:rPr>
            </w:pPr>
            <w:r w:rsidRPr="0088307E">
              <w:rPr>
                <w:rFonts w:cs="Times New Roman"/>
                <w:szCs w:val="24"/>
              </w:rPr>
              <w:t xml:space="preserve">      v tom: příjmy z rozpočtu Evropské unie bez společné zemědělské</w:t>
            </w:r>
          </w:p>
          <w:p w14:paraId="6DD97027" w14:textId="543A2B4D" w:rsidR="00A71477" w:rsidRPr="0088307E" w:rsidRDefault="00A71477" w:rsidP="00316A6C">
            <w:pPr>
              <w:rPr>
                <w:rFonts w:cs="Times New Roman"/>
                <w:b w:val="0"/>
                <w:szCs w:val="24"/>
              </w:rPr>
            </w:pPr>
            <w:r w:rsidRPr="0088307E">
              <w:rPr>
                <w:rFonts w:cs="Times New Roman"/>
                <w:szCs w:val="24"/>
              </w:rPr>
              <w:t xml:space="preserve">                 </w:t>
            </w:r>
            <w:r w:rsidR="0047653F">
              <w:rPr>
                <w:rFonts w:cs="Times New Roman"/>
                <w:szCs w:val="24"/>
              </w:rPr>
              <w:t xml:space="preserve"> </w:t>
            </w:r>
            <w:r w:rsidRPr="0088307E">
              <w:rPr>
                <w:rFonts w:cs="Times New Roman"/>
                <w:szCs w:val="24"/>
              </w:rPr>
              <w:t>politiky celkem</w:t>
            </w:r>
          </w:p>
        </w:tc>
        <w:tc>
          <w:tcPr>
            <w:tcW w:w="1800" w:type="dxa"/>
            <w:tcBorders>
              <w:top w:val="nil"/>
              <w:bottom w:val="nil"/>
            </w:tcBorders>
          </w:tcPr>
          <w:p w14:paraId="49B08C44" w14:textId="539A796D" w:rsidR="00A71477" w:rsidRPr="00E8518E" w:rsidRDefault="00D658D7" w:rsidP="00316A6C">
            <w:pPr>
              <w:pStyle w:val="Nvod"/>
              <w:keepNext/>
              <w:tabs>
                <w:tab w:val="left" w:pos="1072"/>
              </w:tabs>
              <w:spacing w:before="108"/>
              <w:ind w:left="0" w:firstLine="8"/>
              <w:jc w:val="right"/>
              <w:cnfStyle w:val="000000000000" w:firstRow="0" w:lastRow="0" w:firstColumn="0" w:lastColumn="0" w:oddVBand="0" w:evenVBand="0" w:oddHBand="0" w:evenHBand="0" w:firstRowFirstColumn="0" w:firstRowLastColumn="0" w:lastRowFirstColumn="0" w:lastRowLastColumn="0"/>
              <w:rPr>
                <w:color w:val="FF0000"/>
                <w:szCs w:val="24"/>
              </w:rPr>
            </w:pPr>
            <w:r w:rsidRPr="0088307E">
              <w:rPr>
                <w:szCs w:val="24"/>
              </w:rPr>
              <w:t>28 786 763</w:t>
            </w:r>
          </w:p>
        </w:tc>
      </w:tr>
      <w:tr w:rsidR="00E8518E" w:rsidRPr="00E8518E" w14:paraId="4FA9ECA5" w14:textId="77777777" w:rsidTr="00316A6C">
        <w:tc>
          <w:tcPr>
            <w:cnfStyle w:val="001000000000" w:firstRow="0" w:lastRow="0" w:firstColumn="1" w:lastColumn="0" w:oddVBand="0" w:evenVBand="0" w:oddHBand="0" w:evenHBand="0" w:firstRowFirstColumn="0" w:firstRowLastColumn="0" w:lastRowFirstColumn="0" w:lastRowLastColumn="0"/>
            <w:tcW w:w="7488" w:type="dxa"/>
            <w:tcBorders>
              <w:top w:val="nil"/>
              <w:bottom w:val="single" w:sz="8" w:space="0" w:color="7F7F7F" w:themeColor="text1" w:themeTint="80"/>
            </w:tcBorders>
          </w:tcPr>
          <w:p w14:paraId="064F24A7" w14:textId="6CDA0251" w:rsidR="00A71477" w:rsidRPr="0088307E" w:rsidRDefault="00A71477" w:rsidP="0047653F">
            <w:pPr>
              <w:ind w:left="1011" w:hanging="1011"/>
              <w:rPr>
                <w:rFonts w:cs="Times New Roman"/>
                <w:b w:val="0"/>
                <w:szCs w:val="24"/>
              </w:rPr>
            </w:pPr>
            <w:r w:rsidRPr="0088307E">
              <w:rPr>
                <w:rFonts w:cs="Times New Roman"/>
                <w:szCs w:val="24"/>
              </w:rPr>
              <w:t xml:space="preserve">                </w:t>
            </w:r>
            <w:r w:rsidR="0047653F">
              <w:rPr>
                <w:rFonts w:cs="Times New Roman"/>
                <w:szCs w:val="24"/>
              </w:rPr>
              <w:t xml:space="preserve"> </w:t>
            </w:r>
            <w:r w:rsidRPr="0088307E">
              <w:rPr>
                <w:rFonts w:cs="Times New Roman"/>
                <w:szCs w:val="24"/>
              </w:rPr>
              <w:t xml:space="preserve"> ostatní nedaňové příjmy, kapitálové příjmy a přijaté</w:t>
            </w:r>
            <w:r w:rsidR="0047653F">
              <w:rPr>
                <w:rFonts w:cs="Times New Roman"/>
                <w:szCs w:val="24"/>
              </w:rPr>
              <w:br/>
              <w:t xml:space="preserve"> </w:t>
            </w:r>
            <w:r w:rsidRPr="0088307E">
              <w:rPr>
                <w:rFonts w:cs="Times New Roman"/>
                <w:szCs w:val="24"/>
              </w:rPr>
              <w:t>transfery celkem</w:t>
            </w:r>
          </w:p>
        </w:tc>
        <w:tc>
          <w:tcPr>
            <w:tcW w:w="1800" w:type="dxa"/>
            <w:tcBorders>
              <w:top w:val="nil"/>
              <w:bottom w:val="single" w:sz="8" w:space="0" w:color="7F7F7F" w:themeColor="text1" w:themeTint="80"/>
            </w:tcBorders>
          </w:tcPr>
          <w:p w14:paraId="253DD1E4" w14:textId="683119CB" w:rsidR="00A71477" w:rsidRPr="0088307E" w:rsidRDefault="00D658D7">
            <w:pPr>
              <w:pStyle w:val="Nvod"/>
              <w:keepNext/>
              <w:tabs>
                <w:tab w:val="left" w:pos="1072"/>
              </w:tabs>
              <w:spacing w:before="108"/>
              <w:ind w:left="0" w:firstLine="0"/>
              <w:jc w:val="right"/>
              <w:cnfStyle w:val="000000000000" w:firstRow="0" w:lastRow="0" w:firstColumn="0" w:lastColumn="0" w:oddVBand="0" w:evenVBand="0" w:oddHBand="0" w:evenHBand="0" w:firstRowFirstColumn="0" w:firstRowLastColumn="0" w:lastRowFirstColumn="0" w:lastRowLastColumn="0"/>
              <w:rPr>
                <w:szCs w:val="24"/>
              </w:rPr>
            </w:pPr>
            <w:r w:rsidRPr="0088307E">
              <w:rPr>
                <w:szCs w:val="24"/>
              </w:rPr>
              <w:t>82 000</w:t>
            </w:r>
          </w:p>
        </w:tc>
      </w:tr>
    </w:tbl>
    <w:p w14:paraId="44E86775" w14:textId="77777777" w:rsidR="00CF4BB2" w:rsidRPr="0088307E" w:rsidRDefault="00CF4BB2" w:rsidP="00CF4BB2">
      <w:pPr>
        <w:pStyle w:val="Nadpis2"/>
        <w:tabs>
          <w:tab w:val="clear" w:pos="576"/>
          <w:tab w:val="num" w:pos="2561"/>
        </w:tabs>
        <w:rPr>
          <w:i/>
        </w:rPr>
      </w:pPr>
      <w:bookmarkStart w:id="14" w:name="_Toc274061124"/>
      <w:bookmarkStart w:id="15" w:name="_Toc462314385"/>
      <w:bookmarkStart w:id="16" w:name="_Toc49761895"/>
      <w:bookmarkStart w:id="17" w:name="_Toc115787425"/>
      <w:r w:rsidRPr="0088307E">
        <w:t>Druhové členění příjmů</w:t>
      </w:r>
      <w:bookmarkEnd w:id="14"/>
      <w:bookmarkEnd w:id="15"/>
      <w:bookmarkEnd w:id="16"/>
      <w:bookmarkEnd w:id="17"/>
    </w:p>
    <w:p w14:paraId="22D5D477" w14:textId="77777777" w:rsidR="00402666" w:rsidRPr="0088307E" w:rsidRDefault="00402666" w:rsidP="006B75C3">
      <w:pPr>
        <w:pStyle w:val="Styl1"/>
        <w:spacing w:after="120"/>
      </w:pPr>
      <w:bookmarkStart w:id="18" w:name="_Toc368665059"/>
      <w:r w:rsidRPr="0088307E">
        <w:t>Příjmy celkem zahrnují v základním druhovém rozdělení daňové příjmy, nedaňové příjmy, neinvestiční a investiční přijaté transfery v členění:</w:t>
      </w:r>
    </w:p>
    <w:tbl>
      <w:tblPr>
        <w:tblW w:w="9250" w:type="dxa"/>
        <w:tblCellMar>
          <w:left w:w="70" w:type="dxa"/>
          <w:right w:w="70" w:type="dxa"/>
        </w:tblCellMar>
        <w:tblLook w:val="0000" w:firstRow="0" w:lastRow="0" w:firstColumn="0" w:lastColumn="0" w:noHBand="0" w:noVBand="0"/>
      </w:tblPr>
      <w:tblGrid>
        <w:gridCol w:w="7088"/>
        <w:gridCol w:w="2162"/>
      </w:tblGrid>
      <w:tr w:rsidR="00E8518E" w:rsidRPr="00E8518E" w14:paraId="25A0C196" w14:textId="77777777" w:rsidTr="00316A6C">
        <w:tc>
          <w:tcPr>
            <w:tcW w:w="7088" w:type="dxa"/>
          </w:tcPr>
          <w:p w14:paraId="00448E5C" w14:textId="77777777" w:rsidR="00402666" w:rsidRPr="0088307E" w:rsidRDefault="00402666" w:rsidP="00402666">
            <w:pPr>
              <w:numPr>
                <w:ilvl w:val="0"/>
                <w:numId w:val="4"/>
              </w:numPr>
              <w:tabs>
                <w:tab w:val="clear" w:pos="644"/>
                <w:tab w:val="num" w:pos="244"/>
                <w:tab w:val="num" w:pos="437"/>
              </w:tabs>
              <w:spacing w:before="81" w:line="240" w:lineRule="auto"/>
              <w:ind w:left="242" w:hanging="242"/>
              <w:rPr>
                <w:rFonts w:cs="Times New Roman"/>
                <w:b/>
                <w:szCs w:val="24"/>
              </w:rPr>
            </w:pPr>
            <w:r w:rsidRPr="0088307E">
              <w:rPr>
                <w:rFonts w:cs="Times New Roman"/>
                <w:b/>
                <w:szCs w:val="24"/>
              </w:rPr>
              <w:t>Daně a poplatky z vybraných činností a služeb</w:t>
            </w:r>
          </w:p>
        </w:tc>
        <w:tc>
          <w:tcPr>
            <w:tcW w:w="2162" w:type="dxa"/>
          </w:tcPr>
          <w:p w14:paraId="61160A94" w14:textId="77777777" w:rsidR="00402666" w:rsidRPr="0088307E" w:rsidRDefault="00402666" w:rsidP="00316A6C">
            <w:pPr>
              <w:pStyle w:val="xl54"/>
              <w:pBdr>
                <w:left w:val="none" w:sz="0" w:space="0" w:color="auto"/>
                <w:right w:val="none" w:sz="0" w:space="0" w:color="auto"/>
              </w:pBdr>
              <w:spacing w:before="81" w:beforeAutospacing="0" w:after="0" w:afterAutospacing="0"/>
              <w:rPr>
                <w:b/>
              </w:rPr>
            </w:pPr>
            <w:r w:rsidRPr="0088307E">
              <w:rPr>
                <w:b/>
              </w:rPr>
              <w:t>185 000 tis. Kč</w:t>
            </w:r>
          </w:p>
        </w:tc>
      </w:tr>
      <w:tr w:rsidR="00E8518E" w:rsidRPr="00E8518E" w14:paraId="79C64F84" w14:textId="77777777" w:rsidTr="00316A6C">
        <w:tc>
          <w:tcPr>
            <w:tcW w:w="7088" w:type="dxa"/>
          </w:tcPr>
          <w:p w14:paraId="232F55FC" w14:textId="77777777" w:rsidR="00402666" w:rsidRPr="0088307E" w:rsidRDefault="00402666" w:rsidP="00316A6C">
            <w:pPr>
              <w:rPr>
                <w:rFonts w:cs="Times New Roman"/>
                <w:szCs w:val="24"/>
              </w:rPr>
            </w:pPr>
            <w:r w:rsidRPr="0088307E">
              <w:rPr>
                <w:rFonts w:cs="Times New Roman"/>
                <w:szCs w:val="24"/>
              </w:rPr>
              <w:t xml:space="preserve">      v tom:</w:t>
            </w:r>
          </w:p>
        </w:tc>
        <w:tc>
          <w:tcPr>
            <w:tcW w:w="2162" w:type="dxa"/>
          </w:tcPr>
          <w:p w14:paraId="6A026AC1" w14:textId="77777777" w:rsidR="00402666" w:rsidRPr="0088307E" w:rsidRDefault="00402666" w:rsidP="00316A6C">
            <w:pPr>
              <w:pStyle w:val="xl54"/>
              <w:pBdr>
                <w:left w:val="none" w:sz="0" w:space="0" w:color="auto"/>
                <w:right w:val="none" w:sz="0" w:space="0" w:color="auto"/>
              </w:pBdr>
              <w:spacing w:before="0" w:beforeAutospacing="0" w:after="0" w:afterAutospacing="0"/>
              <w:rPr>
                <w:b/>
              </w:rPr>
            </w:pPr>
          </w:p>
        </w:tc>
      </w:tr>
      <w:tr w:rsidR="00E8518E" w:rsidRPr="00E8518E" w14:paraId="2A7DC7B8" w14:textId="77777777" w:rsidTr="00316A6C">
        <w:tc>
          <w:tcPr>
            <w:tcW w:w="7088" w:type="dxa"/>
          </w:tcPr>
          <w:p w14:paraId="47E58040" w14:textId="77777777" w:rsidR="00402666" w:rsidRPr="0088307E" w:rsidRDefault="00402666" w:rsidP="00316A6C">
            <w:pPr>
              <w:rPr>
                <w:rFonts w:cs="Times New Roman"/>
                <w:szCs w:val="24"/>
              </w:rPr>
            </w:pPr>
            <w:r w:rsidRPr="0088307E">
              <w:rPr>
                <w:rFonts w:cs="Times New Roman"/>
                <w:szCs w:val="24"/>
              </w:rPr>
              <w:t xml:space="preserve">      - Správní poplatky</w:t>
            </w:r>
          </w:p>
        </w:tc>
        <w:tc>
          <w:tcPr>
            <w:tcW w:w="2162" w:type="dxa"/>
          </w:tcPr>
          <w:p w14:paraId="4A75F67C" w14:textId="77777777" w:rsidR="00402666" w:rsidRPr="0088307E" w:rsidRDefault="00402666" w:rsidP="00316A6C">
            <w:pPr>
              <w:pStyle w:val="xl54"/>
              <w:pBdr>
                <w:left w:val="none" w:sz="0" w:space="0" w:color="auto"/>
                <w:right w:val="none" w:sz="0" w:space="0" w:color="auto"/>
              </w:pBdr>
              <w:spacing w:before="0" w:beforeAutospacing="0" w:after="0" w:afterAutospacing="0"/>
            </w:pPr>
            <w:r w:rsidRPr="0088307E">
              <w:t>185 000 tis. Kč</w:t>
            </w:r>
          </w:p>
        </w:tc>
      </w:tr>
      <w:tr w:rsidR="00E8518E" w:rsidRPr="00E8518E" w14:paraId="123AF60C" w14:textId="77777777" w:rsidTr="00316A6C">
        <w:trPr>
          <w:trHeight w:val="600"/>
        </w:trPr>
        <w:tc>
          <w:tcPr>
            <w:tcW w:w="7088" w:type="dxa"/>
            <w:vAlign w:val="center"/>
          </w:tcPr>
          <w:p w14:paraId="36639B10" w14:textId="77777777" w:rsidR="00402666" w:rsidRPr="0088307E" w:rsidRDefault="00402666" w:rsidP="00402666">
            <w:pPr>
              <w:numPr>
                <w:ilvl w:val="0"/>
                <w:numId w:val="4"/>
              </w:numPr>
              <w:tabs>
                <w:tab w:val="clear" w:pos="644"/>
                <w:tab w:val="num" w:pos="244"/>
                <w:tab w:val="num" w:pos="437"/>
              </w:tabs>
              <w:spacing w:before="81" w:line="240" w:lineRule="auto"/>
              <w:ind w:left="242" w:hanging="242"/>
              <w:jc w:val="left"/>
              <w:rPr>
                <w:rFonts w:cs="Times New Roman"/>
                <w:b/>
                <w:szCs w:val="24"/>
              </w:rPr>
            </w:pPr>
            <w:r w:rsidRPr="0088307E">
              <w:rPr>
                <w:rFonts w:cs="Times New Roman"/>
                <w:b/>
                <w:szCs w:val="24"/>
              </w:rPr>
              <w:t>Příjmy z vlastní činnosti a odvody přebytků organizací s přímým vztahem</w:t>
            </w:r>
          </w:p>
        </w:tc>
        <w:tc>
          <w:tcPr>
            <w:tcW w:w="2162" w:type="dxa"/>
          </w:tcPr>
          <w:p w14:paraId="264077A7" w14:textId="231C9771" w:rsidR="00402666" w:rsidRPr="0088307E" w:rsidRDefault="00D658D7">
            <w:pPr>
              <w:pStyle w:val="xl54"/>
              <w:pBdr>
                <w:left w:val="none" w:sz="0" w:space="0" w:color="auto"/>
                <w:right w:val="none" w:sz="0" w:space="0" w:color="auto"/>
              </w:pBdr>
              <w:spacing w:before="81" w:beforeAutospacing="0" w:after="0" w:afterAutospacing="0"/>
              <w:rPr>
                <w:b/>
              </w:rPr>
            </w:pPr>
            <w:r w:rsidRPr="0088307E">
              <w:rPr>
                <w:b/>
              </w:rPr>
              <w:t>80 932</w:t>
            </w:r>
            <w:r w:rsidR="00402666" w:rsidRPr="0088307E">
              <w:rPr>
                <w:b/>
              </w:rPr>
              <w:t xml:space="preserve"> tis. Kč</w:t>
            </w:r>
          </w:p>
        </w:tc>
      </w:tr>
      <w:tr w:rsidR="00E8518E" w:rsidRPr="00E8518E" w14:paraId="31EBAFD5" w14:textId="77777777" w:rsidTr="00316A6C">
        <w:tc>
          <w:tcPr>
            <w:tcW w:w="7088" w:type="dxa"/>
          </w:tcPr>
          <w:p w14:paraId="7AFDDC8F" w14:textId="77777777" w:rsidR="00402666" w:rsidRPr="0088307E" w:rsidRDefault="00402666" w:rsidP="00316A6C">
            <w:pPr>
              <w:rPr>
                <w:rFonts w:cs="Times New Roman"/>
                <w:szCs w:val="24"/>
              </w:rPr>
            </w:pPr>
            <w:r w:rsidRPr="0088307E">
              <w:rPr>
                <w:rFonts w:cs="Times New Roman"/>
                <w:szCs w:val="24"/>
              </w:rPr>
              <w:t xml:space="preserve">      v tom:</w:t>
            </w:r>
          </w:p>
        </w:tc>
        <w:tc>
          <w:tcPr>
            <w:tcW w:w="2162" w:type="dxa"/>
          </w:tcPr>
          <w:p w14:paraId="78034E9C" w14:textId="77777777" w:rsidR="00402666" w:rsidRPr="0088307E" w:rsidRDefault="00402666" w:rsidP="00316A6C">
            <w:pPr>
              <w:jc w:val="right"/>
              <w:rPr>
                <w:rFonts w:cs="Times New Roman"/>
                <w:szCs w:val="24"/>
              </w:rPr>
            </w:pPr>
          </w:p>
        </w:tc>
      </w:tr>
      <w:tr w:rsidR="00E8518E" w:rsidRPr="00E8518E" w14:paraId="6987C4CE" w14:textId="77777777" w:rsidTr="00316A6C">
        <w:tc>
          <w:tcPr>
            <w:tcW w:w="7088" w:type="dxa"/>
          </w:tcPr>
          <w:p w14:paraId="39C54D47" w14:textId="77777777" w:rsidR="00402666" w:rsidRPr="00E8518E" w:rsidRDefault="00402666" w:rsidP="00316A6C">
            <w:pPr>
              <w:rPr>
                <w:rFonts w:cs="Times New Roman"/>
                <w:color w:val="FF0000"/>
                <w:szCs w:val="24"/>
              </w:rPr>
            </w:pPr>
            <w:r w:rsidRPr="0088307E">
              <w:rPr>
                <w:rFonts w:cs="Times New Roman"/>
                <w:szCs w:val="24"/>
              </w:rPr>
              <w:t xml:space="preserve">      - Příjmy z vlastní činnosti</w:t>
            </w:r>
          </w:p>
        </w:tc>
        <w:tc>
          <w:tcPr>
            <w:tcW w:w="2162" w:type="dxa"/>
          </w:tcPr>
          <w:p w14:paraId="613280E5" w14:textId="1AEA9DC0" w:rsidR="00402666" w:rsidRPr="00E8518E" w:rsidRDefault="00D658D7">
            <w:pPr>
              <w:jc w:val="right"/>
              <w:rPr>
                <w:rFonts w:cs="Times New Roman"/>
                <w:color w:val="FF0000"/>
                <w:szCs w:val="24"/>
              </w:rPr>
            </w:pPr>
            <w:r w:rsidRPr="0088307E">
              <w:rPr>
                <w:rFonts w:cs="Times New Roman"/>
                <w:szCs w:val="24"/>
              </w:rPr>
              <w:t>48 300</w:t>
            </w:r>
            <w:r w:rsidR="00402666" w:rsidRPr="0088307E">
              <w:rPr>
                <w:rFonts w:cs="Times New Roman"/>
                <w:szCs w:val="24"/>
              </w:rPr>
              <w:t xml:space="preserve"> tis. Kč</w:t>
            </w:r>
          </w:p>
        </w:tc>
      </w:tr>
      <w:tr w:rsidR="00E8518E" w:rsidRPr="00E8518E" w14:paraId="29959882" w14:textId="77777777" w:rsidTr="00316A6C">
        <w:tc>
          <w:tcPr>
            <w:tcW w:w="7088" w:type="dxa"/>
          </w:tcPr>
          <w:p w14:paraId="1895F718" w14:textId="77777777" w:rsidR="00402666" w:rsidRPr="0088307E" w:rsidRDefault="00402666" w:rsidP="00316A6C">
            <w:pPr>
              <w:rPr>
                <w:rFonts w:cs="Times New Roman"/>
                <w:szCs w:val="24"/>
              </w:rPr>
            </w:pPr>
            <w:r w:rsidRPr="0088307E">
              <w:rPr>
                <w:rFonts w:cs="Times New Roman"/>
                <w:szCs w:val="24"/>
              </w:rPr>
              <w:t xml:space="preserve">      - Příjmy z pronájmu majetku</w:t>
            </w:r>
          </w:p>
        </w:tc>
        <w:tc>
          <w:tcPr>
            <w:tcW w:w="2162" w:type="dxa"/>
          </w:tcPr>
          <w:p w14:paraId="4C35088B" w14:textId="35B27E1B" w:rsidR="00402666" w:rsidRPr="00E8518E" w:rsidRDefault="00402666" w:rsidP="00316A6C">
            <w:pPr>
              <w:jc w:val="right"/>
              <w:rPr>
                <w:rFonts w:cs="Times New Roman"/>
                <w:color w:val="FF0000"/>
                <w:szCs w:val="24"/>
              </w:rPr>
            </w:pPr>
            <w:r w:rsidRPr="0088307E">
              <w:rPr>
                <w:rFonts w:cs="Times New Roman"/>
                <w:szCs w:val="24"/>
              </w:rPr>
              <w:t>3</w:t>
            </w:r>
            <w:r w:rsidR="00D658D7" w:rsidRPr="0088307E">
              <w:rPr>
                <w:rFonts w:cs="Times New Roman"/>
                <w:szCs w:val="24"/>
              </w:rPr>
              <w:t>2 617</w:t>
            </w:r>
            <w:r w:rsidRPr="0088307E">
              <w:rPr>
                <w:rFonts w:cs="Times New Roman"/>
                <w:szCs w:val="24"/>
              </w:rPr>
              <w:t xml:space="preserve"> tis. Kč</w:t>
            </w:r>
          </w:p>
        </w:tc>
      </w:tr>
      <w:tr w:rsidR="00E8518E" w:rsidRPr="00E8518E" w14:paraId="5413714F" w14:textId="77777777" w:rsidTr="00316A6C">
        <w:tc>
          <w:tcPr>
            <w:tcW w:w="7088" w:type="dxa"/>
          </w:tcPr>
          <w:p w14:paraId="6B088F29" w14:textId="77777777" w:rsidR="00402666" w:rsidRPr="0088307E" w:rsidRDefault="00402666" w:rsidP="00316A6C">
            <w:pPr>
              <w:rPr>
                <w:rFonts w:cs="Times New Roman"/>
                <w:szCs w:val="24"/>
              </w:rPr>
            </w:pPr>
            <w:r w:rsidRPr="0088307E">
              <w:rPr>
                <w:rFonts w:cs="Times New Roman"/>
                <w:szCs w:val="24"/>
              </w:rPr>
              <w:t xml:space="preserve">      - Výnosy z finančního majetku</w:t>
            </w:r>
          </w:p>
        </w:tc>
        <w:tc>
          <w:tcPr>
            <w:tcW w:w="2162" w:type="dxa"/>
          </w:tcPr>
          <w:p w14:paraId="4269133A" w14:textId="77777777" w:rsidR="00402666" w:rsidRPr="00E8518E" w:rsidRDefault="00402666" w:rsidP="00316A6C">
            <w:pPr>
              <w:jc w:val="right"/>
              <w:rPr>
                <w:rFonts w:cs="Times New Roman"/>
                <w:color w:val="FF0000"/>
                <w:szCs w:val="24"/>
              </w:rPr>
            </w:pPr>
            <w:r w:rsidRPr="0088307E">
              <w:rPr>
                <w:rFonts w:cs="Times New Roman"/>
                <w:szCs w:val="24"/>
              </w:rPr>
              <w:t>15 tis. Kč</w:t>
            </w:r>
          </w:p>
        </w:tc>
      </w:tr>
      <w:tr w:rsidR="00E8518E" w:rsidRPr="00E8518E" w14:paraId="6034FB87" w14:textId="77777777" w:rsidTr="00316A6C">
        <w:trPr>
          <w:trHeight w:val="389"/>
        </w:trPr>
        <w:tc>
          <w:tcPr>
            <w:tcW w:w="7088" w:type="dxa"/>
            <w:vAlign w:val="center"/>
          </w:tcPr>
          <w:p w14:paraId="08EECA5B" w14:textId="77777777" w:rsidR="00402666" w:rsidRPr="00E8518E" w:rsidRDefault="00402666" w:rsidP="00402666">
            <w:pPr>
              <w:numPr>
                <w:ilvl w:val="0"/>
                <w:numId w:val="4"/>
              </w:numPr>
              <w:tabs>
                <w:tab w:val="clear" w:pos="644"/>
                <w:tab w:val="num" w:pos="244"/>
                <w:tab w:val="num" w:pos="437"/>
              </w:tabs>
              <w:spacing w:before="81" w:line="240" w:lineRule="auto"/>
              <w:ind w:left="439" w:hanging="489"/>
              <w:jc w:val="left"/>
              <w:rPr>
                <w:rFonts w:cs="Times New Roman"/>
                <w:b/>
                <w:color w:val="FF0000"/>
                <w:szCs w:val="24"/>
              </w:rPr>
            </w:pPr>
            <w:r w:rsidRPr="0088307E">
              <w:rPr>
                <w:rFonts w:cs="Times New Roman"/>
                <w:b/>
                <w:szCs w:val="24"/>
              </w:rPr>
              <w:t>Přijaté sankční platby a vratky transferů</w:t>
            </w:r>
          </w:p>
        </w:tc>
        <w:tc>
          <w:tcPr>
            <w:tcW w:w="2162" w:type="dxa"/>
            <w:vAlign w:val="center"/>
          </w:tcPr>
          <w:p w14:paraId="4BD5B2B1" w14:textId="77777777" w:rsidR="00402666" w:rsidRPr="0088307E" w:rsidRDefault="00402666" w:rsidP="00316A6C">
            <w:pPr>
              <w:spacing w:before="81"/>
              <w:jc w:val="right"/>
              <w:rPr>
                <w:rFonts w:cs="Times New Roman"/>
                <w:b/>
                <w:szCs w:val="24"/>
              </w:rPr>
            </w:pPr>
            <w:r w:rsidRPr="0088307E">
              <w:rPr>
                <w:rFonts w:cs="Times New Roman"/>
                <w:b/>
                <w:szCs w:val="24"/>
              </w:rPr>
              <w:t>1 068 tis. Kč</w:t>
            </w:r>
          </w:p>
        </w:tc>
      </w:tr>
      <w:tr w:rsidR="00E8518E" w:rsidRPr="00E8518E" w14:paraId="2FAD76EA" w14:textId="77777777" w:rsidTr="00316A6C">
        <w:tc>
          <w:tcPr>
            <w:tcW w:w="7088" w:type="dxa"/>
          </w:tcPr>
          <w:p w14:paraId="6BA251F7" w14:textId="77777777" w:rsidR="00402666" w:rsidRPr="0088307E" w:rsidRDefault="00402666" w:rsidP="00316A6C">
            <w:pPr>
              <w:rPr>
                <w:rFonts w:cs="Times New Roman"/>
                <w:szCs w:val="24"/>
              </w:rPr>
            </w:pPr>
            <w:r w:rsidRPr="0088307E">
              <w:rPr>
                <w:rFonts w:cs="Times New Roman"/>
                <w:szCs w:val="24"/>
              </w:rPr>
              <w:t xml:space="preserve">      v tom:</w:t>
            </w:r>
          </w:p>
        </w:tc>
        <w:tc>
          <w:tcPr>
            <w:tcW w:w="2162" w:type="dxa"/>
          </w:tcPr>
          <w:p w14:paraId="4D2F6E76" w14:textId="77777777" w:rsidR="00402666" w:rsidRPr="0088307E" w:rsidRDefault="00402666" w:rsidP="00316A6C">
            <w:pPr>
              <w:jc w:val="right"/>
              <w:rPr>
                <w:rFonts w:cs="Times New Roman"/>
                <w:b/>
                <w:szCs w:val="24"/>
              </w:rPr>
            </w:pPr>
          </w:p>
        </w:tc>
      </w:tr>
      <w:tr w:rsidR="00E8518E" w:rsidRPr="00E8518E" w14:paraId="63BC880C" w14:textId="77777777" w:rsidTr="00316A6C">
        <w:tc>
          <w:tcPr>
            <w:tcW w:w="7088" w:type="dxa"/>
          </w:tcPr>
          <w:p w14:paraId="2CB7C4E1" w14:textId="77777777" w:rsidR="00402666" w:rsidRPr="0088307E" w:rsidRDefault="00402666" w:rsidP="00316A6C">
            <w:pPr>
              <w:rPr>
                <w:rFonts w:cs="Times New Roman"/>
                <w:szCs w:val="24"/>
              </w:rPr>
            </w:pPr>
            <w:r w:rsidRPr="0088307E">
              <w:rPr>
                <w:rFonts w:cs="Times New Roman"/>
                <w:szCs w:val="24"/>
              </w:rPr>
              <w:t xml:space="preserve">      - Přijaté sankční platby</w:t>
            </w:r>
          </w:p>
        </w:tc>
        <w:tc>
          <w:tcPr>
            <w:tcW w:w="2162" w:type="dxa"/>
          </w:tcPr>
          <w:p w14:paraId="2108A55C" w14:textId="77777777" w:rsidR="00402666" w:rsidRPr="0088307E" w:rsidRDefault="00402666" w:rsidP="00316A6C">
            <w:pPr>
              <w:jc w:val="right"/>
              <w:rPr>
                <w:rFonts w:cs="Times New Roman"/>
                <w:szCs w:val="24"/>
              </w:rPr>
            </w:pPr>
            <w:r w:rsidRPr="0088307E">
              <w:rPr>
                <w:rFonts w:cs="Times New Roman"/>
                <w:szCs w:val="24"/>
              </w:rPr>
              <w:t>1 068 tis. Kč</w:t>
            </w:r>
          </w:p>
        </w:tc>
      </w:tr>
      <w:tr w:rsidR="00E8518E" w:rsidRPr="00E8518E" w14:paraId="5A5267DB" w14:textId="77777777" w:rsidTr="00316A6C">
        <w:tc>
          <w:tcPr>
            <w:tcW w:w="7088" w:type="dxa"/>
          </w:tcPr>
          <w:p w14:paraId="52BC1517" w14:textId="77777777" w:rsidR="00402666" w:rsidRPr="0088307E" w:rsidRDefault="00402666" w:rsidP="00402666">
            <w:pPr>
              <w:numPr>
                <w:ilvl w:val="0"/>
                <w:numId w:val="4"/>
              </w:numPr>
              <w:tabs>
                <w:tab w:val="clear" w:pos="644"/>
                <w:tab w:val="num" w:pos="244"/>
                <w:tab w:val="num" w:pos="437"/>
              </w:tabs>
              <w:spacing w:before="81" w:line="240" w:lineRule="auto"/>
              <w:ind w:left="439" w:hanging="439"/>
              <w:rPr>
                <w:rFonts w:cs="Times New Roman"/>
                <w:b/>
                <w:szCs w:val="24"/>
              </w:rPr>
            </w:pPr>
            <w:r w:rsidRPr="0088307E">
              <w:rPr>
                <w:rFonts w:cs="Times New Roman"/>
                <w:b/>
                <w:szCs w:val="24"/>
              </w:rPr>
              <w:t>Neinvestiční přijaté transfery</w:t>
            </w:r>
          </w:p>
        </w:tc>
        <w:tc>
          <w:tcPr>
            <w:tcW w:w="2162" w:type="dxa"/>
          </w:tcPr>
          <w:p w14:paraId="1482004E" w14:textId="1B9CA3DC" w:rsidR="00402666" w:rsidRPr="0088307E" w:rsidRDefault="00402666">
            <w:pPr>
              <w:spacing w:before="81"/>
              <w:jc w:val="right"/>
              <w:rPr>
                <w:rFonts w:cs="Times New Roman"/>
                <w:b/>
                <w:szCs w:val="24"/>
              </w:rPr>
            </w:pPr>
            <w:r w:rsidRPr="0088307E">
              <w:rPr>
                <w:rFonts w:cs="Times New Roman"/>
                <w:b/>
                <w:szCs w:val="24"/>
              </w:rPr>
              <w:t xml:space="preserve"> </w:t>
            </w:r>
            <w:r w:rsidR="000C5DEE">
              <w:rPr>
                <w:rFonts w:cs="Times New Roman"/>
                <w:b/>
                <w:szCs w:val="24"/>
              </w:rPr>
              <w:t>640 034</w:t>
            </w:r>
            <w:r w:rsidRPr="0088307E">
              <w:rPr>
                <w:rFonts w:cs="Times New Roman"/>
                <w:b/>
                <w:szCs w:val="24"/>
              </w:rPr>
              <w:t xml:space="preserve"> tis. Kč</w:t>
            </w:r>
          </w:p>
        </w:tc>
      </w:tr>
      <w:tr w:rsidR="00E8518E" w:rsidRPr="00E8518E" w14:paraId="2E4C999D" w14:textId="77777777" w:rsidTr="00316A6C">
        <w:tc>
          <w:tcPr>
            <w:tcW w:w="7088" w:type="dxa"/>
          </w:tcPr>
          <w:p w14:paraId="26672D41" w14:textId="77777777" w:rsidR="00402666" w:rsidRPr="0088307E" w:rsidRDefault="00402666" w:rsidP="00316A6C">
            <w:pPr>
              <w:ind w:firstLine="242"/>
              <w:rPr>
                <w:rFonts w:cs="Times New Roman"/>
                <w:szCs w:val="24"/>
              </w:rPr>
            </w:pPr>
            <w:r w:rsidRPr="0088307E">
              <w:rPr>
                <w:rFonts w:cs="Times New Roman"/>
                <w:szCs w:val="24"/>
              </w:rPr>
              <w:t>v tom:</w:t>
            </w:r>
          </w:p>
        </w:tc>
        <w:tc>
          <w:tcPr>
            <w:tcW w:w="2162" w:type="dxa"/>
          </w:tcPr>
          <w:p w14:paraId="5F3FD148" w14:textId="77777777" w:rsidR="00402666" w:rsidRPr="00E8518E" w:rsidRDefault="00402666" w:rsidP="00316A6C">
            <w:pPr>
              <w:jc w:val="right"/>
              <w:rPr>
                <w:rFonts w:cs="Times New Roman"/>
                <w:color w:val="FF0000"/>
                <w:szCs w:val="24"/>
              </w:rPr>
            </w:pPr>
          </w:p>
        </w:tc>
      </w:tr>
      <w:tr w:rsidR="00E8518E" w:rsidRPr="00E8518E" w14:paraId="00684FE7" w14:textId="77777777" w:rsidTr="00316A6C">
        <w:tc>
          <w:tcPr>
            <w:tcW w:w="7088" w:type="dxa"/>
          </w:tcPr>
          <w:p w14:paraId="4BADE970" w14:textId="77777777" w:rsidR="00402666" w:rsidRPr="0088307E" w:rsidRDefault="00402666" w:rsidP="00402666">
            <w:pPr>
              <w:numPr>
                <w:ilvl w:val="0"/>
                <w:numId w:val="5"/>
              </w:numPr>
              <w:tabs>
                <w:tab w:val="clear" w:pos="720"/>
                <w:tab w:val="num" w:pos="367"/>
              </w:tabs>
              <w:spacing w:line="240" w:lineRule="auto"/>
              <w:ind w:left="485" w:hanging="242"/>
              <w:rPr>
                <w:rFonts w:cs="Times New Roman"/>
                <w:szCs w:val="24"/>
              </w:rPr>
            </w:pPr>
            <w:r w:rsidRPr="0088307E">
              <w:rPr>
                <w:rFonts w:cs="Times New Roman"/>
                <w:szCs w:val="24"/>
              </w:rPr>
              <w:t>Neinvestiční převody z Národního fondu</w:t>
            </w:r>
          </w:p>
        </w:tc>
        <w:tc>
          <w:tcPr>
            <w:tcW w:w="2162" w:type="dxa"/>
          </w:tcPr>
          <w:p w14:paraId="69E13983" w14:textId="30CFDB95" w:rsidR="00402666" w:rsidRPr="00E8518E" w:rsidRDefault="000C5DEE">
            <w:pPr>
              <w:jc w:val="right"/>
              <w:rPr>
                <w:rFonts w:cs="Times New Roman"/>
                <w:color w:val="FF0000"/>
                <w:szCs w:val="24"/>
              </w:rPr>
            </w:pPr>
            <w:r>
              <w:rPr>
                <w:rFonts w:cs="Times New Roman"/>
                <w:szCs w:val="24"/>
              </w:rPr>
              <w:t xml:space="preserve">86 458 </w:t>
            </w:r>
            <w:r w:rsidR="00402666" w:rsidRPr="0088307E">
              <w:rPr>
                <w:rFonts w:cs="Times New Roman"/>
                <w:szCs w:val="24"/>
              </w:rPr>
              <w:t>tis. Kč</w:t>
            </w:r>
          </w:p>
        </w:tc>
      </w:tr>
      <w:tr w:rsidR="00E8518E" w:rsidRPr="00E8518E" w14:paraId="39E9C14C" w14:textId="77777777" w:rsidTr="00316A6C">
        <w:tc>
          <w:tcPr>
            <w:tcW w:w="7088" w:type="dxa"/>
          </w:tcPr>
          <w:p w14:paraId="3CCE0751" w14:textId="77777777" w:rsidR="00402666" w:rsidRPr="0088307E" w:rsidRDefault="00402666" w:rsidP="00402666">
            <w:pPr>
              <w:numPr>
                <w:ilvl w:val="0"/>
                <w:numId w:val="5"/>
              </w:numPr>
              <w:tabs>
                <w:tab w:val="clear" w:pos="720"/>
                <w:tab w:val="num" w:pos="367"/>
              </w:tabs>
              <w:spacing w:line="240" w:lineRule="auto"/>
              <w:ind w:left="485" w:hanging="242"/>
              <w:rPr>
                <w:rFonts w:cs="Times New Roman"/>
                <w:szCs w:val="24"/>
              </w:rPr>
            </w:pPr>
            <w:r w:rsidRPr="0088307E">
              <w:rPr>
                <w:rFonts w:cs="Times New Roman"/>
                <w:szCs w:val="24"/>
              </w:rPr>
              <w:t>Neinvestiční transfery přijaté od Evropské unie</w:t>
            </w:r>
          </w:p>
        </w:tc>
        <w:tc>
          <w:tcPr>
            <w:tcW w:w="2162" w:type="dxa"/>
          </w:tcPr>
          <w:p w14:paraId="46FB8352" w14:textId="3127B0C1" w:rsidR="00402666" w:rsidRPr="00E8518E" w:rsidRDefault="000C5DEE">
            <w:pPr>
              <w:jc w:val="right"/>
              <w:rPr>
                <w:rFonts w:cs="Times New Roman"/>
                <w:color w:val="FF0000"/>
                <w:szCs w:val="24"/>
              </w:rPr>
            </w:pPr>
            <w:r>
              <w:rPr>
                <w:rFonts w:cs="Times New Roman"/>
                <w:szCs w:val="24"/>
              </w:rPr>
              <w:t>553 576</w:t>
            </w:r>
            <w:r w:rsidR="00402666" w:rsidRPr="0088307E">
              <w:rPr>
                <w:rFonts w:cs="Times New Roman"/>
                <w:szCs w:val="24"/>
              </w:rPr>
              <w:t xml:space="preserve"> tis. Kč</w:t>
            </w:r>
          </w:p>
        </w:tc>
      </w:tr>
      <w:tr w:rsidR="00E8518E" w:rsidRPr="00E8518E" w14:paraId="15C68ACB" w14:textId="77777777" w:rsidTr="00316A6C">
        <w:tc>
          <w:tcPr>
            <w:tcW w:w="7088" w:type="dxa"/>
          </w:tcPr>
          <w:p w14:paraId="57A958A6" w14:textId="77777777" w:rsidR="00402666" w:rsidRPr="0088307E" w:rsidRDefault="00402666" w:rsidP="00402666">
            <w:pPr>
              <w:numPr>
                <w:ilvl w:val="1"/>
                <w:numId w:val="5"/>
              </w:numPr>
              <w:tabs>
                <w:tab w:val="clear" w:pos="1440"/>
                <w:tab w:val="num" w:pos="244"/>
              </w:tabs>
              <w:spacing w:before="81" w:line="240" w:lineRule="auto"/>
              <w:ind w:left="979" w:hanging="979"/>
              <w:rPr>
                <w:rFonts w:cs="Times New Roman"/>
                <w:b/>
                <w:szCs w:val="24"/>
              </w:rPr>
            </w:pPr>
            <w:r w:rsidRPr="0088307E">
              <w:rPr>
                <w:rFonts w:cs="Times New Roman"/>
                <w:b/>
                <w:szCs w:val="24"/>
              </w:rPr>
              <w:t>Investiční přijaté transfery</w:t>
            </w:r>
          </w:p>
        </w:tc>
        <w:tc>
          <w:tcPr>
            <w:tcW w:w="2162" w:type="dxa"/>
          </w:tcPr>
          <w:p w14:paraId="16BAC28E" w14:textId="5AB4BCD8" w:rsidR="00402666" w:rsidRPr="0088307E" w:rsidRDefault="00402666">
            <w:pPr>
              <w:spacing w:before="81"/>
              <w:jc w:val="right"/>
              <w:rPr>
                <w:rFonts w:cs="Times New Roman"/>
                <w:b/>
                <w:szCs w:val="24"/>
              </w:rPr>
            </w:pPr>
            <w:r w:rsidRPr="0088307E">
              <w:rPr>
                <w:rFonts w:cs="Times New Roman"/>
                <w:b/>
                <w:szCs w:val="24"/>
              </w:rPr>
              <w:t xml:space="preserve">  </w:t>
            </w:r>
            <w:r w:rsidR="00071A4F" w:rsidRPr="0088307E">
              <w:rPr>
                <w:rFonts w:cs="Times New Roman"/>
                <w:b/>
                <w:szCs w:val="24"/>
              </w:rPr>
              <w:t>28 146 730</w:t>
            </w:r>
            <w:r w:rsidRPr="0088307E">
              <w:rPr>
                <w:rFonts w:cs="Times New Roman"/>
                <w:b/>
                <w:szCs w:val="24"/>
              </w:rPr>
              <w:t xml:space="preserve"> tis. Kč</w:t>
            </w:r>
          </w:p>
        </w:tc>
      </w:tr>
      <w:tr w:rsidR="00E8518E" w:rsidRPr="00E8518E" w14:paraId="4724DFCA" w14:textId="77777777" w:rsidTr="00316A6C">
        <w:tc>
          <w:tcPr>
            <w:tcW w:w="7088" w:type="dxa"/>
          </w:tcPr>
          <w:p w14:paraId="7CC752FA" w14:textId="77777777" w:rsidR="00402666" w:rsidRPr="0088307E" w:rsidRDefault="00402666" w:rsidP="00316A6C">
            <w:pPr>
              <w:ind w:left="242"/>
              <w:rPr>
                <w:rFonts w:cs="Times New Roman"/>
                <w:szCs w:val="24"/>
              </w:rPr>
            </w:pPr>
            <w:r w:rsidRPr="0088307E">
              <w:rPr>
                <w:rFonts w:cs="Times New Roman"/>
                <w:szCs w:val="24"/>
              </w:rPr>
              <w:t>v tom:</w:t>
            </w:r>
          </w:p>
        </w:tc>
        <w:tc>
          <w:tcPr>
            <w:tcW w:w="2162" w:type="dxa"/>
          </w:tcPr>
          <w:p w14:paraId="05C73ABC" w14:textId="77777777" w:rsidR="00402666" w:rsidRPr="0088307E" w:rsidRDefault="00402666" w:rsidP="00316A6C">
            <w:pPr>
              <w:jc w:val="right"/>
              <w:rPr>
                <w:rFonts w:cs="Times New Roman"/>
                <w:szCs w:val="24"/>
              </w:rPr>
            </w:pPr>
          </w:p>
        </w:tc>
      </w:tr>
      <w:tr w:rsidR="00E8518E" w:rsidRPr="00E8518E" w14:paraId="0D6F73E2" w14:textId="77777777" w:rsidTr="00316A6C">
        <w:tc>
          <w:tcPr>
            <w:tcW w:w="7088" w:type="dxa"/>
          </w:tcPr>
          <w:p w14:paraId="6CAA29A3" w14:textId="77777777" w:rsidR="00402666" w:rsidRPr="0088307E" w:rsidRDefault="00402666" w:rsidP="00402666">
            <w:pPr>
              <w:numPr>
                <w:ilvl w:val="0"/>
                <w:numId w:val="5"/>
              </w:numPr>
              <w:tabs>
                <w:tab w:val="clear" w:pos="720"/>
                <w:tab w:val="num" w:pos="367"/>
              </w:tabs>
              <w:spacing w:line="240" w:lineRule="auto"/>
              <w:ind w:left="485" w:hanging="242"/>
              <w:rPr>
                <w:rFonts w:cs="Times New Roman"/>
                <w:szCs w:val="24"/>
              </w:rPr>
            </w:pPr>
            <w:r w:rsidRPr="0088307E">
              <w:rPr>
                <w:rFonts w:cs="Times New Roman"/>
                <w:szCs w:val="24"/>
              </w:rPr>
              <w:t xml:space="preserve">Investiční převody z Národního fondu </w:t>
            </w:r>
          </w:p>
        </w:tc>
        <w:tc>
          <w:tcPr>
            <w:tcW w:w="2162" w:type="dxa"/>
          </w:tcPr>
          <w:p w14:paraId="570C4993" w14:textId="62BD976A" w:rsidR="00402666" w:rsidRPr="0088307E" w:rsidRDefault="00071A4F">
            <w:pPr>
              <w:jc w:val="right"/>
              <w:rPr>
                <w:rFonts w:cs="Times New Roman"/>
                <w:szCs w:val="24"/>
              </w:rPr>
            </w:pPr>
            <w:r w:rsidRPr="0088307E">
              <w:rPr>
                <w:rFonts w:cs="Times New Roman"/>
                <w:szCs w:val="24"/>
              </w:rPr>
              <w:t>17 545 846</w:t>
            </w:r>
            <w:r w:rsidR="00402666" w:rsidRPr="0088307E">
              <w:rPr>
                <w:rFonts w:cs="Times New Roman"/>
                <w:szCs w:val="24"/>
              </w:rPr>
              <w:t xml:space="preserve"> tis. Kč</w:t>
            </w:r>
          </w:p>
        </w:tc>
      </w:tr>
      <w:tr w:rsidR="00E8518E" w:rsidRPr="00E8518E" w14:paraId="2695AFB7" w14:textId="77777777" w:rsidTr="00316A6C">
        <w:tc>
          <w:tcPr>
            <w:tcW w:w="7088" w:type="dxa"/>
          </w:tcPr>
          <w:p w14:paraId="07BD52A9" w14:textId="77777777" w:rsidR="00402666" w:rsidRPr="00E8518E" w:rsidRDefault="00402666" w:rsidP="00402666">
            <w:pPr>
              <w:numPr>
                <w:ilvl w:val="0"/>
                <w:numId w:val="5"/>
              </w:numPr>
              <w:tabs>
                <w:tab w:val="clear" w:pos="720"/>
                <w:tab w:val="num" w:pos="367"/>
              </w:tabs>
              <w:spacing w:line="240" w:lineRule="auto"/>
              <w:ind w:left="485" w:hanging="242"/>
              <w:rPr>
                <w:rFonts w:cs="Times New Roman"/>
                <w:color w:val="FF0000"/>
                <w:szCs w:val="24"/>
              </w:rPr>
            </w:pPr>
            <w:r w:rsidRPr="0088307E">
              <w:rPr>
                <w:rFonts w:cs="Times New Roman"/>
                <w:szCs w:val="24"/>
              </w:rPr>
              <w:t>Investiční transfery přijaté od Evropské unie</w:t>
            </w:r>
          </w:p>
        </w:tc>
        <w:tc>
          <w:tcPr>
            <w:tcW w:w="2162" w:type="dxa"/>
          </w:tcPr>
          <w:p w14:paraId="0518E1A8" w14:textId="1E669B65" w:rsidR="00402666" w:rsidRPr="00E8518E" w:rsidRDefault="00402666" w:rsidP="00316A6C">
            <w:pPr>
              <w:jc w:val="right"/>
              <w:rPr>
                <w:rFonts w:cs="Times New Roman"/>
                <w:color w:val="FF0000"/>
                <w:szCs w:val="24"/>
              </w:rPr>
            </w:pPr>
            <w:r w:rsidRPr="0088307E">
              <w:rPr>
                <w:rFonts w:cs="Times New Roman"/>
                <w:szCs w:val="24"/>
              </w:rPr>
              <w:t>1</w:t>
            </w:r>
            <w:r w:rsidR="00071A4F" w:rsidRPr="0088307E">
              <w:rPr>
                <w:rFonts w:cs="Times New Roman"/>
                <w:szCs w:val="24"/>
              </w:rPr>
              <w:t>0 600 884</w:t>
            </w:r>
            <w:r w:rsidRPr="0088307E">
              <w:rPr>
                <w:rFonts w:cs="Times New Roman"/>
                <w:szCs w:val="24"/>
              </w:rPr>
              <w:t xml:space="preserve"> tis. Kč</w:t>
            </w:r>
          </w:p>
        </w:tc>
      </w:tr>
    </w:tbl>
    <w:p w14:paraId="5782D679" w14:textId="77777777" w:rsidR="00402666" w:rsidRPr="0088307E" w:rsidRDefault="00402666" w:rsidP="00402666">
      <w:pPr>
        <w:pStyle w:val="Styl1"/>
      </w:pPr>
      <w:r w:rsidRPr="0088307E">
        <w:t>Navržený souhrnný ukazatel „Příjmy celkem“ tvoří daňové a nedaňové příjmy, neinvestiční a investiční přijaté transfery dále uvedených organizačních složek státu, a to:</w:t>
      </w:r>
    </w:p>
    <w:p w14:paraId="516AB560" w14:textId="1B0FE672" w:rsidR="00402666" w:rsidRPr="0088307E" w:rsidRDefault="00841077" w:rsidP="00402666">
      <w:pPr>
        <w:spacing w:before="240" w:after="120"/>
        <w:rPr>
          <w:rFonts w:cs="Times New Roman"/>
          <w:szCs w:val="24"/>
        </w:rPr>
      </w:pPr>
      <w:r>
        <w:rPr>
          <w:rFonts w:cs="Times New Roman"/>
          <w:b/>
          <w:szCs w:val="24"/>
        </w:rPr>
        <w:t>Ú</w:t>
      </w:r>
      <w:r w:rsidR="00402666" w:rsidRPr="0088307E">
        <w:rPr>
          <w:rFonts w:cs="Times New Roman"/>
          <w:b/>
          <w:szCs w:val="24"/>
        </w:rPr>
        <w:t>střední orgán MD</w:t>
      </w:r>
      <w:r w:rsidR="00402666" w:rsidRPr="0088307E">
        <w:rPr>
          <w:rFonts w:cs="Times New Roman"/>
          <w:szCs w:val="24"/>
        </w:rPr>
        <w:t xml:space="preserve"> - příjmy </w:t>
      </w:r>
      <w:r w:rsidR="00402666" w:rsidRPr="0088307E">
        <w:rPr>
          <w:rFonts w:cs="Times New Roman"/>
          <w:b/>
          <w:bCs/>
          <w:szCs w:val="24"/>
        </w:rPr>
        <w:t xml:space="preserve">celkem </w:t>
      </w:r>
      <w:r w:rsidR="00EE2D61" w:rsidRPr="0088307E">
        <w:rPr>
          <w:rFonts w:cs="Times New Roman"/>
          <w:b/>
          <w:bCs/>
          <w:szCs w:val="24"/>
        </w:rPr>
        <w:t>28 977 621</w:t>
      </w:r>
      <w:r w:rsidR="00402666" w:rsidRPr="0088307E">
        <w:rPr>
          <w:rFonts w:cs="Times New Roman"/>
          <w:b/>
          <w:bCs/>
          <w:szCs w:val="24"/>
        </w:rPr>
        <w:t xml:space="preserve"> tis. Kč,</w:t>
      </w:r>
      <w:r w:rsidR="00402666" w:rsidRPr="0088307E">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270"/>
        <w:gridCol w:w="1980"/>
      </w:tblGrid>
      <w:tr w:rsidR="00E8518E" w:rsidRPr="00E8518E" w14:paraId="3EF7C09F" w14:textId="77777777" w:rsidTr="00316A6C">
        <w:tc>
          <w:tcPr>
            <w:tcW w:w="7270" w:type="dxa"/>
          </w:tcPr>
          <w:p w14:paraId="05BD006A" w14:textId="77777777" w:rsidR="00402666" w:rsidRPr="0088307E" w:rsidRDefault="00402666" w:rsidP="00316A6C">
            <w:pPr>
              <w:rPr>
                <w:rFonts w:cs="Times New Roman"/>
                <w:szCs w:val="24"/>
              </w:rPr>
            </w:pPr>
            <w:r w:rsidRPr="0088307E">
              <w:rPr>
                <w:rFonts w:cs="Times New Roman"/>
                <w:szCs w:val="24"/>
              </w:rPr>
              <w:t xml:space="preserve">      - Správní poplatky</w:t>
            </w:r>
          </w:p>
        </w:tc>
        <w:tc>
          <w:tcPr>
            <w:tcW w:w="1980" w:type="dxa"/>
          </w:tcPr>
          <w:p w14:paraId="3EC5A27F" w14:textId="5D5F6CD9" w:rsidR="00402666" w:rsidRPr="0088307E" w:rsidRDefault="00402666" w:rsidP="00316A6C">
            <w:pPr>
              <w:pStyle w:val="xl54"/>
              <w:pBdr>
                <w:left w:val="none" w:sz="0" w:space="0" w:color="auto"/>
                <w:right w:val="none" w:sz="0" w:space="0" w:color="auto"/>
              </w:pBdr>
              <w:spacing w:before="0" w:beforeAutospacing="0" w:after="0" w:afterAutospacing="0"/>
            </w:pPr>
            <w:r w:rsidRPr="0088307E">
              <w:t>16</w:t>
            </w:r>
            <w:r w:rsidR="00EE2D61" w:rsidRPr="0088307E">
              <w:t>2</w:t>
            </w:r>
            <w:r w:rsidRPr="0088307E">
              <w:t xml:space="preserve"> 300 tis. Kč</w:t>
            </w:r>
          </w:p>
        </w:tc>
      </w:tr>
      <w:tr w:rsidR="00E8518E" w:rsidRPr="00E8518E" w14:paraId="0F68A40F" w14:textId="77777777" w:rsidTr="00316A6C">
        <w:tc>
          <w:tcPr>
            <w:tcW w:w="7270" w:type="dxa"/>
          </w:tcPr>
          <w:p w14:paraId="41A56F79" w14:textId="77777777" w:rsidR="00402666" w:rsidRPr="0088307E" w:rsidRDefault="00402666" w:rsidP="00EA5C45">
            <w:pPr>
              <w:rPr>
                <w:rFonts w:cs="Times New Roman"/>
                <w:szCs w:val="24"/>
              </w:rPr>
            </w:pPr>
            <w:r w:rsidRPr="0088307E">
              <w:rPr>
                <w:rFonts w:cs="Times New Roman"/>
                <w:szCs w:val="24"/>
              </w:rPr>
              <w:t xml:space="preserve">      - Příjmy z pronájmu majetku</w:t>
            </w:r>
          </w:p>
        </w:tc>
        <w:tc>
          <w:tcPr>
            <w:tcW w:w="1980" w:type="dxa"/>
          </w:tcPr>
          <w:p w14:paraId="02B25B63" w14:textId="30DFA34A" w:rsidR="00402666" w:rsidRPr="0088307E" w:rsidRDefault="00EE2D61">
            <w:pPr>
              <w:jc w:val="right"/>
              <w:rPr>
                <w:rFonts w:cs="Times New Roman"/>
                <w:szCs w:val="24"/>
              </w:rPr>
            </w:pPr>
            <w:r w:rsidRPr="0088307E">
              <w:rPr>
                <w:rFonts w:cs="Times New Roman"/>
                <w:szCs w:val="24"/>
              </w:rPr>
              <w:t>28 217</w:t>
            </w:r>
            <w:r w:rsidR="00402666" w:rsidRPr="0088307E">
              <w:rPr>
                <w:rFonts w:cs="Times New Roman"/>
                <w:szCs w:val="24"/>
              </w:rPr>
              <w:t xml:space="preserve"> tis. Kč</w:t>
            </w:r>
          </w:p>
        </w:tc>
      </w:tr>
      <w:tr w:rsidR="00E8518E" w:rsidRPr="00E8518E" w14:paraId="4E1A8588" w14:textId="77777777" w:rsidTr="00316A6C">
        <w:tc>
          <w:tcPr>
            <w:tcW w:w="7270" w:type="dxa"/>
          </w:tcPr>
          <w:p w14:paraId="3C6A84AE" w14:textId="77777777" w:rsidR="00402666" w:rsidRPr="0088307E" w:rsidRDefault="00402666" w:rsidP="00EA5C45">
            <w:pPr>
              <w:rPr>
                <w:rFonts w:cs="Times New Roman"/>
                <w:szCs w:val="24"/>
              </w:rPr>
            </w:pPr>
            <w:r w:rsidRPr="0088307E">
              <w:rPr>
                <w:rFonts w:cs="Times New Roman"/>
                <w:szCs w:val="24"/>
              </w:rPr>
              <w:t xml:space="preserve">      - Výnosy z finančního majetku</w:t>
            </w:r>
          </w:p>
        </w:tc>
        <w:tc>
          <w:tcPr>
            <w:tcW w:w="1980" w:type="dxa"/>
          </w:tcPr>
          <w:p w14:paraId="5D70DEA7" w14:textId="77777777" w:rsidR="00402666" w:rsidRPr="0088307E" w:rsidRDefault="00402666" w:rsidP="00316A6C">
            <w:pPr>
              <w:jc w:val="right"/>
              <w:rPr>
                <w:rFonts w:cs="Times New Roman"/>
                <w:szCs w:val="24"/>
              </w:rPr>
            </w:pPr>
            <w:r w:rsidRPr="0088307E">
              <w:rPr>
                <w:rFonts w:cs="Times New Roman"/>
                <w:szCs w:val="24"/>
              </w:rPr>
              <w:t>15 tis. Kč</w:t>
            </w:r>
          </w:p>
        </w:tc>
      </w:tr>
      <w:tr w:rsidR="00E8518E" w:rsidRPr="00E8518E" w14:paraId="600D5980" w14:textId="77777777" w:rsidTr="00316A6C">
        <w:tc>
          <w:tcPr>
            <w:tcW w:w="7270" w:type="dxa"/>
          </w:tcPr>
          <w:p w14:paraId="6A819C94" w14:textId="4C37CE18" w:rsidR="00402666" w:rsidRPr="0088307E" w:rsidRDefault="00402666" w:rsidP="000B69E1">
            <w:r w:rsidRPr="0088307E">
              <w:t xml:space="preserve"> </w:t>
            </w:r>
            <w:r w:rsidR="00EA5C45" w:rsidRPr="0088307E">
              <w:rPr>
                <w:rFonts w:cs="Times New Roman"/>
                <w:szCs w:val="24"/>
              </w:rPr>
              <w:t xml:space="preserve">     -</w:t>
            </w:r>
            <w:r w:rsidR="00EA5C45">
              <w:rPr>
                <w:rFonts w:cs="Times New Roman"/>
                <w:szCs w:val="24"/>
              </w:rPr>
              <w:t xml:space="preserve"> </w:t>
            </w:r>
            <w:r w:rsidRPr="0088307E">
              <w:t xml:space="preserve">Přijaté </w:t>
            </w:r>
            <w:r w:rsidRPr="00EA5C45">
              <w:rPr>
                <w:rFonts w:cs="Times New Roman"/>
                <w:szCs w:val="24"/>
              </w:rPr>
              <w:t>sankční</w:t>
            </w:r>
            <w:r w:rsidRPr="0088307E">
              <w:t xml:space="preserve"> platby</w:t>
            </w:r>
          </w:p>
        </w:tc>
        <w:tc>
          <w:tcPr>
            <w:tcW w:w="1980" w:type="dxa"/>
          </w:tcPr>
          <w:p w14:paraId="0960C25F" w14:textId="77777777" w:rsidR="00402666" w:rsidRPr="0088307E" w:rsidRDefault="00402666" w:rsidP="00316A6C">
            <w:pPr>
              <w:jc w:val="right"/>
              <w:rPr>
                <w:rFonts w:cs="Times New Roman"/>
                <w:szCs w:val="24"/>
              </w:rPr>
            </w:pPr>
            <w:r w:rsidRPr="0088307E">
              <w:rPr>
                <w:rFonts w:cs="Times New Roman"/>
                <w:szCs w:val="24"/>
              </w:rPr>
              <w:t>326 tis. Kč</w:t>
            </w:r>
          </w:p>
        </w:tc>
      </w:tr>
      <w:tr w:rsidR="00E8518E" w:rsidRPr="00E8518E" w14:paraId="13300903" w14:textId="77777777" w:rsidTr="00316A6C">
        <w:tc>
          <w:tcPr>
            <w:tcW w:w="7270" w:type="dxa"/>
          </w:tcPr>
          <w:p w14:paraId="7B2F7D08" w14:textId="0499B83C" w:rsidR="00402666" w:rsidRPr="0088307E" w:rsidRDefault="00EA5C45" w:rsidP="000B69E1">
            <w:r w:rsidRPr="0088307E">
              <w:t xml:space="preserve"> </w:t>
            </w:r>
            <w:r w:rsidRPr="0088307E">
              <w:rPr>
                <w:rFonts w:cs="Times New Roman"/>
                <w:szCs w:val="24"/>
              </w:rPr>
              <w:t xml:space="preserve">     -</w:t>
            </w:r>
            <w:r>
              <w:rPr>
                <w:rFonts w:cs="Times New Roman"/>
                <w:szCs w:val="24"/>
              </w:rPr>
              <w:t xml:space="preserve"> </w:t>
            </w:r>
            <w:r w:rsidR="00402666" w:rsidRPr="00EA5C45">
              <w:rPr>
                <w:rFonts w:cs="Times New Roman"/>
                <w:szCs w:val="24"/>
              </w:rPr>
              <w:t>Neinvestiční</w:t>
            </w:r>
            <w:r w:rsidR="00402666" w:rsidRPr="0088307E">
              <w:t xml:space="preserve"> převody z Národního fondu</w:t>
            </w:r>
          </w:p>
        </w:tc>
        <w:tc>
          <w:tcPr>
            <w:tcW w:w="1980" w:type="dxa"/>
          </w:tcPr>
          <w:p w14:paraId="67DC8D92" w14:textId="0E881B49" w:rsidR="00402666" w:rsidRPr="0088307E" w:rsidRDefault="00EE2D61">
            <w:pPr>
              <w:jc w:val="right"/>
              <w:rPr>
                <w:rFonts w:cs="Times New Roman"/>
                <w:szCs w:val="24"/>
              </w:rPr>
            </w:pPr>
            <w:r w:rsidRPr="0088307E">
              <w:rPr>
                <w:rFonts w:cs="Times New Roman"/>
                <w:szCs w:val="24"/>
              </w:rPr>
              <w:t>86 458</w:t>
            </w:r>
            <w:r w:rsidR="00402666" w:rsidRPr="0088307E">
              <w:rPr>
                <w:rFonts w:cs="Times New Roman"/>
                <w:szCs w:val="24"/>
              </w:rPr>
              <w:t xml:space="preserve"> tis. Kč</w:t>
            </w:r>
          </w:p>
        </w:tc>
      </w:tr>
      <w:tr w:rsidR="00E8518E" w:rsidRPr="00E8518E" w14:paraId="5D28202C" w14:textId="77777777" w:rsidTr="00316A6C">
        <w:tc>
          <w:tcPr>
            <w:tcW w:w="7270" w:type="dxa"/>
          </w:tcPr>
          <w:p w14:paraId="34D66BF1" w14:textId="1DCAA1B8" w:rsidR="00402666" w:rsidRPr="0088307E" w:rsidRDefault="00EA5C45" w:rsidP="000B69E1">
            <w:pPr>
              <w:rPr>
                <w:rFonts w:cs="Times New Roman"/>
                <w:szCs w:val="24"/>
              </w:rPr>
            </w:pPr>
            <w:r w:rsidRPr="0088307E">
              <w:t xml:space="preserve"> </w:t>
            </w:r>
            <w:r w:rsidRPr="0088307E">
              <w:rPr>
                <w:rFonts w:cs="Times New Roman"/>
                <w:szCs w:val="24"/>
              </w:rPr>
              <w:t xml:space="preserve">     -</w:t>
            </w:r>
            <w:r>
              <w:rPr>
                <w:rFonts w:cs="Times New Roman"/>
                <w:szCs w:val="24"/>
              </w:rPr>
              <w:t xml:space="preserve"> </w:t>
            </w:r>
            <w:r w:rsidR="00402666" w:rsidRPr="0088307E">
              <w:rPr>
                <w:rFonts w:cs="Times New Roman"/>
                <w:szCs w:val="24"/>
              </w:rPr>
              <w:t>Neinvestiční transfery přijaté od Evropské unie</w:t>
            </w:r>
          </w:p>
        </w:tc>
        <w:tc>
          <w:tcPr>
            <w:tcW w:w="1980" w:type="dxa"/>
          </w:tcPr>
          <w:p w14:paraId="20F7CAB4" w14:textId="168B8B5A" w:rsidR="00402666" w:rsidRPr="0088307E" w:rsidRDefault="00EE2D61">
            <w:pPr>
              <w:jc w:val="right"/>
              <w:rPr>
                <w:rFonts w:cs="Times New Roman"/>
                <w:szCs w:val="24"/>
              </w:rPr>
            </w:pPr>
            <w:r w:rsidRPr="0088307E">
              <w:rPr>
                <w:rFonts w:cs="Times New Roman"/>
                <w:szCs w:val="24"/>
              </w:rPr>
              <w:t>553 576</w:t>
            </w:r>
            <w:r w:rsidR="00402666" w:rsidRPr="0088307E">
              <w:rPr>
                <w:rFonts w:cs="Times New Roman"/>
                <w:szCs w:val="24"/>
              </w:rPr>
              <w:t xml:space="preserve"> tis. Kč</w:t>
            </w:r>
          </w:p>
        </w:tc>
      </w:tr>
      <w:tr w:rsidR="00E8518E" w:rsidRPr="00E8518E" w14:paraId="166954C7" w14:textId="77777777" w:rsidTr="00316A6C">
        <w:tc>
          <w:tcPr>
            <w:tcW w:w="7270" w:type="dxa"/>
          </w:tcPr>
          <w:p w14:paraId="67672E72" w14:textId="451AAF85" w:rsidR="00402666" w:rsidRPr="0088307E" w:rsidRDefault="00EA5C45" w:rsidP="000B69E1">
            <w:pPr>
              <w:rPr>
                <w:rFonts w:cs="Times New Roman"/>
                <w:szCs w:val="24"/>
              </w:rPr>
            </w:pPr>
            <w:r w:rsidRPr="0088307E">
              <w:t xml:space="preserve"> </w:t>
            </w:r>
            <w:r w:rsidRPr="0088307E">
              <w:rPr>
                <w:rFonts w:cs="Times New Roman"/>
                <w:szCs w:val="24"/>
              </w:rPr>
              <w:t xml:space="preserve">     -</w:t>
            </w:r>
            <w:r>
              <w:rPr>
                <w:rFonts w:cs="Times New Roman"/>
                <w:szCs w:val="24"/>
              </w:rPr>
              <w:t xml:space="preserve"> </w:t>
            </w:r>
            <w:r w:rsidR="00402666" w:rsidRPr="0088307E">
              <w:rPr>
                <w:rFonts w:cs="Times New Roman"/>
                <w:szCs w:val="24"/>
              </w:rPr>
              <w:t xml:space="preserve">Investiční převody z Národního fondu </w:t>
            </w:r>
          </w:p>
        </w:tc>
        <w:tc>
          <w:tcPr>
            <w:tcW w:w="1980" w:type="dxa"/>
          </w:tcPr>
          <w:p w14:paraId="7C6DABEB" w14:textId="026DA848" w:rsidR="00402666" w:rsidRPr="0088307E" w:rsidRDefault="00EE2D61">
            <w:pPr>
              <w:jc w:val="right"/>
              <w:rPr>
                <w:rFonts w:cs="Times New Roman"/>
                <w:szCs w:val="24"/>
              </w:rPr>
            </w:pPr>
            <w:r w:rsidRPr="0088307E">
              <w:rPr>
                <w:rFonts w:cs="Times New Roman"/>
                <w:szCs w:val="24"/>
              </w:rPr>
              <w:t>17 545 846</w:t>
            </w:r>
            <w:r w:rsidR="00402666" w:rsidRPr="0088307E">
              <w:rPr>
                <w:rFonts w:cs="Times New Roman"/>
                <w:szCs w:val="24"/>
              </w:rPr>
              <w:t xml:space="preserve"> tis. Kč</w:t>
            </w:r>
          </w:p>
        </w:tc>
      </w:tr>
      <w:tr w:rsidR="00E8518E" w:rsidRPr="00E8518E" w14:paraId="7026A97E" w14:textId="77777777" w:rsidTr="00316A6C">
        <w:tc>
          <w:tcPr>
            <w:tcW w:w="7270" w:type="dxa"/>
          </w:tcPr>
          <w:p w14:paraId="61E61A40" w14:textId="28418280" w:rsidR="00402666" w:rsidRPr="0088307E" w:rsidRDefault="00EA5C45" w:rsidP="000B69E1">
            <w:pPr>
              <w:rPr>
                <w:rFonts w:cs="Times New Roman"/>
                <w:szCs w:val="24"/>
              </w:rPr>
            </w:pPr>
            <w:r w:rsidRPr="0088307E">
              <w:t xml:space="preserve"> </w:t>
            </w:r>
            <w:r w:rsidRPr="0088307E">
              <w:rPr>
                <w:rFonts w:cs="Times New Roman"/>
                <w:szCs w:val="24"/>
              </w:rPr>
              <w:t xml:space="preserve">     -</w:t>
            </w:r>
            <w:r>
              <w:rPr>
                <w:rFonts w:cs="Times New Roman"/>
                <w:szCs w:val="24"/>
              </w:rPr>
              <w:t xml:space="preserve"> </w:t>
            </w:r>
            <w:r w:rsidR="00402666" w:rsidRPr="0088307E">
              <w:rPr>
                <w:rFonts w:cs="Times New Roman"/>
                <w:szCs w:val="24"/>
              </w:rPr>
              <w:t>Investiční transfery přijaté od Evropské unie</w:t>
            </w:r>
          </w:p>
        </w:tc>
        <w:tc>
          <w:tcPr>
            <w:tcW w:w="1980" w:type="dxa"/>
          </w:tcPr>
          <w:p w14:paraId="5389FFC9" w14:textId="43DD888E" w:rsidR="00402666" w:rsidRPr="0088307E" w:rsidRDefault="00EE2D61">
            <w:pPr>
              <w:jc w:val="right"/>
              <w:rPr>
                <w:rFonts w:cs="Times New Roman"/>
                <w:szCs w:val="24"/>
              </w:rPr>
            </w:pPr>
            <w:r w:rsidRPr="0088307E">
              <w:rPr>
                <w:rFonts w:cs="Times New Roman"/>
                <w:szCs w:val="24"/>
              </w:rPr>
              <w:t>10 600 884</w:t>
            </w:r>
            <w:r w:rsidR="00402666" w:rsidRPr="0088307E">
              <w:rPr>
                <w:rFonts w:cs="Times New Roman"/>
                <w:szCs w:val="24"/>
              </w:rPr>
              <w:t xml:space="preserve"> tis. Kč</w:t>
            </w:r>
          </w:p>
        </w:tc>
      </w:tr>
    </w:tbl>
    <w:p w14:paraId="1641410F" w14:textId="24CC847C" w:rsidR="00402666" w:rsidRPr="0088307E" w:rsidRDefault="00402666" w:rsidP="00402666">
      <w:pPr>
        <w:spacing w:before="240" w:after="120"/>
        <w:rPr>
          <w:rFonts w:cs="Times New Roman"/>
          <w:szCs w:val="24"/>
        </w:rPr>
      </w:pPr>
      <w:r w:rsidRPr="0088307E">
        <w:rPr>
          <w:rFonts w:cs="Times New Roman"/>
          <w:b/>
          <w:szCs w:val="24"/>
        </w:rPr>
        <w:t>Úřad pro civilní letectví</w:t>
      </w:r>
      <w:r w:rsidRPr="0088307E">
        <w:rPr>
          <w:rFonts w:cs="Times New Roman"/>
          <w:szCs w:val="24"/>
        </w:rPr>
        <w:t xml:space="preserve"> – příjmy </w:t>
      </w:r>
      <w:r w:rsidR="00E744DD" w:rsidRPr="0088307E">
        <w:rPr>
          <w:rFonts w:cs="Times New Roman"/>
          <w:b/>
          <w:bCs/>
          <w:szCs w:val="24"/>
        </w:rPr>
        <w:t xml:space="preserve">celkem </w:t>
      </w:r>
      <w:r w:rsidR="00EE2D61" w:rsidRPr="0088307E">
        <w:rPr>
          <w:rFonts w:cs="Times New Roman"/>
          <w:b/>
          <w:bCs/>
          <w:szCs w:val="24"/>
        </w:rPr>
        <w:t>60 000</w:t>
      </w:r>
      <w:r w:rsidRPr="0088307E">
        <w:rPr>
          <w:rFonts w:cs="Times New Roman"/>
          <w:b/>
          <w:bCs/>
          <w:szCs w:val="24"/>
        </w:rPr>
        <w:t xml:space="preserve"> tis. Kč,</w:t>
      </w:r>
      <w:r w:rsidRPr="0088307E">
        <w:rPr>
          <w:rFonts w:cs="Times New Roman"/>
          <w:szCs w:val="24"/>
        </w:rPr>
        <w:t xml:space="preserve"> v tom:</w:t>
      </w:r>
    </w:p>
    <w:tbl>
      <w:tblPr>
        <w:tblW w:w="9250" w:type="dxa"/>
        <w:tblCellMar>
          <w:left w:w="70" w:type="dxa"/>
          <w:right w:w="70" w:type="dxa"/>
        </w:tblCellMar>
        <w:tblLook w:val="0000" w:firstRow="0" w:lastRow="0" w:firstColumn="0" w:lastColumn="0" w:noHBand="0" w:noVBand="0"/>
      </w:tblPr>
      <w:tblGrid>
        <w:gridCol w:w="7629"/>
        <w:gridCol w:w="1621"/>
      </w:tblGrid>
      <w:tr w:rsidR="00E8518E" w:rsidRPr="00E8518E" w14:paraId="78682E76" w14:textId="77777777" w:rsidTr="00316A6C">
        <w:tc>
          <w:tcPr>
            <w:tcW w:w="7629" w:type="dxa"/>
          </w:tcPr>
          <w:p w14:paraId="6069A0B5" w14:textId="77777777" w:rsidR="00402666" w:rsidRPr="0088307E" w:rsidRDefault="00402666" w:rsidP="00316A6C">
            <w:pPr>
              <w:rPr>
                <w:rFonts w:cs="Times New Roman"/>
                <w:szCs w:val="24"/>
              </w:rPr>
            </w:pPr>
            <w:r w:rsidRPr="0088307E">
              <w:rPr>
                <w:rFonts w:cs="Times New Roman"/>
                <w:szCs w:val="24"/>
              </w:rPr>
              <w:t xml:space="preserve">      - Správní poplatky</w:t>
            </w:r>
          </w:p>
        </w:tc>
        <w:tc>
          <w:tcPr>
            <w:tcW w:w="1621" w:type="dxa"/>
          </w:tcPr>
          <w:p w14:paraId="4F472BCD" w14:textId="55034BCF" w:rsidR="00402666" w:rsidRPr="0088307E" w:rsidRDefault="00402666" w:rsidP="00316A6C">
            <w:pPr>
              <w:jc w:val="right"/>
              <w:rPr>
                <w:rFonts w:cs="Times New Roman"/>
                <w:szCs w:val="24"/>
              </w:rPr>
            </w:pPr>
            <w:r w:rsidRPr="0088307E">
              <w:rPr>
                <w:rFonts w:cs="Times New Roman"/>
                <w:szCs w:val="24"/>
              </w:rPr>
              <w:t>1</w:t>
            </w:r>
            <w:r w:rsidR="00EE2D61" w:rsidRPr="0088307E">
              <w:rPr>
                <w:rFonts w:cs="Times New Roman"/>
                <w:szCs w:val="24"/>
              </w:rPr>
              <w:t>4</w:t>
            </w:r>
            <w:r w:rsidRPr="0088307E">
              <w:rPr>
                <w:rFonts w:cs="Times New Roman"/>
                <w:szCs w:val="24"/>
              </w:rPr>
              <w:t xml:space="preserve"> 000 tis. Kč</w:t>
            </w:r>
          </w:p>
        </w:tc>
      </w:tr>
      <w:tr w:rsidR="00E8518E" w:rsidRPr="00E8518E" w14:paraId="7E58CA74" w14:textId="77777777" w:rsidTr="00316A6C">
        <w:tc>
          <w:tcPr>
            <w:tcW w:w="7629" w:type="dxa"/>
          </w:tcPr>
          <w:p w14:paraId="4FCB60A6" w14:textId="77777777" w:rsidR="00402666" w:rsidRPr="0088307E" w:rsidRDefault="00402666" w:rsidP="00316A6C">
            <w:pPr>
              <w:rPr>
                <w:rFonts w:cs="Times New Roman"/>
                <w:szCs w:val="24"/>
              </w:rPr>
            </w:pPr>
            <w:r w:rsidRPr="0088307E">
              <w:rPr>
                <w:rFonts w:cs="Times New Roman"/>
                <w:szCs w:val="24"/>
              </w:rPr>
              <w:t xml:space="preserve">      - Příjmy z vlastní činnosti             </w:t>
            </w:r>
          </w:p>
        </w:tc>
        <w:tc>
          <w:tcPr>
            <w:tcW w:w="1621" w:type="dxa"/>
          </w:tcPr>
          <w:p w14:paraId="48479CD7" w14:textId="7A8017F7" w:rsidR="00402666" w:rsidRPr="0088307E" w:rsidRDefault="00EE2D61">
            <w:pPr>
              <w:jc w:val="right"/>
              <w:rPr>
                <w:rFonts w:cs="Times New Roman"/>
                <w:szCs w:val="24"/>
              </w:rPr>
            </w:pPr>
            <w:r w:rsidRPr="0088307E">
              <w:rPr>
                <w:rFonts w:cs="Times New Roman"/>
                <w:szCs w:val="24"/>
              </w:rPr>
              <w:t>45 600</w:t>
            </w:r>
            <w:r w:rsidR="00402666" w:rsidRPr="0088307E">
              <w:rPr>
                <w:rFonts w:cs="Times New Roman"/>
                <w:szCs w:val="24"/>
              </w:rPr>
              <w:t xml:space="preserve"> tis. Kč</w:t>
            </w:r>
          </w:p>
        </w:tc>
      </w:tr>
      <w:tr w:rsidR="00E8518E" w:rsidRPr="00E8518E" w14:paraId="2F8F3310" w14:textId="77777777" w:rsidTr="00316A6C">
        <w:tc>
          <w:tcPr>
            <w:tcW w:w="7629" w:type="dxa"/>
          </w:tcPr>
          <w:p w14:paraId="2F5BC8FD" w14:textId="77777777" w:rsidR="00402666" w:rsidRPr="0088307E" w:rsidRDefault="00402666" w:rsidP="00316A6C">
            <w:pPr>
              <w:rPr>
                <w:rFonts w:cs="Times New Roman"/>
                <w:szCs w:val="24"/>
              </w:rPr>
            </w:pPr>
            <w:r w:rsidRPr="0088307E">
              <w:rPr>
                <w:rFonts w:cs="Times New Roman"/>
                <w:szCs w:val="24"/>
              </w:rPr>
              <w:t xml:space="preserve">      - Přijaté sankční platby</w:t>
            </w:r>
          </w:p>
        </w:tc>
        <w:tc>
          <w:tcPr>
            <w:tcW w:w="1621" w:type="dxa"/>
          </w:tcPr>
          <w:p w14:paraId="6F3A6DB2" w14:textId="77777777" w:rsidR="00402666" w:rsidRPr="0088307E" w:rsidRDefault="00402666" w:rsidP="00316A6C">
            <w:pPr>
              <w:jc w:val="right"/>
              <w:rPr>
                <w:rFonts w:cs="Times New Roman"/>
                <w:szCs w:val="24"/>
              </w:rPr>
            </w:pPr>
            <w:r w:rsidRPr="0088307E">
              <w:rPr>
                <w:rFonts w:cs="Times New Roman"/>
                <w:szCs w:val="24"/>
              </w:rPr>
              <w:t>400 tis. Kč</w:t>
            </w:r>
          </w:p>
        </w:tc>
      </w:tr>
    </w:tbl>
    <w:p w14:paraId="23A6A7C8" w14:textId="77777777" w:rsidR="00402666" w:rsidRPr="0088307E" w:rsidRDefault="00402666" w:rsidP="00402666">
      <w:pPr>
        <w:spacing w:before="240" w:after="120"/>
        <w:rPr>
          <w:rFonts w:cs="Times New Roman"/>
          <w:szCs w:val="24"/>
        </w:rPr>
      </w:pPr>
      <w:r w:rsidRPr="0088307E">
        <w:rPr>
          <w:rFonts w:cs="Times New Roman"/>
          <w:b/>
          <w:szCs w:val="24"/>
        </w:rPr>
        <w:t>Státní plavební správa</w:t>
      </w:r>
      <w:r w:rsidRPr="0088307E">
        <w:rPr>
          <w:rFonts w:cs="Times New Roman"/>
          <w:szCs w:val="24"/>
        </w:rPr>
        <w:t xml:space="preserve"> - příjmy </w:t>
      </w:r>
      <w:r w:rsidRPr="0088307E">
        <w:rPr>
          <w:rFonts w:cs="Times New Roman"/>
          <w:b/>
          <w:bCs/>
          <w:szCs w:val="24"/>
        </w:rPr>
        <w:t xml:space="preserve">celkem 6 300 tis. Kč, </w:t>
      </w:r>
      <w:r w:rsidRPr="0088307E">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E8518E" w:rsidRPr="00EE2D61" w14:paraId="14758153" w14:textId="77777777" w:rsidTr="00316A6C">
        <w:tc>
          <w:tcPr>
            <w:tcW w:w="7270" w:type="dxa"/>
          </w:tcPr>
          <w:p w14:paraId="4B7F7B9F" w14:textId="77777777" w:rsidR="00402666" w:rsidRPr="0088307E" w:rsidRDefault="00402666" w:rsidP="00402666">
            <w:pPr>
              <w:pStyle w:val="Odstavecseseznamem"/>
              <w:numPr>
                <w:ilvl w:val="0"/>
                <w:numId w:val="5"/>
              </w:numPr>
              <w:tabs>
                <w:tab w:val="clear" w:pos="720"/>
                <w:tab w:val="num" w:pos="334"/>
              </w:tabs>
              <w:ind w:left="489" w:hanging="244"/>
            </w:pPr>
            <w:r w:rsidRPr="0088307E">
              <w:t>Správní poplatky</w:t>
            </w:r>
          </w:p>
        </w:tc>
        <w:tc>
          <w:tcPr>
            <w:tcW w:w="1980" w:type="dxa"/>
          </w:tcPr>
          <w:p w14:paraId="74B6660A" w14:textId="77777777" w:rsidR="00402666" w:rsidRPr="0088307E" w:rsidRDefault="00402666" w:rsidP="00316A6C">
            <w:pPr>
              <w:jc w:val="right"/>
              <w:rPr>
                <w:rFonts w:cs="Times New Roman"/>
                <w:szCs w:val="24"/>
              </w:rPr>
            </w:pPr>
            <w:r w:rsidRPr="0088307E">
              <w:rPr>
                <w:rFonts w:cs="Times New Roman"/>
                <w:szCs w:val="24"/>
              </w:rPr>
              <w:t>6 200 tis. Kč</w:t>
            </w:r>
          </w:p>
        </w:tc>
      </w:tr>
      <w:tr w:rsidR="00E8518E" w:rsidRPr="00EE2D61" w14:paraId="5BE1DF11" w14:textId="77777777" w:rsidTr="00316A6C">
        <w:tc>
          <w:tcPr>
            <w:tcW w:w="7270" w:type="dxa"/>
          </w:tcPr>
          <w:p w14:paraId="7AEF1202" w14:textId="77777777" w:rsidR="00402666" w:rsidRPr="0088307E" w:rsidRDefault="00402666" w:rsidP="00402666">
            <w:pPr>
              <w:pStyle w:val="Odstavecseseznamem"/>
              <w:numPr>
                <w:ilvl w:val="0"/>
                <w:numId w:val="5"/>
              </w:numPr>
              <w:tabs>
                <w:tab w:val="clear" w:pos="720"/>
                <w:tab w:val="num" w:pos="334"/>
              </w:tabs>
              <w:ind w:left="489" w:hanging="244"/>
            </w:pPr>
            <w:r w:rsidRPr="0088307E">
              <w:t>Příjmy z pronájmu majetku</w:t>
            </w:r>
          </w:p>
        </w:tc>
        <w:tc>
          <w:tcPr>
            <w:tcW w:w="1980" w:type="dxa"/>
          </w:tcPr>
          <w:p w14:paraId="4092D428" w14:textId="77777777" w:rsidR="00402666" w:rsidRPr="0088307E" w:rsidRDefault="00402666" w:rsidP="00316A6C">
            <w:pPr>
              <w:jc w:val="right"/>
              <w:rPr>
                <w:rFonts w:cs="Times New Roman"/>
                <w:szCs w:val="24"/>
              </w:rPr>
            </w:pPr>
            <w:r w:rsidRPr="0088307E">
              <w:rPr>
                <w:rFonts w:cs="Times New Roman"/>
                <w:szCs w:val="24"/>
              </w:rPr>
              <w:t>100 tis. Kč</w:t>
            </w:r>
          </w:p>
        </w:tc>
      </w:tr>
    </w:tbl>
    <w:p w14:paraId="03377588" w14:textId="77777777" w:rsidR="00402666" w:rsidRPr="0088307E" w:rsidRDefault="00402666" w:rsidP="006B75C3">
      <w:pPr>
        <w:spacing w:before="200" w:after="120"/>
        <w:rPr>
          <w:rFonts w:cs="Times New Roman"/>
          <w:szCs w:val="24"/>
        </w:rPr>
      </w:pPr>
      <w:r w:rsidRPr="0088307E">
        <w:rPr>
          <w:rFonts w:cs="Times New Roman"/>
          <w:b/>
          <w:szCs w:val="24"/>
        </w:rPr>
        <w:t>Drážní úřad</w:t>
      </w:r>
      <w:r w:rsidRPr="0088307E">
        <w:rPr>
          <w:rFonts w:cs="Times New Roman"/>
          <w:szCs w:val="24"/>
        </w:rPr>
        <w:t xml:space="preserve"> - příjmy </w:t>
      </w:r>
      <w:r w:rsidRPr="0088307E">
        <w:rPr>
          <w:rFonts w:cs="Times New Roman"/>
          <w:b/>
          <w:bCs/>
          <w:szCs w:val="24"/>
        </w:rPr>
        <w:t xml:space="preserve">celkem 2 842 tis. Kč, </w:t>
      </w:r>
      <w:r w:rsidRPr="0088307E">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E8518E" w:rsidRPr="00E8518E" w14:paraId="1561D18A" w14:textId="77777777" w:rsidTr="00316A6C">
        <w:tc>
          <w:tcPr>
            <w:tcW w:w="7270" w:type="dxa"/>
          </w:tcPr>
          <w:p w14:paraId="01A49A88" w14:textId="77777777" w:rsidR="00402666" w:rsidRPr="0088307E" w:rsidRDefault="00402666" w:rsidP="00316A6C">
            <w:pPr>
              <w:rPr>
                <w:rFonts w:cs="Times New Roman"/>
                <w:szCs w:val="24"/>
              </w:rPr>
            </w:pPr>
            <w:r w:rsidRPr="0088307E">
              <w:rPr>
                <w:rFonts w:cs="Times New Roman"/>
                <w:szCs w:val="24"/>
              </w:rPr>
              <w:t xml:space="preserve">      - Správní poplatky</w:t>
            </w:r>
          </w:p>
        </w:tc>
        <w:tc>
          <w:tcPr>
            <w:tcW w:w="1980" w:type="dxa"/>
          </w:tcPr>
          <w:p w14:paraId="22C908C2" w14:textId="77777777" w:rsidR="00402666" w:rsidRPr="0088307E" w:rsidRDefault="00402666" w:rsidP="00316A6C">
            <w:pPr>
              <w:jc w:val="right"/>
              <w:rPr>
                <w:rFonts w:cs="Times New Roman"/>
                <w:szCs w:val="24"/>
              </w:rPr>
            </w:pPr>
            <w:r w:rsidRPr="0088307E">
              <w:rPr>
                <w:rFonts w:cs="Times New Roman"/>
                <w:szCs w:val="24"/>
              </w:rPr>
              <w:t>2 500 tis. Kč</w:t>
            </w:r>
          </w:p>
        </w:tc>
      </w:tr>
      <w:tr w:rsidR="00E8518E" w:rsidRPr="00E8518E" w14:paraId="63969AA2" w14:textId="77777777" w:rsidTr="00316A6C">
        <w:tc>
          <w:tcPr>
            <w:tcW w:w="7270" w:type="dxa"/>
          </w:tcPr>
          <w:p w14:paraId="64B06460" w14:textId="77777777" w:rsidR="00402666" w:rsidRPr="0088307E" w:rsidRDefault="00402666" w:rsidP="00316A6C">
            <w:pPr>
              <w:rPr>
                <w:rFonts w:cs="Times New Roman"/>
                <w:szCs w:val="24"/>
              </w:rPr>
            </w:pPr>
            <w:r w:rsidRPr="0088307E">
              <w:rPr>
                <w:rFonts w:cs="Times New Roman"/>
                <w:szCs w:val="24"/>
              </w:rPr>
              <w:t xml:space="preserve">      - Přijaté sankční platby</w:t>
            </w:r>
          </w:p>
        </w:tc>
        <w:tc>
          <w:tcPr>
            <w:tcW w:w="1980" w:type="dxa"/>
          </w:tcPr>
          <w:p w14:paraId="5E0792C6" w14:textId="77777777" w:rsidR="00402666" w:rsidRPr="0088307E" w:rsidRDefault="00402666" w:rsidP="00316A6C">
            <w:pPr>
              <w:jc w:val="right"/>
              <w:rPr>
                <w:rFonts w:cs="Times New Roman"/>
                <w:szCs w:val="24"/>
              </w:rPr>
            </w:pPr>
            <w:r w:rsidRPr="0088307E">
              <w:rPr>
                <w:rFonts w:cs="Times New Roman"/>
                <w:szCs w:val="24"/>
              </w:rPr>
              <w:t>342 tis. Kč</w:t>
            </w:r>
          </w:p>
        </w:tc>
      </w:tr>
    </w:tbl>
    <w:p w14:paraId="23B7177D" w14:textId="77777777" w:rsidR="00402666" w:rsidRPr="0088307E" w:rsidRDefault="00402666" w:rsidP="006B75C3">
      <w:pPr>
        <w:spacing w:before="200" w:after="120"/>
        <w:rPr>
          <w:rFonts w:cs="Times New Roman"/>
          <w:szCs w:val="24"/>
        </w:rPr>
      </w:pPr>
      <w:r w:rsidRPr="0088307E">
        <w:rPr>
          <w:rFonts w:cs="Times New Roman"/>
          <w:b/>
          <w:szCs w:val="24"/>
        </w:rPr>
        <w:t>Ředitelství vodních cest ČR</w:t>
      </w:r>
      <w:r w:rsidRPr="0088307E">
        <w:rPr>
          <w:rFonts w:cs="Times New Roman"/>
          <w:szCs w:val="24"/>
        </w:rPr>
        <w:t xml:space="preserve"> - příjmy </w:t>
      </w:r>
      <w:r w:rsidRPr="0088307E">
        <w:rPr>
          <w:rFonts w:cs="Times New Roman"/>
          <w:b/>
          <w:bCs/>
          <w:szCs w:val="24"/>
        </w:rPr>
        <w:t xml:space="preserve">celkem 7 000 tis. Kč, </w:t>
      </w:r>
      <w:r w:rsidRPr="0088307E">
        <w:rPr>
          <w:rFonts w:cs="Times New Roman"/>
          <w:szCs w:val="24"/>
        </w:rPr>
        <w:t>v tom:</w:t>
      </w:r>
    </w:p>
    <w:tbl>
      <w:tblPr>
        <w:tblW w:w="9250" w:type="dxa"/>
        <w:tblCellMar>
          <w:left w:w="70" w:type="dxa"/>
          <w:right w:w="70" w:type="dxa"/>
        </w:tblCellMar>
        <w:tblLook w:val="0000" w:firstRow="0" w:lastRow="0" w:firstColumn="0" w:lastColumn="0" w:noHBand="0" w:noVBand="0"/>
      </w:tblPr>
      <w:tblGrid>
        <w:gridCol w:w="7270"/>
        <w:gridCol w:w="1980"/>
      </w:tblGrid>
      <w:tr w:rsidR="00E8518E" w:rsidRPr="00E8518E" w14:paraId="1651EE09" w14:textId="77777777" w:rsidTr="00316A6C">
        <w:tc>
          <w:tcPr>
            <w:tcW w:w="7270" w:type="dxa"/>
          </w:tcPr>
          <w:p w14:paraId="420CD9B2" w14:textId="77777777" w:rsidR="00402666" w:rsidRPr="0088307E" w:rsidRDefault="00402666" w:rsidP="00316A6C">
            <w:pPr>
              <w:rPr>
                <w:rFonts w:cs="Times New Roman"/>
                <w:szCs w:val="24"/>
              </w:rPr>
            </w:pPr>
            <w:r w:rsidRPr="0088307E">
              <w:rPr>
                <w:rFonts w:cs="Times New Roman"/>
                <w:szCs w:val="24"/>
              </w:rPr>
              <w:t xml:space="preserve">      - Příjmy z vlastní činnosti             </w:t>
            </w:r>
          </w:p>
        </w:tc>
        <w:tc>
          <w:tcPr>
            <w:tcW w:w="1980" w:type="dxa"/>
          </w:tcPr>
          <w:p w14:paraId="02085FDA" w14:textId="77777777" w:rsidR="00402666" w:rsidRPr="0088307E" w:rsidRDefault="00402666" w:rsidP="00316A6C">
            <w:pPr>
              <w:jc w:val="right"/>
              <w:rPr>
                <w:rFonts w:cs="Times New Roman"/>
                <w:szCs w:val="24"/>
              </w:rPr>
            </w:pPr>
            <w:r w:rsidRPr="0088307E">
              <w:rPr>
                <w:rFonts w:cs="Times New Roman"/>
                <w:szCs w:val="24"/>
              </w:rPr>
              <w:t>2 700 tis. Kč</w:t>
            </w:r>
          </w:p>
        </w:tc>
      </w:tr>
      <w:tr w:rsidR="00E8518E" w:rsidRPr="00E8518E" w14:paraId="727B2DB6" w14:textId="77777777" w:rsidTr="00316A6C">
        <w:tc>
          <w:tcPr>
            <w:tcW w:w="7270" w:type="dxa"/>
          </w:tcPr>
          <w:p w14:paraId="60259FD1" w14:textId="77777777" w:rsidR="00402666" w:rsidRPr="0088307E" w:rsidRDefault="00402666" w:rsidP="00316A6C">
            <w:pPr>
              <w:rPr>
                <w:rFonts w:cs="Times New Roman"/>
                <w:szCs w:val="24"/>
              </w:rPr>
            </w:pPr>
            <w:r w:rsidRPr="0088307E">
              <w:rPr>
                <w:rFonts w:cs="Times New Roman"/>
                <w:szCs w:val="24"/>
              </w:rPr>
              <w:t xml:space="preserve">      - Příjmy z pronájmu majetku</w:t>
            </w:r>
          </w:p>
        </w:tc>
        <w:tc>
          <w:tcPr>
            <w:tcW w:w="1980" w:type="dxa"/>
          </w:tcPr>
          <w:p w14:paraId="1E710FE3" w14:textId="77777777" w:rsidR="00402666" w:rsidRPr="0088307E" w:rsidRDefault="00402666" w:rsidP="00316A6C">
            <w:pPr>
              <w:jc w:val="right"/>
              <w:rPr>
                <w:rFonts w:cs="Times New Roman"/>
                <w:szCs w:val="24"/>
              </w:rPr>
            </w:pPr>
            <w:r w:rsidRPr="0088307E">
              <w:rPr>
                <w:rFonts w:cs="Times New Roman"/>
                <w:szCs w:val="24"/>
              </w:rPr>
              <w:t>4 300 tis. Kč</w:t>
            </w:r>
          </w:p>
        </w:tc>
      </w:tr>
    </w:tbl>
    <w:p w14:paraId="344C61DE" w14:textId="2BAD5C5B" w:rsidR="00CF4BB2" w:rsidRPr="00E8518E" w:rsidRDefault="00CF4BB2" w:rsidP="00402666">
      <w:pPr>
        <w:pStyle w:val="Styl1"/>
        <w:rPr>
          <w:color w:val="FF0000"/>
        </w:rPr>
      </w:pPr>
      <w:r w:rsidRPr="0088307E">
        <w:t xml:space="preserve">V navrženém objemu příjmů tvoří nejvyšší část přijaté transfery, které jsou rozpočtovány </w:t>
      </w:r>
      <w:r w:rsidRPr="0088307E">
        <w:br/>
      </w:r>
      <w:r w:rsidR="00EF4F30" w:rsidRPr="0088307E">
        <w:t xml:space="preserve">ve výši </w:t>
      </w:r>
      <w:r w:rsidR="00007DDE" w:rsidRPr="0088307E">
        <w:t>28 786 763</w:t>
      </w:r>
      <w:r w:rsidRPr="0088307E">
        <w:t xml:space="preserve"> tis. Kč, tj. </w:t>
      </w:r>
      <w:r w:rsidR="00E759CA" w:rsidRPr="0088307E">
        <w:t>99,</w:t>
      </w:r>
      <w:r w:rsidR="00007DDE" w:rsidRPr="0088307E">
        <w:t>08</w:t>
      </w:r>
      <w:r w:rsidRPr="0088307E">
        <w:t xml:space="preserve"> % souhrnného ukazatele příjmy celkem. </w:t>
      </w:r>
    </w:p>
    <w:p w14:paraId="6D09D53F" w14:textId="7420A0DB" w:rsidR="00007DDE" w:rsidRPr="0088307E" w:rsidRDefault="00007DDE" w:rsidP="00007DDE">
      <w:pPr>
        <w:pStyle w:val="Styl1"/>
        <w:rPr>
          <w:highlight w:val="lightGray"/>
        </w:rPr>
      </w:pPr>
      <w:r w:rsidRPr="00D51C4C">
        <w:t xml:space="preserve">Součástí těchto přijatých transferů jsou </w:t>
      </w:r>
      <w:r w:rsidRPr="00D51C4C">
        <w:rPr>
          <w:u w:val="single"/>
        </w:rPr>
        <w:t>investiční převody z  Národního fondu</w:t>
      </w:r>
      <w:r w:rsidRPr="00D51C4C">
        <w:t xml:space="preserve">, které jsou rozpočtovány ve výši </w:t>
      </w:r>
      <w:r w:rsidRPr="00943046">
        <w:t xml:space="preserve">17 545 846 tis. Kč, tj. </w:t>
      </w:r>
      <w:r w:rsidR="00943046" w:rsidRPr="0088307E">
        <w:t>60,39</w:t>
      </w:r>
      <w:r w:rsidRPr="00943046">
        <w:t xml:space="preserve"> % souhrnného ukazatele příjmy celkem </w:t>
      </w:r>
      <w:r w:rsidRPr="00943046">
        <w:br/>
        <w:t xml:space="preserve">a </w:t>
      </w:r>
      <w:r w:rsidRPr="00943046">
        <w:rPr>
          <w:u w:val="single"/>
        </w:rPr>
        <w:t>neinvestiční převody z Národního fondu</w:t>
      </w:r>
      <w:r w:rsidRPr="00943046">
        <w:t xml:space="preserve"> s částko</w:t>
      </w:r>
      <w:r w:rsidR="00943046" w:rsidRPr="0088307E">
        <w:t>u 86 458</w:t>
      </w:r>
      <w:r w:rsidRPr="00943046">
        <w:t xml:space="preserve"> tis. Kč, </w:t>
      </w:r>
      <w:r w:rsidR="00943046" w:rsidRPr="0088307E">
        <w:t>tj. 0,30</w:t>
      </w:r>
      <w:r w:rsidRPr="00943046">
        <w:t xml:space="preserve"> % souhrnného ukazatele. Investiční a neinvestiční převody z Národního fondu jsou příjmy z rozpočtu Evropské unie související s realizací programů spolufinancovaných z prostředků fondů EU </w:t>
      </w:r>
      <w:r w:rsidRPr="00943046">
        <w:br/>
        <w:t>(ze strukturálních fondů a Fondu soudržnosti). V roce</w:t>
      </w:r>
      <w:r w:rsidRPr="0088307E">
        <w:t xml:space="preserve"> </w:t>
      </w:r>
      <w:r w:rsidRPr="00943046">
        <w:t>2023 jde o příjmy z Operačního programu Doprava</w:t>
      </w:r>
      <w:r w:rsidRPr="0088307E">
        <w:t xml:space="preserve"> </w:t>
      </w:r>
      <w:r w:rsidRPr="00943046">
        <w:t xml:space="preserve">2014-2020 </w:t>
      </w:r>
      <w:r w:rsidR="00435995">
        <w:t>(1 783 515 tis. Kč), z</w:t>
      </w:r>
      <w:r w:rsidRPr="00943046">
        <w:t xml:space="preserve"> Operačního programu Doprava </w:t>
      </w:r>
      <w:r w:rsidR="00943046" w:rsidRPr="0088307E">
        <w:t>2021-2027 (15 556 068</w:t>
      </w:r>
      <w:r w:rsidRPr="00943046">
        <w:t xml:space="preserve"> tis. Kč) a z Operačního programu Podnikání a inovace pro konkurenceschopnost </w:t>
      </w:r>
      <w:r w:rsidR="00B90F89">
        <w:t xml:space="preserve">2014-2020 </w:t>
      </w:r>
      <w:r w:rsidRPr="00943046">
        <w:t>(292 721 tis. Kč).</w:t>
      </w:r>
    </w:p>
    <w:p w14:paraId="5C9BA7EF" w14:textId="656D30DF" w:rsidR="00D56DF3" w:rsidRDefault="00007DDE" w:rsidP="00255650">
      <w:pPr>
        <w:pStyle w:val="Styl1"/>
      </w:pPr>
      <w:r w:rsidRPr="00435995">
        <w:t xml:space="preserve">Další součástí přijatých transferů jsou </w:t>
      </w:r>
      <w:r w:rsidRPr="00435995">
        <w:rPr>
          <w:u w:val="single"/>
        </w:rPr>
        <w:t>investiční transfery přijaté od Evropské unie</w:t>
      </w:r>
      <w:r w:rsidRPr="0088307E">
        <w:t xml:space="preserve"> </w:t>
      </w:r>
      <w:r w:rsidRPr="0088307E">
        <w:br/>
      </w:r>
      <w:r w:rsidRPr="00435995">
        <w:t xml:space="preserve">ve výši 10 600 884 tis. Kč, tj. </w:t>
      </w:r>
      <w:r w:rsidR="00435995" w:rsidRPr="0088307E">
        <w:t>36,49</w:t>
      </w:r>
      <w:r w:rsidRPr="00435995">
        <w:t xml:space="preserve"> % z celkových příjmů, a </w:t>
      </w:r>
      <w:r w:rsidRPr="00435995">
        <w:rPr>
          <w:u w:val="single"/>
        </w:rPr>
        <w:t>neinvestiční transfery přijaté od Evropské unie</w:t>
      </w:r>
      <w:r w:rsidRPr="00435995">
        <w:t xml:space="preserve"> ve výši</w:t>
      </w:r>
      <w:r w:rsidRPr="0088307E">
        <w:t xml:space="preserve"> </w:t>
      </w:r>
      <w:r w:rsidR="00435995" w:rsidRPr="0088307E">
        <w:t>553 576</w:t>
      </w:r>
      <w:r w:rsidRPr="00435995">
        <w:t xml:space="preserve"> tis. Kč, tj. </w:t>
      </w:r>
      <w:r w:rsidR="00435995" w:rsidRPr="0088307E">
        <w:t>1,91</w:t>
      </w:r>
      <w:r w:rsidRPr="00435995">
        <w:t xml:space="preserve"> % z celkových příjmů.</w:t>
      </w:r>
      <w:r w:rsidRPr="0088307E">
        <w:rPr>
          <w:color w:val="FF0000"/>
        </w:rPr>
        <w:t xml:space="preserve"> </w:t>
      </w:r>
      <w:r w:rsidRPr="00435995">
        <w:t xml:space="preserve">Tyto částky jsou v roce 2023 tvořeny příjmy z komunitárních programů EU, konkrétně Nástroje pro propojení Evropy </w:t>
      </w:r>
      <w:r w:rsidRPr="00AD2D26">
        <w:t xml:space="preserve">– CEF 2014+ (2 497 922 tis. Kč), Nástroje pro propojení Evropy – CEF 2021+ </w:t>
      </w:r>
      <w:r w:rsidRPr="0088307E">
        <w:br/>
      </w:r>
      <w:r w:rsidR="00AD2D26" w:rsidRPr="0088307E">
        <w:t>(5 119 817</w:t>
      </w:r>
      <w:r w:rsidRPr="00AD2D26">
        <w:t xml:space="preserve"> tis. Kč), z programu Horizont Evropa</w:t>
      </w:r>
      <w:r w:rsidR="006C4427">
        <w:t xml:space="preserve"> 2021-2027</w:t>
      </w:r>
      <w:r w:rsidRPr="00AD2D26">
        <w:t xml:space="preserve"> </w:t>
      </w:r>
      <w:r w:rsidRPr="00D56DF3">
        <w:t>(386 tis. Kč</w:t>
      </w:r>
      <w:r w:rsidRPr="005E7A72">
        <w:t>), z Kosmického programu Unie</w:t>
      </w:r>
      <w:r w:rsidR="006C4427">
        <w:t xml:space="preserve"> 2021-2027</w:t>
      </w:r>
      <w:r w:rsidRPr="005E7A72">
        <w:t xml:space="preserve"> (760 tis. Kč), Národního plá</w:t>
      </w:r>
      <w:r w:rsidRPr="00D56DF3">
        <w:t>nu obnovy – Udržitelná a bezpeč</w:t>
      </w:r>
      <w:r w:rsidR="006C4427">
        <w:t xml:space="preserve">ná doprava (3 003 459 tis. Kč) </w:t>
      </w:r>
      <w:r w:rsidRPr="00D56DF3">
        <w:t>a</w:t>
      </w:r>
      <w:r w:rsidR="006C4427">
        <w:t xml:space="preserve"> BAR – rezerva</w:t>
      </w:r>
      <w:r w:rsidRPr="00D56DF3">
        <w:t xml:space="preserve"> na vyrovnání se s</w:t>
      </w:r>
      <w:r w:rsidR="006C4427">
        <w:t xml:space="preserve"> důsledky </w:t>
      </w:r>
      <w:proofErr w:type="spellStart"/>
      <w:r w:rsidR="006C4427">
        <w:t>brexitu</w:t>
      </w:r>
      <w:proofErr w:type="spellEnd"/>
      <w:r w:rsidR="00D56DF3" w:rsidRPr="0088307E">
        <w:t xml:space="preserve">  </w:t>
      </w:r>
      <w:r w:rsidR="006C4427">
        <w:br/>
      </w:r>
      <w:r w:rsidR="00D56DF3" w:rsidRPr="0088307E">
        <w:t>(532 116</w:t>
      </w:r>
      <w:r w:rsidRPr="00D56DF3">
        <w:t xml:space="preserve"> tis. Kč).</w:t>
      </w:r>
    </w:p>
    <w:p w14:paraId="4529517C" w14:textId="1691F252" w:rsidR="00255650" w:rsidRPr="0088307E" w:rsidRDefault="00255650" w:rsidP="00255650">
      <w:pPr>
        <w:pStyle w:val="Styl1"/>
      </w:pPr>
      <w:r w:rsidRPr="0088307E">
        <w:t xml:space="preserve">Příjemcem uvedených „příjmů z rozpočtu Evropské unie“ je </w:t>
      </w:r>
      <w:r w:rsidR="00954192" w:rsidRPr="00D56DF3">
        <w:t xml:space="preserve">pouze </w:t>
      </w:r>
      <w:r w:rsidRPr="0088307E">
        <w:t>ústřední orgán Ministerstva dopravy</w:t>
      </w:r>
      <w:r w:rsidR="00954192" w:rsidRPr="0088307E">
        <w:t>.</w:t>
      </w:r>
    </w:p>
    <w:p w14:paraId="5D27E39A" w14:textId="2A84DAB9" w:rsidR="00255650" w:rsidRPr="00E8518E" w:rsidRDefault="006E6C06" w:rsidP="00255650">
      <w:pPr>
        <w:pStyle w:val="Styl1"/>
        <w:rPr>
          <w:color w:val="FF0000"/>
        </w:rPr>
      </w:pPr>
      <w:r>
        <w:t xml:space="preserve">Součástí souhrnného ukazatele příjmy celkem jsou dále </w:t>
      </w:r>
      <w:r>
        <w:rPr>
          <w:u w:val="single"/>
        </w:rPr>
        <w:t>správní poplatky</w:t>
      </w:r>
      <w:r>
        <w:t xml:space="preserve"> rozpočtované ve výši 185 000  tis. Kč, tj. 0,64 % souhrnného ukazatele. Jde především o poplatky za správní úkony, jejichž výsledkem jsou vydaná povolení, rozhodnutí apod. Nejvyšší měrou se na výběru správních poplatků podílí ústřední orgán Ministerstva dopravy, a to částkou 162 300 tis. Kč, což představuje 87,30 % z dané položky příjmů, dále Úřad pro civilní letectví </w:t>
      </w:r>
      <w:r>
        <w:br/>
        <w:t>částkou 14 000 tis. Kč, tj. 7,57 %, Státní plavební správa částkou</w:t>
      </w:r>
      <w:r>
        <w:rPr>
          <w:color w:val="FF0000"/>
        </w:rPr>
        <w:t xml:space="preserve"> </w:t>
      </w:r>
      <w:r>
        <w:t xml:space="preserve">6 200 tis. Kč, tj. 3,35 % </w:t>
      </w:r>
      <w:r>
        <w:br/>
        <w:t>a Drážní úřad částkou 2 500 tis. Kč, tj. 1,35 %.</w:t>
      </w:r>
    </w:p>
    <w:p w14:paraId="68CD0D57" w14:textId="77777777" w:rsidR="006E6C06" w:rsidRDefault="006E6C06" w:rsidP="006E6C06">
      <w:pPr>
        <w:pStyle w:val="Styl1"/>
      </w:pPr>
      <w:r>
        <w:rPr>
          <w:u w:val="single"/>
        </w:rPr>
        <w:t>Příjmy z vlastní činnosti</w:t>
      </w:r>
      <w:r>
        <w:t xml:space="preserve"> organizačních složek státu jsou rozpočtovány ve výši</w:t>
      </w:r>
      <w:r>
        <w:rPr>
          <w:color w:val="FF0000"/>
        </w:rPr>
        <w:t xml:space="preserve"> </w:t>
      </w:r>
      <w:r>
        <w:t xml:space="preserve">48 300 tis. Kč, což představuje 0,17 % souhrnného ukazatele příjmy celkem. Tyto příjmy vytváří především Úřad pro civilní letectví, a to ve výši 45 600 tis. Kč, tj. 94,41 % z dané položky příjmů. Jde zejména o příjmy z poskytování letových navigačních služeb v souladu s nařízením EK </w:t>
      </w:r>
      <w:r>
        <w:br/>
        <w:t xml:space="preserve">č. 390/2013. Dále se na těchto příjmech podílí Ředitelství vodních cest ČR částkou </w:t>
      </w:r>
      <w:r>
        <w:rPr>
          <w:color w:val="FF0000"/>
        </w:rPr>
        <w:br/>
      </w:r>
      <w:r>
        <w:t>2 700 tis. Kč, tj. podíl 5,59 %, a to za služby poskytované při provozování říční přístavní infrastruktury.</w:t>
      </w:r>
    </w:p>
    <w:p w14:paraId="27B0EFDA" w14:textId="6432FA4D" w:rsidR="004D5A2B" w:rsidRDefault="00CF4BB2" w:rsidP="00CF4BB2">
      <w:pPr>
        <w:pStyle w:val="Styl1"/>
        <w:rPr>
          <w:color w:val="FF0000"/>
        </w:rPr>
      </w:pPr>
      <w:r w:rsidRPr="0088307E">
        <w:rPr>
          <w:u w:val="single"/>
        </w:rPr>
        <w:t>Odvody přebytků organizací s přímým vztahem</w:t>
      </w:r>
      <w:r w:rsidRPr="0088307E">
        <w:t xml:space="preserve"> nejsou pro rok</w:t>
      </w:r>
      <w:r w:rsidR="00255650" w:rsidRPr="0088307E">
        <w:t xml:space="preserve"> 202</w:t>
      </w:r>
      <w:r w:rsidR="00954192" w:rsidRPr="0088307E">
        <w:t>3</w:t>
      </w:r>
      <w:r w:rsidRPr="0088307E">
        <w:t xml:space="preserve"> rozpočtovány</w:t>
      </w:r>
      <w:r w:rsidR="006C0ADF">
        <w:t>.</w:t>
      </w:r>
    </w:p>
    <w:p w14:paraId="05849E3B" w14:textId="77777777" w:rsidR="004D5A2B" w:rsidRDefault="004D5A2B" w:rsidP="00CF4BB2">
      <w:pPr>
        <w:pStyle w:val="Styl1"/>
        <w:rPr>
          <w:color w:val="FF0000"/>
        </w:rPr>
      </w:pPr>
    </w:p>
    <w:p w14:paraId="42F26BDD" w14:textId="5DC92673" w:rsidR="0019006E" w:rsidRDefault="0019006E" w:rsidP="00255650">
      <w:pPr>
        <w:pStyle w:val="Styl1"/>
        <w:rPr>
          <w:u w:val="single"/>
        </w:rPr>
      </w:pPr>
      <w:r>
        <w:rPr>
          <w:u w:val="single"/>
        </w:rPr>
        <w:t>Příjmy z pronájmu majetku</w:t>
      </w:r>
      <w:r>
        <w:t xml:space="preserve"> jsou rozpočtovány částkou 32 617 tis. Kč, tj. 0,11 % souhrnného ukazatele. Na tvorbě tohoto druhu příjmů se podílí ústřední orgán Ministerstva dopravy částkou 28 217 tis. Kč, což představuje 86,51 % uvedených příjmů, Ředitelství vodních cest ČR částkou 4 300 tis. Kč, tj. 13,18 %, a Státní plavební správa částkou 100 tis. Kč, tj. 0,31 %.</w:t>
      </w:r>
    </w:p>
    <w:p w14:paraId="17EDCF08" w14:textId="353B6730" w:rsidR="00255650" w:rsidRPr="0088307E" w:rsidRDefault="00255650" w:rsidP="00255650">
      <w:pPr>
        <w:pStyle w:val="Styl1"/>
      </w:pPr>
      <w:r w:rsidRPr="0088307E">
        <w:rPr>
          <w:u w:val="single"/>
        </w:rPr>
        <w:t>Výnosy z finančního majetku</w:t>
      </w:r>
      <w:r w:rsidRPr="0088307E">
        <w:t xml:space="preserve"> jsou rozpočtovány ve výši 15 tis. Kč. Jde o přijaté úroky z bankovních účtů, které byly zřízeny k platebním kartám pro pracovní cesty zaměstnanců ministerstva. Tyto příjmy jsou rozpočtovány pouze u ústředního orgánu Ministerstva dopravy. </w:t>
      </w:r>
    </w:p>
    <w:p w14:paraId="192C25AC" w14:textId="05960F63" w:rsidR="00255650" w:rsidRPr="00E8518E" w:rsidRDefault="009B20C1" w:rsidP="00255650">
      <w:pPr>
        <w:pStyle w:val="Styl1"/>
        <w:rPr>
          <w:color w:val="FF0000"/>
        </w:rPr>
      </w:pPr>
      <w:r>
        <w:rPr>
          <w:u w:val="single"/>
        </w:rPr>
        <w:t>Přijaté sankční platby</w:t>
      </w:r>
      <w:r>
        <w:t xml:space="preserve"> jsou rozpočtovány ve výši 1 068 tis. Kč, tj. 0,01 % souhrnného ukazatele. Jde o pokuty udělené za porušení obecně závazných předpisů v rámci činností souvisejících s dopravou. Nejvyšší přijaté sankční platby jsou rozpočtovány u Úřadu pro civilní letectví částkou 400 tis. Kč, což představuje 37,45 % z uvedených příjmů, dále u Drážního úřadu částkou 342 tis. Kč, tj. 32,02 % a v poslední řadě u Ministerstva dopra</w:t>
      </w:r>
      <w:r w:rsidR="005472B1">
        <w:t>vy ve výši 326 tis. Kč, tj. 30,</w:t>
      </w:r>
      <w:r>
        <w:t>52 %.</w:t>
      </w:r>
    </w:p>
    <w:p w14:paraId="4DAE0110" w14:textId="2F3A2312" w:rsidR="00255650" w:rsidRPr="0088307E" w:rsidRDefault="00255650" w:rsidP="00255650">
      <w:pPr>
        <w:pStyle w:val="Styl1"/>
      </w:pPr>
      <w:r w:rsidRPr="0088307E">
        <w:t>Srovnání konstrukce souhrnného ukazatele „Daňové příjmy, nedaňové příjmy, kapitálové příjmy a přijaté transfery celkem“ pro rok 202</w:t>
      </w:r>
      <w:r w:rsidR="00ED54E8" w:rsidRPr="0088307E">
        <w:t>3</w:t>
      </w:r>
      <w:r w:rsidRPr="0088307E">
        <w:t xml:space="preserve"> se schváleným rozpočtem roku 202</w:t>
      </w:r>
      <w:r w:rsidR="00ED54E8" w:rsidRPr="0088307E">
        <w:t>2</w:t>
      </w:r>
      <w:r w:rsidRPr="0088307E">
        <w:t xml:space="preserve"> vyjadřuje následující tabulka.</w:t>
      </w:r>
    </w:p>
    <w:p w14:paraId="276BAAE4" w14:textId="71622802" w:rsidR="00CF4BB2" w:rsidRPr="0088307E" w:rsidRDefault="00CF4BB2" w:rsidP="00CF4BB2">
      <w:pPr>
        <w:pStyle w:val="Titulek"/>
      </w:pPr>
      <w:r w:rsidRPr="0088307E">
        <w:t xml:space="preserve">Tabulka </w:t>
      </w:r>
      <w:proofErr w:type="gramStart"/>
      <w:r w:rsidRPr="0088307E">
        <w:t xml:space="preserve">č. </w:t>
      </w:r>
      <w:fldSimple w:instr=" SEQ Tabulka \* ARABIC ">
        <w:r w:rsidR="00F80947">
          <w:rPr>
            <w:noProof/>
          </w:rPr>
          <w:t>4</w:t>
        </w:r>
      </w:fldSimple>
      <w:r w:rsidRPr="0088307E">
        <w:t xml:space="preserve"> Druhové</w:t>
      </w:r>
      <w:proofErr w:type="gramEnd"/>
      <w:r w:rsidRPr="0088307E">
        <w:t xml:space="preserve"> členění příjmů celkem (v tis. Kč)</w:t>
      </w:r>
    </w:p>
    <w:tbl>
      <w:tblPr>
        <w:tblStyle w:val="Svtltabulkasmkou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5110"/>
        <w:gridCol w:w="1440"/>
        <w:gridCol w:w="1440"/>
        <w:gridCol w:w="1072"/>
      </w:tblGrid>
      <w:tr w:rsidR="00E8518E" w:rsidRPr="00E8518E" w14:paraId="5E0F1E23" w14:textId="77777777" w:rsidTr="00316A6C">
        <w:tc>
          <w:tcPr>
            <w:tcW w:w="511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6887ABC4" w14:textId="77777777" w:rsidR="00635147" w:rsidRPr="0088307E" w:rsidRDefault="00635147" w:rsidP="00316A6C">
            <w:pPr>
              <w:pStyle w:val="Zkladntext"/>
              <w:jc w:val="center"/>
              <w:rPr>
                <w:b/>
              </w:rPr>
            </w:pPr>
            <w:r w:rsidRPr="0088307E">
              <w:rPr>
                <w:b/>
              </w:rPr>
              <w:t>Ukazatel</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37D56E39" w14:textId="77777777" w:rsidR="00635147" w:rsidRPr="0088307E" w:rsidRDefault="00635147" w:rsidP="00316A6C">
            <w:pPr>
              <w:jc w:val="center"/>
              <w:rPr>
                <w:rFonts w:cs="Times New Roman"/>
                <w:b/>
                <w:szCs w:val="24"/>
              </w:rPr>
            </w:pPr>
            <w:r w:rsidRPr="0088307E">
              <w:rPr>
                <w:rFonts w:cs="Times New Roman"/>
                <w:b/>
                <w:szCs w:val="24"/>
              </w:rPr>
              <w:t>Schválený</w:t>
            </w:r>
          </w:p>
          <w:p w14:paraId="11F24964" w14:textId="77777777" w:rsidR="00635147" w:rsidRPr="0088307E" w:rsidRDefault="00635147" w:rsidP="00316A6C">
            <w:pPr>
              <w:jc w:val="center"/>
              <w:rPr>
                <w:rFonts w:cs="Times New Roman"/>
                <w:b/>
                <w:szCs w:val="24"/>
              </w:rPr>
            </w:pPr>
            <w:r w:rsidRPr="0088307E">
              <w:rPr>
                <w:rFonts w:cs="Times New Roman"/>
                <w:b/>
                <w:szCs w:val="24"/>
              </w:rPr>
              <w:t>rozpočet</w:t>
            </w:r>
          </w:p>
          <w:p w14:paraId="16F63C26" w14:textId="646032BE" w:rsidR="00635147" w:rsidRPr="0088307E" w:rsidRDefault="00635147">
            <w:pPr>
              <w:jc w:val="center"/>
              <w:rPr>
                <w:rFonts w:cs="Times New Roman"/>
                <w:b/>
                <w:szCs w:val="24"/>
              </w:rPr>
            </w:pPr>
            <w:r w:rsidRPr="0088307E">
              <w:rPr>
                <w:rFonts w:cs="Times New Roman"/>
                <w:b/>
                <w:szCs w:val="24"/>
              </w:rPr>
              <w:t>202</w:t>
            </w:r>
            <w:r w:rsidR="00ED54E8" w:rsidRPr="0088307E">
              <w:rPr>
                <w:rFonts w:cs="Times New Roman"/>
                <w:b/>
                <w:szCs w:val="24"/>
              </w:rPr>
              <w:t>2</w:t>
            </w:r>
          </w:p>
        </w:tc>
        <w:tc>
          <w:tcPr>
            <w:tcW w:w="1440"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7F6E47D5" w14:textId="77777777" w:rsidR="00635147" w:rsidRPr="0088307E" w:rsidRDefault="00635147" w:rsidP="00316A6C">
            <w:pPr>
              <w:jc w:val="center"/>
              <w:rPr>
                <w:rFonts w:cs="Times New Roman"/>
                <w:b/>
                <w:szCs w:val="24"/>
              </w:rPr>
            </w:pPr>
            <w:r w:rsidRPr="0088307E">
              <w:rPr>
                <w:rFonts w:cs="Times New Roman"/>
                <w:b/>
                <w:szCs w:val="24"/>
              </w:rPr>
              <w:t>Návrh</w:t>
            </w:r>
          </w:p>
          <w:p w14:paraId="44C6A1E7" w14:textId="77777777" w:rsidR="00635147" w:rsidRPr="0088307E" w:rsidRDefault="00635147" w:rsidP="00316A6C">
            <w:pPr>
              <w:jc w:val="center"/>
              <w:rPr>
                <w:rFonts w:cs="Times New Roman"/>
                <w:b/>
                <w:szCs w:val="24"/>
              </w:rPr>
            </w:pPr>
            <w:r w:rsidRPr="0088307E">
              <w:rPr>
                <w:rFonts w:cs="Times New Roman"/>
                <w:b/>
                <w:szCs w:val="24"/>
              </w:rPr>
              <w:t>rozpočtu</w:t>
            </w:r>
          </w:p>
          <w:p w14:paraId="133DE793" w14:textId="59878E9F" w:rsidR="00635147" w:rsidRPr="0088307E" w:rsidRDefault="00635147" w:rsidP="00316A6C">
            <w:pPr>
              <w:jc w:val="center"/>
              <w:rPr>
                <w:rFonts w:cs="Times New Roman"/>
                <w:b/>
                <w:szCs w:val="24"/>
              </w:rPr>
            </w:pPr>
            <w:r w:rsidRPr="0088307E">
              <w:rPr>
                <w:rFonts w:cs="Times New Roman"/>
                <w:b/>
                <w:szCs w:val="24"/>
              </w:rPr>
              <w:t>202</w:t>
            </w:r>
            <w:r w:rsidR="00ED54E8" w:rsidRPr="0088307E">
              <w:rPr>
                <w:rFonts w:cs="Times New Roman"/>
                <w:b/>
                <w:szCs w:val="24"/>
              </w:rPr>
              <w:t>3</w:t>
            </w:r>
          </w:p>
        </w:tc>
        <w:tc>
          <w:tcPr>
            <w:tcW w:w="1072"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48E99EE9" w14:textId="77777777" w:rsidR="00635147" w:rsidRPr="0088307E" w:rsidRDefault="00635147" w:rsidP="00316A6C">
            <w:pPr>
              <w:jc w:val="center"/>
              <w:rPr>
                <w:rFonts w:cs="Times New Roman"/>
                <w:b/>
                <w:szCs w:val="24"/>
              </w:rPr>
            </w:pPr>
            <w:r w:rsidRPr="0088307E">
              <w:rPr>
                <w:rFonts w:cs="Times New Roman"/>
                <w:b/>
                <w:szCs w:val="24"/>
              </w:rPr>
              <w:t>Index</w:t>
            </w:r>
          </w:p>
          <w:p w14:paraId="45822670" w14:textId="3977C77B" w:rsidR="00635147" w:rsidRPr="0088307E" w:rsidRDefault="00635147" w:rsidP="00316A6C">
            <w:pPr>
              <w:jc w:val="center"/>
              <w:rPr>
                <w:rFonts w:cs="Times New Roman"/>
                <w:b/>
                <w:szCs w:val="24"/>
              </w:rPr>
            </w:pPr>
            <w:r w:rsidRPr="0088307E">
              <w:rPr>
                <w:rFonts w:cs="Times New Roman"/>
                <w:b/>
                <w:szCs w:val="24"/>
              </w:rPr>
              <w:t>202</w:t>
            </w:r>
            <w:r w:rsidR="00ED54E8" w:rsidRPr="0088307E">
              <w:rPr>
                <w:rFonts w:cs="Times New Roman"/>
                <w:b/>
                <w:szCs w:val="24"/>
              </w:rPr>
              <w:t>3</w:t>
            </w:r>
            <w:r w:rsidRPr="0088307E">
              <w:rPr>
                <w:rFonts w:cs="Times New Roman"/>
                <w:b/>
                <w:szCs w:val="24"/>
              </w:rPr>
              <w:t>/</w:t>
            </w:r>
            <w:r w:rsidRPr="0088307E">
              <w:rPr>
                <w:rFonts w:cs="Times New Roman"/>
                <w:b/>
                <w:szCs w:val="24"/>
              </w:rPr>
              <w:br/>
              <w:t>202</w:t>
            </w:r>
            <w:r w:rsidR="00ED54E8" w:rsidRPr="0088307E">
              <w:rPr>
                <w:rFonts w:cs="Times New Roman"/>
                <w:b/>
                <w:szCs w:val="24"/>
              </w:rPr>
              <w:t>2</w:t>
            </w:r>
          </w:p>
          <w:p w14:paraId="2D096FB4" w14:textId="77777777" w:rsidR="00635147" w:rsidRPr="0088307E" w:rsidRDefault="00635147" w:rsidP="00316A6C">
            <w:pPr>
              <w:jc w:val="center"/>
              <w:rPr>
                <w:rFonts w:cs="Times New Roman"/>
                <w:b/>
                <w:szCs w:val="24"/>
              </w:rPr>
            </w:pPr>
            <w:r w:rsidRPr="0088307E">
              <w:rPr>
                <w:rFonts w:cs="Times New Roman"/>
                <w:b/>
                <w:szCs w:val="24"/>
              </w:rPr>
              <w:t>(v %)</w:t>
            </w:r>
          </w:p>
        </w:tc>
      </w:tr>
      <w:tr w:rsidR="00E8518E" w:rsidRPr="00E8518E" w14:paraId="7D6B73BA" w14:textId="77777777" w:rsidTr="00316A6C">
        <w:tc>
          <w:tcPr>
            <w:tcW w:w="5110" w:type="dxa"/>
            <w:tcBorders>
              <w:top w:val="single" w:sz="8" w:space="0" w:color="7F7F7F" w:themeColor="text1" w:themeTint="80"/>
              <w:bottom w:val="single" w:sz="8" w:space="0" w:color="7F7F7F" w:themeColor="text1" w:themeTint="80"/>
            </w:tcBorders>
          </w:tcPr>
          <w:p w14:paraId="05040514" w14:textId="77777777" w:rsidR="00635147" w:rsidRPr="0088307E" w:rsidRDefault="00635147" w:rsidP="00316A6C">
            <w:pPr>
              <w:jc w:val="left"/>
              <w:rPr>
                <w:rFonts w:cs="Times New Roman"/>
                <w:b/>
                <w:szCs w:val="24"/>
              </w:rPr>
            </w:pPr>
            <w:r w:rsidRPr="0088307E">
              <w:rPr>
                <w:rFonts w:cs="Times New Roman"/>
                <w:b/>
                <w:szCs w:val="24"/>
              </w:rPr>
              <w:t xml:space="preserve">Daňové příjmy, nedaňové příjmy, kapitálové příjmy a přijaté transfery celkem </w:t>
            </w:r>
            <w:r w:rsidRPr="0088307E">
              <w:rPr>
                <w:rFonts w:cs="Times New Roman"/>
              </w:rPr>
              <w:t>v tom:</w:t>
            </w:r>
          </w:p>
        </w:tc>
        <w:tc>
          <w:tcPr>
            <w:tcW w:w="1440" w:type="dxa"/>
            <w:tcBorders>
              <w:top w:val="single" w:sz="8" w:space="0" w:color="7F7F7F" w:themeColor="text1" w:themeTint="80"/>
              <w:bottom w:val="single" w:sz="8" w:space="0" w:color="7F7F7F" w:themeColor="text1" w:themeTint="80"/>
            </w:tcBorders>
            <w:vAlign w:val="center"/>
          </w:tcPr>
          <w:p w14:paraId="06437403" w14:textId="432C93F9" w:rsidR="00635147" w:rsidRPr="00E8518E" w:rsidRDefault="00B2724C">
            <w:pPr>
              <w:pStyle w:val="Zkladntext"/>
              <w:spacing w:before="81"/>
              <w:jc w:val="right"/>
              <w:rPr>
                <w:b/>
                <w:bCs w:val="0"/>
                <w:color w:val="FF0000"/>
              </w:rPr>
            </w:pPr>
            <w:r w:rsidRPr="0088307E">
              <w:rPr>
                <w:b/>
                <w:bCs w:val="0"/>
              </w:rPr>
              <w:t>48 755 702</w:t>
            </w:r>
          </w:p>
        </w:tc>
        <w:tc>
          <w:tcPr>
            <w:tcW w:w="1440" w:type="dxa"/>
            <w:tcBorders>
              <w:top w:val="single" w:sz="8" w:space="0" w:color="7F7F7F" w:themeColor="text1" w:themeTint="80"/>
              <w:bottom w:val="single" w:sz="8" w:space="0" w:color="7F7F7F" w:themeColor="text1" w:themeTint="80"/>
            </w:tcBorders>
            <w:vAlign w:val="center"/>
          </w:tcPr>
          <w:p w14:paraId="64C63CDA" w14:textId="20358C94" w:rsidR="00635147" w:rsidRPr="00E8518E" w:rsidRDefault="0000322C" w:rsidP="00316A6C">
            <w:pPr>
              <w:pStyle w:val="Zkladntext"/>
              <w:spacing w:before="81"/>
              <w:jc w:val="right"/>
              <w:rPr>
                <w:b/>
                <w:bCs w:val="0"/>
                <w:color w:val="FF0000"/>
              </w:rPr>
            </w:pPr>
            <w:r w:rsidRPr="0088307E">
              <w:rPr>
                <w:b/>
                <w:bCs w:val="0"/>
              </w:rPr>
              <w:t>29 053 763</w:t>
            </w:r>
          </w:p>
        </w:tc>
        <w:tc>
          <w:tcPr>
            <w:tcW w:w="1072" w:type="dxa"/>
            <w:tcBorders>
              <w:top w:val="single" w:sz="8" w:space="0" w:color="7F7F7F" w:themeColor="text1" w:themeTint="80"/>
              <w:bottom w:val="single" w:sz="8" w:space="0" w:color="7F7F7F" w:themeColor="text1" w:themeTint="80"/>
            </w:tcBorders>
            <w:vAlign w:val="center"/>
          </w:tcPr>
          <w:p w14:paraId="24196604" w14:textId="415ECA6E" w:rsidR="00635147" w:rsidRPr="00E8518E" w:rsidRDefault="007233F6" w:rsidP="00316A6C">
            <w:pPr>
              <w:pStyle w:val="Zkladntext"/>
              <w:spacing w:before="81"/>
              <w:jc w:val="right"/>
              <w:rPr>
                <w:b/>
                <w:bCs w:val="0"/>
                <w:color w:val="FF0000"/>
              </w:rPr>
            </w:pPr>
            <w:r w:rsidRPr="0088307E">
              <w:rPr>
                <w:b/>
                <w:bCs w:val="0"/>
              </w:rPr>
              <w:t>59,59</w:t>
            </w:r>
          </w:p>
        </w:tc>
      </w:tr>
      <w:tr w:rsidR="00E8518E" w:rsidRPr="00E8518E" w14:paraId="2BCEBD94" w14:textId="77777777" w:rsidTr="00316A6C">
        <w:tc>
          <w:tcPr>
            <w:tcW w:w="5110" w:type="dxa"/>
          </w:tcPr>
          <w:p w14:paraId="1E43A354" w14:textId="77777777" w:rsidR="00635147" w:rsidRPr="0088307E" w:rsidRDefault="00635147" w:rsidP="00316A6C">
            <w:pPr>
              <w:rPr>
                <w:rFonts w:cs="Times New Roman"/>
                <w:szCs w:val="24"/>
              </w:rPr>
            </w:pPr>
            <w:r w:rsidRPr="0088307E">
              <w:rPr>
                <w:rFonts w:cs="Times New Roman"/>
                <w:szCs w:val="24"/>
              </w:rPr>
              <w:t>správní poplatky</w:t>
            </w:r>
          </w:p>
        </w:tc>
        <w:tc>
          <w:tcPr>
            <w:tcW w:w="1440" w:type="dxa"/>
            <w:vAlign w:val="center"/>
          </w:tcPr>
          <w:p w14:paraId="23DD91A1" w14:textId="77777777" w:rsidR="00635147" w:rsidRPr="00E8518E" w:rsidRDefault="00635147" w:rsidP="00316A6C">
            <w:pPr>
              <w:pStyle w:val="Zkladntext"/>
              <w:jc w:val="right"/>
              <w:rPr>
                <w:color w:val="FF0000"/>
              </w:rPr>
            </w:pPr>
            <w:r w:rsidRPr="0088307E">
              <w:t>185 000</w:t>
            </w:r>
          </w:p>
        </w:tc>
        <w:tc>
          <w:tcPr>
            <w:tcW w:w="1440" w:type="dxa"/>
            <w:vAlign w:val="center"/>
          </w:tcPr>
          <w:p w14:paraId="0628853D" w14:textId="77777777" w:rsidR="00635147" w:rsidRPr="00E8518E" w:rsidRDefault="00635147" w:rsidP="00316A6C">
            <w:pPr>
              <w:pStyle w:val="Zkladntext"/>
              <w:jc w:val="right"/>
              <w:rPr>
                <w:color w:val="FF0000"/>
              </w:rPr>
            </w:pPr>
            <w:r w:rsidRPr="0088307E">
              <w:t>185 000</w:t>
            </w:r>
          </w:p>
        </w:tc>
        <w:tc>
          <w:tcPr>
            <w:tcW w:w="1072" w:type="dxa"/>
            <w:vAlign w:val="center"/>
          </w:tcPr>
          <w:p w14:paraId="5B8C2E08" w14:textId="77777777" w:rsidR="00635147" w:rsidRPr="00E8518E" w:rsidRDefault="00635147" w:rsidP="00316A6C">
            <w:pPr>
              <w:pStyle w:val="Zkladntext"/>
              <w:jc w:val="right"/>
              <w:rPr>
                <w:color w:val="FF0000"/>
              </w:rPr>
            </w:pPr>
            <w:r w:rsidRPr="0088307E">
              <w:t xml:space="preserve">100,00 </w:t>
            </w:r>
          </w:p>
        </w:tc>
      </w:tr>
      <w:tr w:rsidR="00E8518E" w:rsidRPr="00E8518E" w14:paraId="1C0C7B49" w14:textId="77777777" w:rsidTr="00316A6C">
        <w:tc>
          <w:tcPr>
            <w:tcW w:w="5110" w:type="dxa"/>
          </w:tcPr>
          <w:p w14:paraId="354B93FC" w14:textId="77777777" w:rsidR="00635147" w:rsidRPr="0088307E" w:rsidRDefault="00635147" w:rsidP="00316A6C">
            <w:pPr>
              <w:ind w:left="122" w:hanging="122"/>
              <w:rPr>
                <w:rFonts w:cs="Times New Roman"/>
                <w:szCs w:val="24"/>
              </w:rPr>
            </w:pPr>
            <w:r w:rsidRPr="0088307E">
              <w:rPr>
                <w:rFonts w:cs="Times New Roman"/>
                <w:szCs w:val="24"/>
              </w:rPr>
              <w:t>příjmy z vlastní činnosti</w:t>
            </w:r>
          </w:p>
        </w:tc>
        <w:tc>
          <w:tcPr>
            <w:tcW w:w="1440" w:type="dxa"/>
            <w:vAlign w:val="center"/>
          </w:tcPr>
          <w:p w14:paraId="2F78ED62" w14:textId="6C88AE6E" w:rsidR="00635147" w:rsidRPr="00E8518E" w:rsidRDefault="00B2724C">
            <w:pPr>
              <w:pStyle w:val="Zkladntext"/>
              <w:jc w:val="right"/>
              <w:rPr>
                <w:color w:val="FF0000"/>
              </w:rPr>
            </w:pPr>
            <w:r w:rsidRPr="0088307E">
              <w:t>3 200</w:t>
            </w:r>
          </w:p>
        </w:tc>
        <w:tc>
          <w:tcPr>
            <w:tcW w:w="1440" w:type="dxa"/>
            <w:vAlign w:val="center"/>
          </w:tcPr>
          <w:p w14:paraId="4D37A357" w14:textId="5298B54F" w:rsidR="00635147" w:rsidRPr="00E8518E" w:rsidRDefault="0000322C">
            <w:pPr>
              <w:pStyle w:val="Zkladntext"/>
              <w:jc w:val="right"/>
              <w:rPr>
                <w:color w:val="FF0000"/>
              </w:rPr>
            </w:pPr>
            <w:r w:rsidRPr="0088307E">
              <w:t>48 300</w:t>
            </w:r>
          </w:p>
        </w:tc>
        <w:tc>
          <w:tcPr>
            <w:tcW w:w="1072" w:type="dxa"/>
            <w:vAlign w:val="center"/>
          </w:tcPr>
          <w:p w14:paraId="6A82192B" w14:textId="47708193" w:rsidR="00635147" w:rsidRPr="00E8518E" w:rsidRDefault="0000322C">
            <w:pPr>
              <w:pStyle w:val="Zkladntext"/>
              <w:jc w:val="right"/>
              <w:rPr>
                <w:color w:val="FF0000"/>
              </w:rPr>
            </w:pPr>
            <w:r w:rsidRPr="0088307E">
              <w:t>1 509,38</w:t>
            </w:r>
          </w:p>
        </w:tc>
      </w:tr>
      <w:tr w:rsidR="00E8518E" w:rsidRPr="00E8518E" w14:paraId="30E33A7F" w14:textId="77777777" w:rsidTr="00316A6C">
        <w:tc>
          <w:tcPr>
            <w:tcW w:w="5110" w:type="dxa"/>
          </w:tcPr>
          <w:p w14:paraId="25E2723E" w14:textId="77777777" w:rsidR="00635147" w:rsidRPr="0088307E" w:rsidRDefault="00635147" w:rsidP="00316A6C">
            <w:pPr>
              <w:ind w:left="122" w:hanging="122"/>
              <w:rPr>
                <w:rFonts w:cs="Times New Roman"/>
                <w:szCs w:val="24"/>
              </w:rPr>
            </w:pPr>
            <w:r w:rsidRPr="0088307E">
              <w:rPr>
                <w:rFonts w:cs="Times New Roman"/>
                <w:szCs w:val="24"/>
              </w:rPr>
              <w:t>příjmy z pronájmu majetku</w:t>
            </w:r>
          </w:p>
        </w:tc>
        <w:tc>
          <w:tcPr>
            <w:tcW w:w="1440" w:type="dxa"/>
            <w:vAlign w:val="center"/>
          </w:tcPr>
          <w:p w14:paraId="7B457C60" w14:textId="4227B121" w:rsidR="00635147" w:rsidRPr="00E8518E" w:rsidRDefault="00B2724C">
            <w:pPr>
              <w:pStyle w:val="Zkladntext"/>
              <w:jc w:val="right"/>
              <w:rPr>
                <w:color w:val="FF0000"/>
              </w:rPr>
            </w:pPr>
            <w:r w:rsidRPr="0088307E">
              <w:t>34 617</w:t>
            </w:r>
          </w:p>
        </w:tc>
        <w:tc>
          <w:tcPr>
            <w:tcW w:w="1440" w:type="dxa"/>
            <w:vAlign w:val="center"/>
          </w:tcPr>
          <w:p w14:paraId="33C1767F" w14:textId="07C318D5" w:rsidR="00635147" w:rsidRPr="00E8518E" w:rsidRDefault="00635147" w:rsidP="00316A6C">
            <w:pPr>
              <w:pStyle w:val="Zkladntext"/>
              <w:jc w:val="right"/>
              <w:rPr>
                <w:color w:val="FF0000"/>
              </w:rPr>
            </w:pPr>
            <w:r w:rsidRPr="0088307E">
              <w:t>3</w:t>
            </w:r>
            <w:r w:rsidR="0000322C" w:rsidRPr="0088307E">
              <w:t>2 6</w:t>
            </w:r>
            <w:r w:rsidRPr="0088307E">
              <w:t>17</w:t>
            </w:r>
          </w:p>
        </w:tc>
        <w:tc>
          <w:tcPr>
            <w:tcW w:w="1072" w:type="dxa"/>
            <w:vAlign w:val="center"/>
          </w:tcPr>
          <w:p w14:paraId="1FEBB749" w14:textId="629C4EB0" w:rsidR="00635147" w:rsidRPr="00E8518E" w:rsidRDefault="0000322C">
            <w:pPr>
              <w:pStyle w:val="Zkladntext"/>
              <w:jc w:val="right"/>
              <w:rPr>
                <w:color w:val="FF0000"/>
              </w:rPr>
            </w:pPr>
            <w:r w:rsidRPr="0088307E">
              <w:t>94,22</w:t>
            </w:r>
          </w:p>
        </w:tc>
      </w:tr>
      <w:tr w:rsidR="00E8518E" w:rsidRPr="00E8518E" w14:paraId="054ED5E5" w14:textId="77777777" w:rsidTr="00316A6C">
        <w:tc>
          <w:tcPr>
            <w:tcW w:w="5110" w:type="dxa"/>
          </w:tcPr>
          <w:p w14:paraId="1847DED9" w14:textId="77777777" w:rsidR="00635147" w:rsidRPr="0088307E" w:rsidRDefault="00635147" w:rsidP="00316A6C">
            <w:pPr>
              <w:ind w:left="122" w:hanging="122"/>
              <w:rPr>
                <w:rFonts w:cs="Times New Roman"/>
                <w:szCs w:val="24"/>
              </w:rPr>
            </w:pPr>
            <w:r w:rsidRPr="0088307E">
              <w:rPr>
                <w:rFonts w:cs="Times New Roman"/>
                <w:szCs w:val="24"/>
              </w:rPr>
              <w:t>výnosy z finančního majetku</w:t>
            </w:r>
          </w:p>
        </w:tc>
        <w:tc>
          <w:tcPr>
            <w:tcW w:w="1440" w:type="dxa"/>
            <w:vAlign w:val="center"/>
          </w:tcPr>
          <w:p w14:paraId="183CF3F7" w14:textId="77777777" w:rsidR="00635147" w:rsidRPr="0088307E" w:rsidRDefault="00635147" w:rsidP="00316A6C">
            <w:pPr>
              <w:pStyle w:val="Zkladntext"/>
              <w:jc w:val="right"/>
              <w:rPr>
                <w:bCs w:val="0"/>
              </w:rPr>
            </w:pPr>
            <w:r w:rsidRPr="0088307E">
              <w:rPr>
                <w:bCs w:val="0"/>
              </w:rPr>
              <w:t>15</w:t>
            </w:r>
          </w:p>
        </w:tc>
        <w:tc>
          <w:tcPr>
            <w:tcW w:w="1440" w:type="dxa"/>
            <w:tcBorders>
              <w:bottom w:val="single" w:sz="4" w:space="0" w:color="7F7F7F" w:themeColor="text1" w:themeTint="80"/>
            </w:tcBorders>
            <w:vAlign w:val="center"/>
          </w:tcPr>
          <w:p w14:paraId="756808FE" w14:textId="77777777" w:rsidR="00635147" w:rsidRPr="0088307E" w:rsidRDefault="00635147" w:rsidP="00316A6C">
            <w:pPr>
              <w:pStyle w:val="Zkladntext"/>
              <w:jc w:val="right"/>
              <w:rPr>
                <w:bCs w:val="0"/>
              </w:rPr>
            </w:pPr>
            <w:r w:rsidRPr="0088307E">
              <w:rPr>
                <w:bCs w:val="0"/>
              </w:rPr>
              <w:t>15</w:t>
            </w:r>
          </w:p>
        </w:tc>
        <w:tc>
          <w:tcPr>
            <w:tcW w:w="1072" w:type="dxa"/>
            <w:vAlign w:val="center"/>
          </w:tcPr>
          <w:p w14:paraId="332DF64E" w14:textId="77777777" w:rsidR="00635147" w:rsidRPr="0088307E" w:rsidRDefault="00635147" w:rsidP="00316A6C">
            <w:pPr>
              <w:pStyle w:val="Zkladntext"/>
              <w:jc w:val="right"/>
            </w:pPr>
            <w:r w:rsidRPr="0088307E">
              <w:t>100,00</w:t>
            </w:r>
          </w:p>
        </w:tc>
      </w:tr>
      <w:tr w:rsidR="00E8518E" w:rsidRPr="00E8518E" w14:paraId="74082D7E" w14:textId="77777777" w:rsidTr="00316A6C">
        <w:tc>
          <w:tcPr>
            <w:tcW w:w="5110" w:type="dxa"/>
          </w:tcPr>
          <w:p w14:paraId="3C707793" w14:textId="77777777" w:rsidR="00635147" w:rsidRPr="0088307E" w:rsidRDefault="00635147" w:rsidP="00316A6C">
            <w:pPr>
              <w:ind w:left="122" w:hanging="122"/>
              <w:rPr>
                <w:rFonts w:cs="Times New Roman"/>
                <w:bCs/>
                <w:szCs w:val="24"/>
              </w:rPr>
            </w:pPr>
            <w:r w:rsidRPr="0088307E">
              <w:rPr>
                <w:rFonts w:cs="Times New Roman"/>
                <w:bCs/>
                <w:szCs w:val="24"/>
              </w:rPr>
              <w:t>přijaté sankční platby</w:t>
            </w:r>
          </w:p>
        </w:tc>
        <w:tc>
          <w:tcPr>
            <w:tcW w:w="1440" w:type="dxa"/>
            <w:vAlign w:val="center"/>
          </w:tcPr>
          <w:p w14:paraId="41A823E2" w14:textId="77777777" w:rsidR="00635147" w:rsidRPr="00E8518E" w:rsidRDefault="00635147" w:rsidP="00316A6C">
            <w:pPr>
              <w:pStyle w:val="Zkladntext"/>
              <w:jc w:val="right"/>
              <w:rPr>
                <w:bCs w:val="0"/>
                <w:color w:val="FF0000"/>
              </w:rPr>
            </w:pPr>
            <w:r w:rsidRPr="0088307E">
              <w:rPr>
                <w:bCs w:val="0"/>
              </w:rPr>
              <w:t>1 068</w:t>
            </w:r>
          </w:p>
        </w:tc>
        <w:tc>
          <w:tcPr>
            <w:tcW w:w="1440" w:type="dxa"/>
            <w:vAlign w:val="center"/>
          </w:tcPr>
          <w:p w14:paraId="6A757B00" w14:textId="77777777" w:rsidR="00635147" w:rsidRPr="0088307E" w:rsidRDefault="00635147" w:rsidP="00316A6C">
            <w:pPr>
              <w:pStyle w:val="Zkladntext"/>
              <w:jc w:val="right"/>
              <w:rPr>
                <w:bCs w:val="0"/>
              </w:rPr>
            </w:pPr>
            <w:r w:rsidRPr="0088307E">
              <w:rPr>
                <w:bCs w:val="0"/>
              </w:rPr>
              <w:t>1 068</w:t>
            </w:r>
          </w:p>
        </w:tc>
        <w:tc>
          <w:tcPr>
            <w:tcW w:w="1072" w:type="dxa"/>
            <w:vAlign w:val="center"/>
          </w:tcPr>
          <w:p w14:paraId="37FCB067" w14:textId="77777777" w:rsidR="00635147" w:rsidRPr="0088307E" w:rsidRDefault="00635147" w:rsidP="00316A6C">
            <w:pPr>
              <w:pStyle w:val="Zkladntext"/>
              <w:jc w:val="right"/>
              <w:rPr>
                <w:bCs w:val="0"/>
              </w:rPr>
            </w:pPr>
            <w:r w:rsidRPr="0088307E">
              <w:rPr>
                <w:bCs w:val="0"/>
              </w:rPr>
              <w:t>100,00</w:t>
            </w:r>
          </w:p>
        </w:tc>
      </w:tr>
      <w:tr w:rsidR="007233F6" w:rsidRPr="007233F6" w14:paraId="0ABD20E4" w14:textId="77777777" w:rsidTr="00316A6C">
        <w:tc>
          <w:tcPr>
            <w:tcW w:w="5110" w:type="dxa"/>
          </w:tcPr>
          <w:p w14:paraId="78C61EF3" w14:textId="77777777" w:rsidR="00635147" w:rsidRPr="0088307E" w:rsidRDefault="00635147" w:rsidP="00316A6C">
            <w:pPr>
              <w:ind w:left="122" w:hanging="122"/>
              <w:rPr>
                <w:rFonts w:cs="Times New Roman"/>
                <w:bCs/>
                <w:szCs w:val="24"/>
              </w:rPr>
            </w:pPr>
            <w:r w:rsidRPr="0088307E">
              <w:rPr>
                <w:rFonts w:cs="Times New Roman"/>
                <w:bCs/>
                <w:szCs w:val="24"/>
              </w:rPr>
              <w:t>neinvestiční převody z Národního fondu</w:t>
            </w:r>
          </w:p>
        </w:tc>
        <w:tc>
          <w:tcPr>
            <w:tcW w:w="1440" w:type="dxa"/>
            <w:vAlign w:val="center"/>
          </w:tcPr>
          <w:p w14:paraId="639E4AEF" w14:textId="21838F54" w:rsidR="00635147" w:rsidRPr="00E8518E" w:rsidRDefault="005D0B98">
            <w:pPr>
              <w:pStyle w:val="Zkladntext"/>
              <w:jc w:val="right"/>
              <w:rPr>
                <w:bCs w:val="0"/>
                <w:color w:val="FF0000"/>
              </w:rPr>
            </w:pPr>
            <w:r w:rsidRPr="0088307E">
              <w:rPr>
                <w:bCs w:val="0"/>
              </w:rPr>
              <w:t>66 835</w:t>
            </w:r>
          </w:p>
        </w:tc>
        <w:tc>
          <w:tcPr>
            <w:tcW w:w="1440" w:type="dxa"/>
            <w:vAlign w:val="center"/>
          </w:tcPr>
          <w:p w14:paraId="4AAD9A00" w14:textId="5A18DFC6" w:rsidR="00635147" w:rsidRPr="0088307E" w:rsidRDefault="007233F6">
            <w:pPr>
              <w:pStyle w:val="Zkladntext"/>
              <w:jc w:val="right"/>
              <w:rPr>
                <w:bCs w:val="0"/>
              </w:rPr>
            </w:pPr>
            <w:r w:rsidRPr="0088307E">
              <w:rPr>
                <w:bCs w:val="0"/>
              </w:rPr>
              <w:t>86 458</w:t>
            </w:r>
          </w:p>
        </w:tc>
        <w:tc>
          <w:tcPr>
            <w:tcW w:w="1072" w:type="dxa"/>
            <w:vAlign w:val="center"/>
          </w:tcPr>
          <w:p w14:paraId="00F9D06A" w14:textId="074DA146" w:rsidR="00635147" w:rsidRPr="0088307E" w:rsidRDefault="007233F6">
            <w:pPr>
              <w:pStyle w:val="Zkladntext"/>
              <w:jc w:val="right"/>
              <w:rPr>
                <w:bCs w:val="0"/>
              </w:rPr>
            </w:pPr>
            <w:r w:rsidRPr="0088307E">
              <w:rPr>
                <w:bCs w:val="0"/>
              </w:rPr>
              <w:t>129,36</w:t>
            </w:r>
          </w:p>
        </w:tc>
      </w:tr>
      <w:tr w:rsidR="00E8518E" w:rsidRPr="00E8518E" w14:paraId="02BC10DB" w14:textId="77777777" w:rsidTr="00316A6C">
        <w:tc>
          <w:tcPr>
            <w:tcW w:w="5110" w:type="dxa"/>
          </w:tcPr>
          <w:p w14:paraId="14A38F04" w14:textId="77777777" w:rsidR="00635147" w:rsidRPr="0088307E" w:rsidRDefault="00635147" w:rsidP="00316A6C">
            <w:pPr>
              <w:rPr>
                <w:rFonts w:cs="Times New Roman"/>
                <w:bCs/>
                <w:szCs w:val="24"/>
              </w:rPr>
            </w:pPr>
            <w:r w:rsidRPr="0088307E">
              <w:rPr>
                <w:rFonts w:cs="Times New Roman"/>
                <w:bCs/>
                <w:szCs w:val="24"/>
              </w:rPr>
              <w:t>neinvestiční transfery přijaté od Evropské unie</w:t>
            </w:r>
          </w:p>
        </w:tc>
        <w:tc>
          <w:tcPr>
            <w:tcW w:w="1440" w:type="dxa"/>
            <w:vAlign w:val="center"/>
          </w:tcPr>
          <w:p w14:paraId="61B256AB" w14:textId="4830B4F3" w:rsidR="00635147" w:rsidRPr="00E8518E" w:rsidRDefault="005D0B98">
            <w:pPr>
              <w:pStyle w:val="Zkladntext"/>
              <w:jc w:val="right"/>
              <w:rPr>
                <w:bCs w:val="0"/>
                <w:color w:val="FF0000"/>
              </w:rPr>
            </w:pPr>
            <w:r w:rsidRPr="0088307E">
              <w:rPr>
                <w:bCs w:val="0"/>
              </w:rPr>
              <w:t>7 900</w:t>
            </w:r>
          </w:p>
        </w:tc>
        <w:tc>
          <w:tcPr>
            <w:tcW w:w="1440" w:type="dxa"/>
            <w:vAlign w:val="center"/>
          </w:tcPr>
          <w:p w14:paraId="11B3C7E3" w14:textId="0F9AA2CD" w:rsidR="00635147" w:rsidRPr="00E8518E" w:rsidRDefault="007233F6">
            <w:pPr>
              <w:pStyle w:val="Zkladntext"/>
              <w:jc w:val="right"/>
              <w:rPr>
                <w:bCs w:val="0"/>
                <w:color w:val="FF0000"/>
              </w:rPr>
            </w:pPr>
            <w:r w:rsidRPr="0088307E">
              <w:rPr>
                <w:bCs w:val="0"/>
              </w:rPr>
              <w:t>553 576</w:t>
            </w:r>
          </w:p>
        </w:tc>
        <w:tc>
          <w:tcPr>
            <w:tcW w:w="1072" w:type="dxa"/>
            <w:vAlign w:val="center"/>
          </w:tcPr>
          <w:p w14:paraId="3907FE85" w14:textId="3A6441C1" w:rsidR="00635147" w:rsidRPr="00E8518E" w:rsidRDefault="007233F6">
            <w:pPr>
              <w:pStyle w:val="Zkladntext"/>
              <w:jc w:val="right"/>
              <w:rPr>
                <w:bCs w:val="0"/>
                <w:color w:val="FF0000"/>
              </w:rPr>
            </w:pPr>
            <w:r w:rsidRPr="0088307E">
              <w:rPr>
                <w:bCs w:val="0"/>
              </w:rPr>
              <w:t>7 007,29</w:t>
            </w:r>
          </w:p>
        </w:tc>
      </w:tr>
      <w:tr w:rsidR="00E8518E" w:rsidRPr="00E8518E" w14:paraId="261463E3" w14:textId="77777777" w:rsidTr="00316A6C">
        <w:tc>
          <w:tcPr>
            <w:tcW w:w="5110" w:type="dxa"/>
          </w:tcPr>
          <w:p w14:paraId="03DF618D" w14:textId="77777777" w:rsidR="00635147" w:rsidRPr="0088307E" w:rsidRDefault="00635147" w:rsidP="00316A6C">
            <w:pPr>
              <w:rPr>
                <w:rFonts w:cs="Times New Roman"/>
                <w:b/>
                <w:bCs/>
                <w:szCs w:val="24"/>
              </w:rPr>
            </w:pPr>
            <w:r w:rsidRPr="0088307E">
              <w:rPr>
                <w:rFonts w:cs="Times New Roman"/>
                <w:bCs/>
                <w:szCs w:val="24"/>
              </w:rPr>
              <w:t>investiční převody z Národního fondu</w:t>
            </w:r>
          </w:p>
        </w:tc>
        <w:tc>
          <w:tcPr>
            <w:tcW w:w="1440" w:type="dxa"/>
            <w:vAlign w:val="center"/>
          </w:tcPr>
          <w:p w14:paraId="2BAE1659" w14:textId="333B5431" w:rsidR="00635147" w:rsidRPr="00E8518E" w:rsidRDefault="005D0B98">
            <w:pPr>
              <w:pStyle w:val="Zkladntext"/>
              <w:jc w:val="right"/>
              <w:rPr>
                <w:bCs w:val="0"/>
                <w:color w:val="FF0000"/>
              </w:rPr>
            </w:pPr>
            <w:r w:rsidRPr="0088307E">
              <w:rPr>
                <w:bCs w:val="0"/>
              </w:rPr>
              <w:t>32 558 523</w:t>
            </w:r>
          </w:p>
        </w:tc>
        <w:tc>
          <w:tcPr>
            <w:tcW w:w="1440" w:type="dxa"/>
            <w:vAlign w:val="center"/>
          </w:tcPr>
          <w:p w14:paraId="509C20AD" w14:textId="0619B5CB" w:rsidR="00635147" w:rsidRPr="0088307E" w:rsidRDefault="007233F6">
            <w:pPr>
              <w:pStyle w:val="Zkladntext"/>
              <w:jc w:val="right"/>
              <w:rPr>
                <w:bCs w:val="0"/>
              </w:rPr>
            </w:pPr>
            <w:r w:rsidRPr="0088307E">
              <w:rPr>
                <w:bCs w:val="0"/>
              </w:rPr>
              <w:t>17 545 846</w:t>
            </w:r>
          </w:p>
        </w:tc>
        <w:tc>
          <w:tcPr>
            <w:tcW w:w="1072" w:type="dxa"/>
            <w:vAlign w:val="center"/>
          </w:tcPr>
          <w:p w14:paraId="109E5AF7" w14:textId="235FE5FE" w:rsidR="00635147" w:rsidRPr="00E8518E" w:rsidRDefault="007233F6" w:rsidP="00316A6C">
            <w:pPr>
              <w:pStyle w:val="Zkladntext"/>
              <w:jc w:val="right"/>
              <w:rPr>
                <w:bCs w:val="0"/>
                <w:color w:val="FF0000"/>
              </w:rPr>
            </w:pPr>
            <w:r w:rsidRPr="0088307E">
              <w:rPr>
                <w:bCs w:val="0"/>
              </w:rPr>
              <w:t>53,89</w:t>
            </w:r>
          </w:p>
        </w:tc>
      </w:tr>
      <w:tr w:rsidR="00E8518E" w:rsidRPr="00E8518E" w14:paraId="5ABA8C7E" w14:textId="77777777" w:rsidTr="00316A6C">
        <w:tc>
          <w:tcPr>
            <w:tcW w:w="5110" w:type="dxa"/>
          </w:tcPr>
          <w:p w14:paraId="7748D11B" w14:textId="77777777" w:rsidR="00635147" w:rsidRPr="0088307E" w:rsidRDefault="00635147" w:rsidP="00316A6C">
            <w:pPr>
              <w:rPr>
                <w:rFonts w:cs="Times New Roman"/>
                <w:bCs/>
                <w:szCs w:val="24"/>
              </w:rPr>
            </w:pPr>
            <w:r w:rsidRPr="0088307E">
              <w:rPr>
                <w:rFonts w:cs="Times New Roman"/>
                <w:bCs/>
                <w:szCs w:val="24"/>
              </w:rPr>
              <w:t>investiční transfery přijaté od Evropské unie</w:t>
            </w:r>
          </w:p>
        </w:tc>
        <w:tc>
          <w:tcPr>
            <w:tcW w:w="1440" w:type="dxa"/>
            <w:vAlign w:val="center"/>
          </w:tcPr>
          <w:p w14:paraId="3F8AEA40" w14:textId="775A8835" w:rsidR="00635147" w:rsidRPr="0088307E" w:rsidRDefault="005D0B98">
            <w:pPr>
              <w:pStyle w:val="Zkladntext"/>
              <w:jc w:val="right"/>
              <w:rPr>
                <w:bCs w:val="0"/>
              </w:rPr>
            </w:pPr>
            <w:r w:rsidRPr="0088307E">
              <w:rPr>
                <w:bCs w:val="0"/>
              </w:rPr>
              <w:t>15 898 544</w:t>
            </w:r>
          </w:p>
        </w:tc>
        <w:tc>
          <w:tcPr>
            <w:tcW w:w="1440" w:type="dxa"/>
            <w:vAlign w:val="center"/>
          </w:tcPr>
          <w:p w14:paraId="4F497363" w14:textId="0ED213B9" w:rsidR="00635147" w:rsidRPr="00E8518E" w:rsidRDefault="007233F6">
            <w:pPr>
              <w:pStyle w:val="Zkladntext"/>
              <w:jc w:val="right"/>
              <w:rPr>
                <w:bCs w:val="0"/>
                <w:color w:val="FF0000"/>
              </w:rPr>
            </w:pPr>
            <w:r w:rsidRPr="0088307E">
              <w:rPr>
                <w:bCs w:val="0"/>
              </w:rPr>
              <w:t>10 600 884</w:t>
            </w:r>
          </w:p>
        </w:tc>
        <w:tc>
          <w:tcPr>
            <w:tcW w:w="1072" w:type="dxa"/>
            <w:vAlign w:val="center"/>
          </w:tcPr>
          <w:p w14:paraId="4FDC8A82" w14:textId="2C4B6571" w:rsidR="00635147" w:rsidRPr="00E8518E" w:rsidRDefault="007233F6" w:rsidP="00316A6C">
            <w:pPr>
              <w:pStyle w:val="Zkladntext"/>
              <w:jc w:val="right"/>
              <w:rPr>
                <w:bCs w:val="0"/>
                <w:color w:val="FF0000"/>
              </w:rPr>
            </w:pPr>
            <w:r w:rsidRPr="0088307E">
              <w:rPr>
                <w:bCs w:val="0"/>
              </w:rPr>
              <w:t>66,68</w:t>
            </w:r>
          </w:p>
        </w:tc>
      </w:tr>
    </w:tbl>
    <w:p w14:paraId="41ACB3DC" w14:textId="77777777" w:rsidR="00635147" w:rsidRPr="00E8518E" w:rsidRDefault="00635147" w:rsidP="00635147">
      <w:pPr>
        <w:rPr>
          <w:color w:val="FF0000"/>
          <w:lang w:eastAsia="cs-CZ"/>
        </w:rPr>
      </w:pPr>
    </w:p>
    <w:p w14:paraId="197CE2F4" w14:textId="2FD4E7FA" w:rsidR="00CF4BB2" w:rsidRPr="0088307E" w:rsidRDefault="00CF4BB2" w:rsidP="005B5118">
      <w:pPr>
        <w:pStyle w:val="Titulek"/>
      </w:pPr>
      <w:bookmarkStart w:id="19" w:name="_Toc49763346"/>
      <w:bookmarkStart w:id="20" w:name="_Toc115788010"/>
      <w:bookmarkEnd w:id="18"/>
      <w:r w:rsidRPr="0088307E">
        <w:t xml:space="preserve">Graf č. </w:t>
      </w:r>
      <w:fldSimple w:instr=" SEQ Graf_č. \* ARABIC ">
        <w:r w:rsidR="00F80947">
          <w:rPr>
            <w:noProof/>
          </w:rPr>
          <w:t>2</w:t>
        </w:r>
      </w:fldSimple>
      <w:r w:rsidRPr="0088307E">
        <w:t xml:space="preserve"> Porovnání transferů přijatých v kapitole 327-MD (v tis. Kč)</w:t>
      </w:r>
      <w:bookmarkEnd w:id="19"/>
      <w:bookmarkEnd w:id="20"/>
    </w:p>
    <w:p w14:paraId="671B70EC" w14:textId="77777777" w:rsidR="00CF4BB2" w:rsidRPr="00E8518E" w:rsidRDefault="00CF4BB2" w:rsidP="00CF4BB2">
      <w:pPr>
        <w:pStyle w:val="obyctext"/>
        <w:ind w:firstLine="0"/>
        <w:rPr>
          <w:noProof/>
          <w:color w:val="FF0000"/>
        </w:rPr>
      </w:pPr>
      <w:r w:rsidRPr="00E8518E">
        <w:rPr>
          <w:noProof/>
          <w:color w:val="FF0000"/>
        </w:rPr>
        <w:drawing>
          <wp:inline distT="0" distB="0" distL="0" distR="0" wp14:anchorId="4A8F05F3" wp14:editId="053F6B13">
            <wp:extent cx="5759450" cy="2519680"/>
            <wp:effectExtent l="0" t="0" r="12700" b="13970"/>
            <wp:docPr id="15" name="Graf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2C7F61D" w14:textId="15F79573" w:rsidR="00CF4BB2" w:rsidRPr="0088307E" w:rsidRDefault="00CF4BB2" w:rsidP="00CF4BB2">
      <w:pPr>
        <w:pStyle w:val="Titulek"/>
      </w:pPr>
      <w:bookmarkStart w:id="21" w:name="_Toc49763347"/>
      <w:bookmarkStart w:id="22" w:name="_Toc115788011"/>
      <w:r w:rsidRPr="0088307E">
        <w:t xml:space="preserve">Graf č. </w:t>
      </w:r>
      <w:fldSimple w:instr=" SEQ Graf_č. \* ARABIC ">
        <w:r w:rsidR="00F80947">
          <w:rPr>
            <w:noProof/>
          </w:rPr>
          <w:t>3</w:t>
        </w:r>
      </w:fldSimple>
      <w:r w:rsidRPr="0088307E">
        <w:t xml:space="preserve"> Porovnání ostatních příjmů v kapitole 327-MD (v tis. Kč)</w:t>
      </w:r>
      <w:bookmarkEnd w:id="21"/>
      <w:bookmarkEnd w:id="22"/>
    </w:p>
    <w:p w14:paraId="6C396AFC" w14:textId="77777777" w:rsidR="00CF4BB2" w:rsidRPr="00E8518E" w:rsidRDefault="00CF4BB2" w:rsidP="00CF4BB2">
      <w:pPr>
        <w:pStyle w:val="obyctext"/>
        <w:tabs>
          <w:tab w:val="left" w:pos="1276"/>
        </w:tabs>
        <w:ind w:firstLine="0"/>
        <w:rPr>
          <w:color w:val="FF0000"/>
        </w:rPr>
      </w:pPr>
      <w:r w:rsidRPr="00E8518E">
        <w:rPr>
          <w:noProof/>
          <w:color w:val="FF0000"/>
        </w:rPr>
        <w:drawing>
          <wp:inline distT="0" distB="0" distL="0" distR="0" wp14:anchorId="28726CEB" wp14:editId="1C476DC5">
            <wp:extent cx="5759450" cy="2519680"/>
            <wp:effectExtent l="0" t="0" r="12700" b="1397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71CA2514" w14:textId="77777777" w:rsidR="00024ED6" w:rsidRPr="00E8518E" w:rsidRDefault="00024ED6" w:rsidP="00024ED6">
      <w:pPr>
        <w:pStyle w:val="obyctext"/>
        <w:tabs>
          <w:tab w:val="left" w:pos="1276"/>
        </w:tabs>
        <w:ind w:firstLine="0"/>
        <w:rPr>
          <w:color w:val="FF0000"/>
        </w:rPr>
      </w:pPr>
    </w:p>
    <w:p w14:paraId="72FD60E1" w14:textId="77777777" w:rsidR="00024ED6" w:rsidRPr="00E8518E" w:rsidRDefault="00024ED6" w:rsidP="00024ED6">
      <w:pPr>
        <w:pStyle w:val="obyctext"/>
        <w:tabs>
          <w:tab w:val="left" w:pos="1276"/>
        </w:tabs>
        <w:ind w:firstLine="0"/>
        <w:rPr>
          <w:color w:val="FF0000"/>
        </w:rPr>
      </w:pPr>
    </w:p>
    <w:p w14:paraId="3FCEC9AD" w14:textId="77777777" w:rsidR="00D5093B" w:rsidRPr="00E8518E" w:rsidRDefault="00D5093B" w:rsidP="004371E3">
      <w:pPr>
        <w:pStyle w:val="obyctext"/>
        <w:tabs>
          <w:tab w:val="left" w:pos="1276"/>
        </w:tabs>
        <w:ind w:firstLine="0"/>
        <w:rPr>
          <w:color w:val="FF0000"/>
        </w:rPr>
        <w:sectPr w:rsidR="00D5093B" w:rsidRPr="00E8518E" w:rsidSect="0002708E">
          <w:footerReference w:type="default" r:id="rId18"/>
          <w:footerReference w:type="first" r:id="rId19"/>
          <w:pgSz w:w="11906" w:h="16838" w:code="9"/>
          <w:pgMar w:top="1418" w:right="1418" w:bottom="993" w:left="1418" w:header="709" w:footer="709" w:gutter="0"/>
          <w:pgNumType w:start="1"/>
          <w:cols w:space="708"/>
          <w:titlePg/>
          <w:docGrid w:linePitch="360"/>
        </w:sectPr>
      </w:pPr>
    </w:p>
    <w:p w14:paraId="7B1BB9ED" w14:textId="01E60C62" w:rsidR="00AD1F22" w:rsidRPr="0088307E" w:rsidRDefault="00AD1F22" w:rsidP="00E32A1E">
      <w:pPr>
        <w:pStyle w:val="Nadpis1"/>
      </w:pPr>
      <w:bookmarkStart w:id="23" w:name="_Toc462314386"/>
      <w:bookmarkStart w:id="24" w:name="_Toc115787426"/>
      <w:r w:rsidRPr="0088307E">
        <w:t>Rozpočet výdajů na rok 20</w:t>
      </w:r>
      <w:bookmarkEnd w:id="23"/>
      <w:r w:rsidR="00485912" w:rsidRPr="0088307E">
        <w:t>2</w:t>
      </w:r>
      <w:r w:rsidR="00115B57" w:rsidRPr="0088307E">
        <w:t>3</w:t>
      </w:r>
      <w:bookmarkEnd w:id="24"/>
    </w:p>
    <w:p w14:paraId="71B8AF42" w14:textId="77777777" w:rsidR="00AD1F22" w:rsidRPr="0088307E" w:rsidRDefault="00AD1F22" w:rsidP="006C7E5B">
      <w:pPr>
        <w:pStyle w:val="Nadpis2"/>
      </w:pPr>
      <w:bookmarkStart w:id="25" w:name="_Toc462314387"/>
      <w:bookmarkStart w:id="26" w:name="_Toc115787427"/>
      <w:r w:rsidRPr="0088307E">
        <w:t>Struktura výdajů</w:t>
      </w:r>
      <w:bookmarkEnd w:id="25"/>
      <w:bookmarkEnd w:id="26"/>
    </w:p>
    <w:p w14:paraId="675E8392" w14:textId="77777777" w:rsidR="00115B57" w:rsidRPr="00174693" w:rsidRDefault="00115B57" w:rsidP="00115B57">
      <w:pPr>
        <w:pStyle w:val="Styl1"/>
      </w:pPr>
      <w:bookmarkStart w:id="27" w:name="_Toc432592775"/>
      <w:bookmarkStart w:id="28" w:name="_Toc462314388"/>
      <w:bookmarkStart w:id="29" w:name="_Toc489274094"/>
      <w:bookmarkStart w:id="30" w:name="_Toc21936865"/>
      <w:r w:rsidRPr="00174693">
        <w:t xml:space="preserve">Výdaje jsou strukturovány do jednotlivých bloků, okruhů, příp. dalších množin či podmnožin. </w:t>
      </w:r>
    </w:p>
    <w:p w14:paraId="2FEA5BB2" w14:textId="77777777" w:rsidR="00115B57" w:rsidRPr="00174693" w:rsidRDefault="00115B57" w:rsidP="00115B57">
      <w:pPr>
        <w:pStyle w:val="Styl1"/>
      </w:pPr>
      <w:r w:rsidRPr="00174693">
        <w:t xml:space="preserve">Sourodé celky činností tvoří výdajové bloky, které se dále rozpadají do výdajových okruhů </w:t>
      </w:r>
      <w:r w:rsidRPr="00174693">
        <w:br/>
        <w:t xml:space="preserve">a dále do nižších úrovní členění (obdobný způsob konkretizace platí i pro cíle), přičemž vyšší úroveň je úplným součtem přímo podřízených úrovní. Stanovení výdajových bloků </w:t>
      </w:r>
      <w:r w:rsidRPr="00174693">
        <w:br/>
        <w:t>a výdajových okruhů je povinné, ostatní nižší úrovně členění jsou dobrovolné.</w:t>
      </w:r>
    </w:p>
    <w:p w14:paraId="4CCC8578" w14:textId="77777777" w:rsidR="00115B57" w:rsidRPr="00174693" w:rsidRDefault="00115B57" w:rsidP="00115B57">
      <w:pPr>
        <w:pStyle w:val="Styl1"/>
      </w:pPr>
      <w:r w:rsidRPr="00174693">
        <w:t>Každý výdajový blok je specifickým ukazatelem na příslušný rozpočtový rok. Označení výdajového okruhu jako specifického ukazatele závisí na rozhodnutí kapitoly. Označit tak lze jakýkoli vybraný výdajový okruh, nejsou-li však označeny všechny spadající pod daný výdajový blok, jsou zbylé výdajové okruhy specifickým ukazatelem ve svém součtu.</w:t>
      </w:r>
    </w:p>
    <w:p w14:paraId="5D292336" w14:textId="0564E31D" w:rsidR="00115B57" w:rsidRPr="006219D7" w:rsidRDefault="00115B57" w:rsidP="00115B57">
      <w:pPr>
        <w:pStyle w:val="Titulek"/>
      </w:pPr>
      <w:r w:rsidRPr="006219D7">
        <w:t xml:space="preserve">Tabulka č. </w:t>
      </w:r>
      <w:fldSimple w:instr=" SEQ Tabulka \* ARABIC ">
        <w:r w:rsidR="00F80947">
          <w:rPr>
            <w:noProof/>
          </w:rPr>
          <w:t>5</w:t>
        </w:r>
      </w:fldSimple>
      <w:r w:rsidRPr="006219D7">
        <w:t xml:space="preserve"> Struktura výdajů (v rámci PVS) pro rok 202</w:t>
      </w:r>
      <w:r>
        <w:t>3</w:t>
      </w:r>
    </w:p>
    <w:tbl>
      <w:tblPr>
        <w:tblStyle w:val="Svtltabulkasmkou1"/>
        <w:tblW w:w="0" w:type="auto"/>
        <w:tblBorders>
          <w:top w:val="single" w:sz="8" w:space="0" w:color="999999" w:themeColor="text1" w:themeTint="66"/>
          <w:left w:val="single" w:sz="8" w:space="0" w:color="999999" w:themeColor="text1" w:themeTint="66"/>
          <w:bottom w:val="single" w:sz="8" w:space="0" w:color="999999" w:themeColor="text1" w:themeTint="66"/>
          <w:right w:val="single" w:sz="8" w:space="0" w:color="999999" w:themeColor="text1" w:themeTint="66"/>
          <w:insideV w:val="none" w:sz="0" w:space="0" w:color="auto"/>
        </w:tblBorders>
        <w:tblLook w:val="01E0" w:firstRow="1" w:lastRow="1" w:firstColumn="1" w:lastColumn="1" w:noHBand="0" w:noVBand="0"/>
      </w:tblPr>
      <w:tblGrid>
        <w:gridCol w:w="1005"/>
        <w:gridCol w:w="1257"/>
        <w:gridCol w:w="6789"/>
      </w:tblGrid>
      <w:tr w:rsidR="00115B57" w:rsidRPr="00050948" w14:paraId="0DBF2B75" w14:textId="77777777" w:rsidTr="00DC64B4">
        <w:trPr>
          <w:cnfStyle w:val="100000000000" w:firstRow="1" w:lastRow="0" w:firstColumn="0" w:lastColumn="0" w:oddVBand="0" w:evenVBand="0" w:oddHBand="0" w:evenHBand="0" w:firstRowFirstColumn="0" w:firstRowLastColumn="0" w:lastRowFirstColumn="0" w:lastRowLastColumn="0"/>
          <w:trHeight w:val="333"/>
        </w:trPr>
        <w:tc>
          <w:tcPr>
            <w:cnfStyle w:val="001000000000" w:firstRow="0" w:lastRow="0" w:firstColumn="1" w:lastColumn="0" w:oddVBand="0" w:evenVBand="0" w:oddHBand="0" w:evenHBand="0" w:firstRowFirstColumn="0" w:firstRowLastColumn="0" w:lastRowFirstColumn="0" w:lastRowLastColumn="0"/>
            <w:tcW w:w="1005" w:type="dxa"/>
            <w:tcBorders>
              <w:top w:val="single" w:sz="8"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14:paraId="0E38A78F" w14:textId="77777777" w:rsidR="00115B57" w:rsidRPr="00050948" w:rsidRDefault="00115B57" w:rsidP="00DC64B4">
            <w:pPr>
              <w:rPr>
                <w:rFonts w:cs="Times New Roman"/>
                <w:szCs w:val="24"/>
              </w:rPr>
            </w:pPr>
            <w:r w:rsidRPr="00050948">
              <w:rPr>
                <w:rFonts w:cs="Times New Roman"/>
                <w:szCs w:val="24"/>
              </w:rPr>
              <w:t>Blok</w:t>
            </w:r>
          </w:p>
        </w:tc>
        <w:tc>
          <w:tcPr>
            <w:tcW w:w="1257"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thinReverseDiagStripe" w:color="D9D9D9" w:themeColor="background1" w:themeShade="D9" w:fill="FFFFFF" w:themeFill="background1"/>
          </w:tcPr>
          <w:p w14:paraId="2E80E3BB" w14:textId="77777777" w:rsidR="00115B57" w:rsidRPr="00050948" w:rsidRDefault="00115B57" w:rsidP="00DC64B4">
            <w:pPr>
              <w:cnfStyle w:val="100000000000" w:firstRow="1"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Okruh</w:t>
            </w: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shd w:val="thinReverseDiagStripe" w:color="D9D9D9" w:themeColor="background1" w:themeShade="D9" w:fill="FFFFFF" w:themeFill="background1"/>
          </w:tcPr>
          <w:p w14:paraId="21AD3B0D" w14:textId="77777777" w:rsidR="00115B57" w:rsidRPr="00050948" w:rsidRDefault="00115B57" w:rsidP="00DC64B4">
            <w:pPr>
              <w:rPr>
                <w:rFonts w:cs="Times New Roman"/>
                <w:szCs w:val="24"/>
              </w:rPr>
            </w:pPr>
            <w:r w:rsidRPr="00050948">
              <w:rPr>
                <w:rFonts w:cs="Times New Roman"/>
                <w:szCs w:val="24"/>
              </w:rPr>
              <w:t>Název</w:t>
            </w:r>
          </w:p>
        </w:tc>
      </w:tr>
      <w:tr w:rsidR="00115B57" w:rsidRPr="00050948" w14:paraId="735BBEBD"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79F2D0C9" w14:textId="77777777" w:rsidR="00115B57" w:rsidRPr="001F5A15" w:rsidRDefault="00115B57" w:rsidP="00DC64B4">
            <w:pPr>
              <w:rPr>
                <w:rFonts w:cs="Times New Roman"/>
                <w:szCs w:val="24"/>
              </w:rPr>
            </w:pPr>
            <w:r w:rsidRPr="001F5A15">
              <w:rPr>
                <w:rFonts w:cs="Times New Roman"/>
                <w:szCs w:val="24"/>
              </w:rPr>
              <w:t>501</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7340B271"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140A89F9" w14:textId="77777777" w:rsidR="00115B57" w:rsidRPr="001F5A15" w:rsidRDefault="00115B57" w:rsidP="00DC64B4">
            <w:pPr>
              <w:rPr>
                <w:rFonts w:cs="Times New Roman"/>
                <w:szCs w:val="24"/>
              </w:rPr>
            </w:pPr>
            <w:r w:rsidRPr="001F5A15">
              <w:rPr>
                <w:rFonts w:cs="Times New Roman"/>
                <w:szCs w:val="24"/>
              </w:rPr>
              <w:t>Drážní a kombinovaná doprava</w:t>
            </w:r>
          </w:p>
        </w:tc>
      </w:tr>
      <w:tr w:rsidR="00115B57" w:rsidRPr="00050948" w14:paraId="1095EC6C"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21B15C16"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2C26828C"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501001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5C6B046F" w14:textId="77777777" w:rsidR="00115B57" w:rsidRPr="00050948" w:rsidRDefault="00115B57" w:rsidP="00DC64B4">
            <w:pPr>
              <w:rPr>
                <w:rFonts w:cs="Times New Roman"/>
                <w:b w:val="0"/>
                <w:szCs w:val="24"/>
              </w:rPr>
            </w:pPr>
            <w:r w:rsidRPr="00050948">
              <w:rPr>
                <w:rFonts w:cs="Times New Roman"/>
                <w:b w:val="0"/>
                <w:szCs w:val="24"/>
              </w:rPr>
              <w:t>Doprovodný sociální program</w:t>
            </w:r>
          </w:p>
        </w:tc>
      </w:tr>
      <w:tr w:rsidR="00115B57" w:rsidRPr="00050948" w14:paraId="3D34368A"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29B9365"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05727152"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501002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12721249" w14:textId="77777777" w:rsidR="00115B57" w:rsidRPr="00050948" w:rsidRDefault="00115B57" w:rsidP="00DC64B4">
            <w:pPr>
              <w:rPr>
                <w:rFonts w:cs="Times New Roman"/>
                <w:b w:val="0"/>
                <w:szCs w:val="24"/>
              </w:rPr>
            </w:pPr>
            <w:r w:rsidRPr="00050948">
              <w:rPr>
                <w:rFonts w:cs="Times New Roman"/>
                <w:b w:val="0"/>
                <w:szCs w:val="24"/>
              </w:rPr>
              <w:t>Úhrada ztráty ze závazku veřejné služby ve veřejné drážní osobní dopravě</w:t>
            </w:r>
          </w:p>
        </w:tc>
      </w:tr>
      <w:tr w:rsidR="00115B57" w:rsidRPr="00050948" w14:paraId="316F5CF3"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171D1291"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515E14A0"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501003</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214A10B3" w14:textId="77777777" w:rsidR="00115B57" w:rsidRPr="00050948" w:rsidRDefault="00115B57" w:rsidP="00DC64B4">
            <w:pPr>
              <w:rPr>
                <w:rFonts w:cs="Times New Roman"/>
                <w:b w:val="0"/>
                <w:szCs w:val="24"/>
              </w:rPr>
            </w:pPr>
            <w:r w:rsidRPr="00050948">
              <w:rPr>
                <w:rFonts w:cs="Times New Roman"/>
                <w:b w:val="0"/>
                <w:szCs w:val="24"/>
              </w:rPr>
              <w:t>Příspěvek na dopravní cestu nehrazený ze SFDI</w:t>
            </w:r>
          </w:p>
        </w:tc>
      </w:tr>
      <w:tr w:rsidR="00115B57" w:rsidRPr="00050948" w14:paraId="2AB02EE6"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184D996A"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740347C1"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501004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3CE4A58F" w14:textId="77777777" w:rsidR="00115B57" w:rsidRPr="00050948" w:rsidRDefault="00115B57" w:rsidP="00DC64B4">
            <w:pPr>
              <w:rPr>
                <w:rFonts w:cs="Times New Roman"/>
                <w:b w:val="0"/>
                <w:szCs w:val="24"/>
              </w:rPr>
            </w:pPr>
            <w:r w:rsidRPr="00050948">
              <w:rPr>
                <w:rFonts w:cs="Times New Roman"/>
                <w:b w:val="0"/>
                <w:szCs w:val="24"/>
              </w:rPr>
              <w:t>Kombinovaná doprava</w:t>
            </w:r>
          </w:p>
        </w:tc>
      </w:tr>
      <w:tr w:rsidR="00115B57" w:rsidRPr="00050948" w14:paraId="645CE4E7"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44040020"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6885ABE8"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501005</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6B20CCC7" w14:textId="77777777" w:rsidR="00115B57" w:rsidRPr="00050948" w:rsidRDefault="00115B57" w:rsidP="00DC64B4">
            <w:pPr>
              <w:rPr>
                <w:rFonts w:cs="Times New Roman"/>
                <w:b w:val="0"/>
                <w:szCs w:val="24"/>
              </w:rPr>
            </w:pPr>
            <w:r w:rsidRPr="00050948">
              <w:rPr>
                <w:rFonts w:cs="Times New Roman"/>
                <w:b w:val="0"/>
                <w:szCs w:val="24"/>
              </w:rPr>
              <w:t>Ostatní výdaje spojené s drážní dopravou</w:t>
            </w:r>
          </w:p>
        </w:tc>
      </w:tr>
      <w:tr w:rsidR="00115B57" w:rsidRPr="00050948" w14:paraId="1E68BE5B"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5AC66070" w14:textId="77777777" w:rsidR="00115B57" w:rsidRPr="000B6F85" w:rsidRDefault="00115B57" w:rsidP="00DC64B4">
            <w:pPr>
              <w:rPr>
                <w:rFonts w:cs="Times New Roman"/>
                <w:szCs w:val="24"/>
              </w:rPr>
            </w:pPr>
            <w:r w:rsidRPr="000B6F85">
              <w:rPr>
                <w:rFonts w:cs="Times New Roman"/>
                <w:szCs w:val="24"/>
              </w:rPr>
              <w:t>502</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076E7F75"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351C6C05" w14:textId="77777777" w:rsidR="00115B57" w:rsidRPr="000B6F85" w:rsidRDefault="00115B57" w:rsidP="00DC64B4">
            <w:pPr>
              <w:rPr>
                <w:rFonts w:cs="Times New Roman"/>
                <w:szCs w:val="24"/>
              </w:rPr>
            </w:pPr>
            <w:r w:rsidRPr="000B6F85">
              <w:rPr>
                <w:rFonts w:cs="Times New Roman"/>
                <w:szCs w:val="24"/>
              </w:rPr>
              <w:t>Pozemní komunikace</w:t>
            </w:r>
          </w:p>
        </w:tc>
      </w:tr>
      <w:tr w:rsidR="00115B57" w:rsidRPr="00050948" w14:paraId="5D7BB118"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335B67ED"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54AEB1C8"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502001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4CE738D2" w14:textId="77777777" w:rsidR="00115B57" w:rsidRPr="00050948" w:rsidRDefault="00115B57" w:rsidP="00DC64B4">
            <w:pPr>
              <w:rPr>
                <w:rFonts w:cs="Times New Roman"/>
                <w:b w:val="0"/>
                <w:szCs w:val="24"/>
              </w:rPr>
            </w:pPr>
            <w:r w:rsidRPr="00050948">
              <w:rPr>
                <w:rFonts w:cs="Times New Roman"/>
                <w:b w:val="0"/>
                <w:szCs w:val="24"/>
              </w:rPr>
              <w:t>Pozemní komunikace</w:t>
            </w:r>
          </w:p>
        </w:tc>
      </w:tr>
      <w:tr w:rsidR="00115B57" w:rsidRPr="00050948" w14:paraId="08D177B3"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6D45D9A1" w14:textId="77777777" w:rsidR="00115B57" w:rsidRPr="000B6F85" w:rsidRDefault="00115B57" w:rsidP="00DC64B4">
            <w:pPr>
              <w:rPr>
                <w:rFonts w:cs="Times New Roman"/>
                <w:szCs w:val="24"/>
              </w:rPr>
            </w:pPr>
            <w:r w:rsidRPr="000B6F85">
              <w:rPr>
                <w:rFonts w:cs="Times New Roman"/>
                <w:szCs w:val="24"/>
              </w:rPr>
              <w:t>503</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2BBAF59E"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3E6D7941" w14:textId="77777777" w:rsidR="00115B57" w:rsidRPr="000B6F85" w:rsidRDefault="00115B57" w:rsidP="00DC64B4">
            <w:pPr>
              <w:rPr>
                <w:rFonts w:cs="Times New Roman"/>
                <w:szCs w:val="24"/>
              </w:rPr>
            </w:pPr>
            <w:r w:rsidRPr="000B6F85">
              <w:rPr>
                <w:rFonts w:cs="Times New Roman"/>
                <w:szCs w:val="24"/>
              </w:rPr>
              <w:t>Dotace pro Státní fond dopravní infrastruktury</w:t>
            </w:r>
          </w:p>
        </w:tc>
      </w:tr>
      <w:tr w:rsidR="00115B57" w:rsidRPr="00050948" w14:paraId="1F619C31"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66E9D3A2"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3368E43D"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503001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5A08D1B3" w14:textId="77777777" w:rsidR="00115B57" w:rsidRPr="00050948" w:rsidRDefault="00115B57" w:rsidP="00DC64B4">
            <w:pPr>
              <w:rPr>
                <w:rFonts w:cs="Times New Roman"/>
                <w:b w:val="0"/>
                <w:szCs w:val="24"/>
              </w:rPr>
            </w:pPr>
            <w:r w:rsidRPr="00050948">
              <w:rPr>
                <w:rFonts w:cs="Times New Roman"/>
                <w:b w:val="0"/>
                <w:szCs w:val="24"/>
              </w:rPr>
              <w:t>Dotace pro společné programy (projekty) EU a ČR</w:t>
            </w:r>
          </w:p>
        </w:tc>
      </w:tr>
      <w:tr w:rsidR="00115B57" w:rsidRPr="003B61DA" w14:paraId="4C255361"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8" w:space="0" w:color="7F7F7F" w:themeColor="text1" w:themeTint="80"/>
              <w:right w:val="single" w:sz="4" w:space="0" w:color="7F7F7F" w:themeColor="text1" w:themeTint="80"/>
            </w:tcBorders>
          </w:tcPr>
          <w:p w14:paraId="7EB1C74F" w14:textId="77777777" w:rsidR="00115B57" w:rsidRPr="00C90024" w:rsidRDefault="00115B57" w:rsidP="00DC64B4">
            <w:pPr>
              <w:rPr>
                <w:rFonts w:cs="Times New Roman"/>
                <w:b w:val="0"/>
                <w:color w:val="FF000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053814CB" w14:textId="77777777" w:rsidR="00115B57" w:rsidRPr="003B61DA"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3B61DA">
              <w:rPr>
                <w:rFonts w:cs="Times New Roman"/>
                <w:szCs w:val="24"/>
              </w:rPr>
              <w:t>503004</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53826339" w14:textId="77777777" w:rsidR="00115B57" w:rsidRPr="003B61DA" w:rsidRDefault="00115B57" w:rsidP="00DC64B4">
            <w:pPr>
              <w:rPr>
                <w:rFonts w:cs="Times New Roman"/>
                <w:b w:val="0"/>
                <w:szCs w:val="24"/>
              </w:rPr>
            </w:pPr>
            <w:r w:rsidRPr="003B61DA">
              <w:rPr>
                <w:rFonts w:cs="Times New Roman"/>
                <w:b w:val="0"/>
                <w:szCs w:val="24"/>
              </w:rPr>
              <w:t>Ostatní dotace pro SFDI</w:t>
            </w:r>
          </w:p>
        </w:tc>
      </w:tr>
      <w:tr w:rsidR="00115B57" w:rsidRPr="00050948" w14:paraId="57ADACC6"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8" w:space="0" w:color="7F7F7F" w:themeColor="text1" w:themeTint="80"/>
              <w:left w:val="single" w:sz="8" w:space="0" w:color="7F7F7F" w:themeColor="text1" w:themeTint="80"/>
              <w:bottom w:val="single" w:sz="4" w:space="0" w:color="999999" w:themeColor="text1" w:themeTint="66"/>
              <w:right w:val="single" w:sz="4" w:space="0" w:color="7F7F7F" w:themeColor="text1" w:themeTint="80"/>
            </w:tcBorders>
          </w:tcPr>
          <w:p w14:paraId="4EFC89A1" w14:textId="77777777" w:rsidR="00115B57" w:rsidRPr="000B6F85" w:rsidRDefault="00115B57" w:rsidP="00DC64B4">
            <w:pPr>
              <w:rPr>
                <w:rFonts w:cs="Times New Roman"/>
                <w:szCs w:val="24"/>
              </w:rPr>
            </w:pPr>
            <w:r w:rsidRPr="000B6F85">
              <w:rPr>
                <w:rFonts w:cs="Times New Roman"/>
                <w:szCs w:val="24"/>
              </w:rPr>
              <w:t>504</w:t>
            </w:r>
          </w:p>
        </w:tc>
        <w:tc>
          <w:tcPr>
            <w:tcW w:w="1257" w:type="dxa"/>
            <w:tcBorders>
              <w:top w:val="single" w:sz="8" w:space="0" w:color="7F7F7F" w:themeColor="text1" w:themeTint="80"/>
              <w:left w:val="single" w:sz="4" w:space="0" w:color="7F7F7F" w:themeColor="text1" w:themeTint="80"/>
              <w:bottom w:val="single" w:sz="4" w:space="0" w:color="999999" w:themeColor="text1" w:themeTint="66"/>
              <w:right w:val="single" w:sz="4" w:space="0" w:color="7F7F7F" w:themeColor="text1" w:themeTint="80"/>
            </w:tcBorders>
          </w:tcPr>
          <w:p w14:paraId="4938B3B7"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8" w:space="0" w:color="7F7F7F" w:themeColor="text1" w:themeTint="80"/>
              <w:left w:val="single" w:sz="4" w:space="0" w:color="7F7F7F" w:themeColor="text1" w:themeTint="80"/>
              <w:bottom w:val="single" w:sz="4" w:space="0" w:color="999999" w:themeColor="text1" w:themeTint="66"/>
              <w:right w:val="single" w:sz="8" w:space="0" w:color="7F7F7F" w:themeColor="text1" w:themeTint="80"/>
            </w:tcBorders>
          </w:tcPr>
          <w:p w14:paraId="1F533F3C" w14:textId="77777777" w:rsidR="00115B57" w:rsidRPr="000B6F85" w:rsidRDefault="00115B57" w:rsidP="00DC64B4">
            <w:pPr>
              <w:rPr>
                <w:rFonts w:cs="Times New Roman"/>
                <w:szCs w:val="24"/>
              </w:rPr>
            </w:pPr>
            <w:r w:rsidRPr="000B6F85">
              <w:rPr>
                <w:rFonts w:cs="Times New Roman"/>
                <w:szCs w:val="24"/>
              </w:rPr>
              <w:t>Ostatní výdaje spojené s dopravní politikou státu</w:t>
            </w:r>
          </w:p>
        </w:tc>
      </w:tr>
      <w:tr w:rsidR="00115B57" w:rsidRPr="00050948" w14:paraId="3EE59F82" w14:textId="77777777" w:rsidTr="00DC64B4">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999999" w:themeColor="text1" w:themeTint="66"/>
              <w:right w:val="single" w:sz="4" w:space="0" w:color="7F7F7F" w:themeColor="text1" w:themeTint="80"/>
            </w:tcBorders>
          </w:tcPr>
          <w:p w14:paraId="3CCA08D0"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999999" w:themeColor="text1" w:themeTint="66"/>
              <w:right w:val="single" w:sz="4" w:space="0" w:color="7F7F7F" w:themeColor="text1" w:themeTint="80"/>
            </w:tcBorders>
          </w:tcPr>
          <w:p w14:paraId="2DC0E815"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504001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999999" w:themeColor="text1" w:themeTint="66"/>
              <w:right w:val="single" w:sz="8" w:space="0" w:color="7F7F7F" w:themeColor="text1" w:themeTint="80"/>
            </w:tcBorders>
          </w:tcPr>
          <w:p w14:paraId="5C944345" w14:textId="77777777" w:rsidR="00115B57" w:rsidRPr="00050948" w:rsidRDefault="00115B57" w:rsidP="00DC64B4">
            <w:pPr>
              <w:rPr>
                <w:rFonts w:cs="Times New Roman"/>
                <w:b w:val="0"/>
                <w:szCs w:val="24"/>
              </w:rPr>
            </w:pPr>
            <w:r w:rsidRPr="00050948">
              <w:rPr>
                <w:rFonts w:cs="Times New Roman"/>
                <w:b w:val="0"/>
                <w:szCs w:val="24"/>
              </w:rPr>
              <w:t>Další výdaje spojené s dopravní politikou státu</w:t>
            </w:r>
          </w:p>
        </w:tc>
      </w:tr>
      <w:tr w:rsidR="00115B57" w:rsidRPr="00050948" w14:paraId="2C4F9C57" w14:textId="77777777" w:rsidTr="003F1B51">
        <w:tc>
          <w:tcPr>
            <w:cnfStyle w:val="001000000000" w:firstRow="0" w:lastRow="0" w:firstColumn="1" w:lastColumn="0" w:oddVBand="0" w:evenVBand="0" w:oddHBand="0" w:evenHBand="0" w:firstRowFirstColumn="0" w:firstRowLastColumn="0" w:lastRowFirstColumn="0" w:lastRowLastColumn="0"/>
            <w:tcW w:w="1005" w:type="dxa"/>
            <w:vMerge/>
            <w:tcBorders>
              <w:top w:val="single" w:sz="4" w:space="0" w:color="999999" w:themeColor="text1" w:themeTint="66"/>
              <w:left w:val="single" w:sz="8" w:space="0" w:color="7F7F7F" w:themeColor="text1" w:themeTint="80"/>
              <w:bottom w:val="single" w:sz="4" w:space="0" w:color="auto"/>
              <w:right w:val="single" w:sz="4" w:space="0" w:color="7F7F7F" w:themeColor="text1" w:themeTint="80"/>
            </w:tcBorders>
          </w:tcPr>
          <w:p w14:paraId="0A251838" w14:textId="77777777" w:rsidR="00115B57" w:rsidRPr="00050948" w:rsidRDefault="00115B57" w:rsidP="00DC64B4">
            <w:pPr>
              <w:rPr>
                <w:rFonts w:cs="Times New Roman"/>
                <w:b w:val="0"/>
                <w:szCs w:val="24"/>
              </w:rPr>
            </w:pPr>
          </w:p>
        </w:tc>
        <w:tc>
          <w:tcPr>
            <w:tcW w:w="1257" w:type="dxa"/>
            <w:tcBorders>
              <w:top w:val="single" w:sz="4" w:space="0" w:color="999999" w:themeColor="text1" w:themeTint="66"/>
              <w:left w:val="single" w:sz="4" w:space="0" w:color="7F7F7F" w:themeColor="text1" w:themeTint="80"/>
              <w:bottom w:val="single" w:sz="4" w:space="0" w:color="auto"/>
              <w:right w:val="single" w:sz="4" w:space="0" w:color="7F7F7F" w:themeColor="text1" w:themeTint="80"/>
            </w:tcBorders>
          </w:tcPr>
          <w:p w14:paraId="4C1ED597" w14:textId="77777777" w:rsidR="00115B57" w:rsidRPr="00050948"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szCs w:val="24"/>
              </w:rPr>
            </w:pPr>
            <w:r w:rsidRPr="00050948">
              <w:rPr>
                <w:rFonts w:cs="Times New Roman"/>
                <w:szCs w:val="24"/>
              </w:rPr>
              <w:t>504002</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4" w:space="0" w:color="auto"/>
              <w:right w:val="single" w:sz="8" w:space="0" w:color="7F7F7F" w:themeColor="text1" w:themeTint="80"/>
            </w:tcBorders>
          </w:tcPr>
          <w:p w14:paraId="55F4D300" w14:textId="77777777" w:rsidR="00115B57" w:rsidRPr="00050948" w:rsidRDefault="00115B57" w:rsidP="00DC64B4">
            <w:pPr>
              <w:rPr>
                <w:rFonts w:cs="Times New Roman"/>
                <w:b w:val="0"/>
                <w:szCs w:val="24"/>
              </w:rPr>
            </w:pPr>
            <w:r w:rsidRPr="00050948">
              <w:rPr>
                <w:rFonts w:cs="Times New Roman"/>
                <w:b w:val="0"/>
                <w:szCs w:val="24"/>
              </w:rPr>
              <w:t>Výdaje spojené s kosmickými aktivitami</w:t>
            </w:r>
          </w:p>
        </w:tc>
      </w:tr>
      <w:tr w:rsidR="00115B57" w:rsidRPr="00050948" w14:paraId="7907BFA5" w14:textId="77777777" w:rsidTr="003F1B51">
        <w:tc>
          <w:tcPr>
            <w:cnfStyle w:val="001000000000" w:firstRow="0" w:lastRow="0" w:firstColumn="1" w:lastColumn="0" w:oddVBand="0" w:evenVBand="0" w:oddHBand="0" w:evenHBand="0" w:firstRowFirstColumn="0" w:firstRowLastColumn="0" w:lastRowFirstColumn="0" w:lastRowLastColumn="0"/>
            <w:tcW w:w="1005" w:type="dxa"/>
            <w:vMerge w:val="restart"/>
            <w:tcBorders>
              <w:top w:val="single" w:sz="4" w:space="0" w:color="auto"/>
              <w:left w:val="single" w:sz="8" w:space="0" w:color="7F7F7F" w:themeColor="text1" w:themeTint="80"/>
              <w:right w:val="single" w:sz="4" w:space="0" w:color="7F7F7F" w:themeColor="text1" w:themeTint="80"/>
            </w:tcBorders>
          </w:tcPr>
          <w:p w14:paraId="052D7A52" w14:textId="77777777" w:rsidR="00115B57" w:rsidRPr="000B6F85" w:rsidRDefault="00115B57" w:rsidP="00DC64B4">
            <w:pPr>
              <w:rPr>
                <w:rFonts w:cs="Times New Roman"/>
                <w:szCs w:val="24"/>
              </w:rPr>
            </w:pPr>
            <w:r w:rsidRPr="000B6F85">
              <w:rPr>
                <w:rFonts w:cs="Times New Roman"/>
                <w:szCs w:val="24"/>
              </w:rPr>
              <w:t>505</w:t>
            </w:r>
          </w:p>
        </w:tc>
        <w:tc>
          <w:tcPr>
            <w:tcW w:w="1257" w:type="dxa"/>
            <w:tcBorders>
              <w:top w:val="single" w:sz="4" w:space="0" w:color="auto"/>
              <w:left w:val="single" w:sz="4" w:space="0" w:color="7F7F7F" w:themeColor="text1" w:themeTint="80"/>
              <w:bottom w:val="single" w:sz="4" w:space="0" w:color="999999" w:themeColor="text1" w:themeTint="66"/>
              <w:right w:val="single" w:sz="4" w:space="0" w:color="7F7F7F" w:themeColor="text1" w:themeTint="80"/>
            </w:tcBorders>
          </w:tcPr>
          <w:p w14:paraId="3CBA3E8E" w14:textId="77777777" w:rsidR="00115B57" w:rsidRPr="00C617CF" w:rsidRDefault="00115B57" w:rsidP="00DC64B4">
            <w:pPr>
              <w:cnfStyle w:val="000000000000" w:firstRow="0" w:lastRow="0" w:firstColumn="0" w:lastColumn="0" w:oddVBand="0" w:evenVBand="0" w:oddHBand="0" w:evenHBand="0" w:firstRowFirstColumn="0" w:firstRowLastColumn="0" w:lastRowFirstColumn="0" w:lastRowLastColumn="0"/>
              <w:rPr>
                <w:rFonts w:cs="Times New Roman"/>
                <w:b/>
                <w:bCs/>
                <w:szCs w:val="24"/>
              </w:rPr>
            </w:pP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auto"/>
              <w:left w:val="single" w:sz="4" w:space="0" w:color="7F7F7F" w:themeColor="text1" w:themeTint="80"/>
              <w:bottom w:val="single" w:sz="4" w:space="0" w:color="999999" w:themeColor="text1" w:themeTint="66"/>
              <w:right w:val="single" w:sz="8" w:space="0" w:color="7F7F7F" w:themeColor="text1" w:themeTint="80"/>
            </w:tcBorders>
          </w:tcPr>
          <w:p w14:paraId="4FFEB237" w14:textId="77777777" w:rsidR="00115B57" w:rsidRPr="000B6F85" w:rsidRDefault="00115B57" w:rsidP="00DC64B4">
            <w:pPr>
              <w:rPr>
                <w:rFonts w:cs="Times New Roman"/>
                <w:szCs w:val="24"/>
              </w:rPr>
            </w:pPr>
            <w:r w:rsidRPr="000B6F85">
              <w:rPr>
                <w:rFonts w:cs="Times New Roman"/>
                <w:szCs w:val="24"/>
              </w:rPr>
              <w:t>Výdaje spojené s výkonem předsednictví ČR v Radě EU</w:t>
            </w:r>
          </w:p>
        </w:tc>
      </w:tr>
      <w:tr w:rsidR="00115B57" w:rsidRPr="00050948" w14:paraId="0FF30D56" w14:textId="77777777" w:rsidTr="00DC64B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5" w:type="dxa"/>
            <w:vMerge/>
            <w:tcBorders>
              <w:left w:val="single" w:sz="8" w:space="0" w:color="7F7F7F" w:themeColor="text1" w:themeTint="80"/>
              <w:bottom w:val="single" w:sz="8" w:space="0" w:color="7F7F7F" w:themeColor="text1" w:themeTint="80"/>
              <w:right w:val="single" w:sz="4" w:space="0" w:color="7F7F7F" w:themeColor="text1" w:themeTint="80"/>
            </w:tcBorders>
          </w:tcPr>
          <w:p w14:paraId="39500AB6" w14:textId="77777777" w:rsidR="00115B57" w:rsidRPr="00C90024" w:rsidRDefault="00115B57" w:rsidP="00DC64B4">
            <w:pPr>
              <w:rPr>
                <w:rFonts w:cs="Times New Roman"/>
                <w:b w:val="0"/>
                <w:color w:val="FF0000"/>
                <w:szCs w:val="24"/>
              </w:rPr>
            </w:pPr>
          </w:p>
        </w:tc>
        <w:tc>
          <w:tcPr>
            <w:tcW w:w="1257" w:type="dxa"/>
            <w:tcBorders>
              <w:top w:val="single" w:sz="4" w:space="0" w:color="999999" w:themeColor="text1" w:themeTint="66"/>
              <w:left w:val="single" w:sz="4" w:space="0" w:color="7F7F7F" w:themeColor="text1" w:themeTint="80"/>
              <w:bottom w:val="single" w:sz="8" w:space="0" w:color="7F7F7F" w:themeColor="text1" w:themeTint="80"/>
              <w:right w:val="single" w:sz="4" w:space="0" w:color="7F7F7F" w:themeColor="text1" w:themeTint="80"/>
            </w:tcBorders>
          </w:tcPr>
          <w:p w14:paraId="4EB7C600" w14:textId="77777777" w:rsidR="00115B57" w:rsidRPr="00050948" w:rsidRDefault="00115B57" w:rsidP="00DC64B4">
            <w:pPr>
              <w:cnfStyle w:val="010000000000" w:firstRow="0" w:lastRow="1" w:firstColumn="0" w:lastColumn="0" w:oddVBand="0" w:evenVBand="0" w:oddHBand="0" w:evenHBand="0" w:firstRowFirstColumn="0" w:firstRowLastColumn="0" w:lastRowFirstColumn="0" w:lastRowLastColumn="0"/>
              <w:rPr>
                <w:rFonts w:cs="Times New Roman"/>
                <w:b w:val="0"/>
                <w:szCs w:val="24"/>
              </w:rPr>
            </w:pPr>
            <w:r w:rsidRPr="00050948">
              <w:rPr>
                <w:rFonts w:cs="Times New Roman"/>
                <w:b w:val="0"/>
                <w:szCs w:val="24"/>
              </w:rPr>
              <w:t>505001</w:t>
            </w:r>
          </w:p>
        </w:tc>
        <w:tc>
          <w:tcPr>
            <w:cnfStyle w:val="000100000000" w:firstRow="0" w:lastRow="0" w:firstColumn="0" w:lastColumn="1" w:oddVBand="0" w:evenVBand="0" w:oddHBand="0" w:evenHBand="0" w:firstRowFirstColumn="0" w:firstRowLastColumn="0" w:lastRowFirstColumn="0" w:lastRowLastColumn="0"/>
            <w:tcW w:w="6790" w:type="dxa"/>
            <w:tcBorders>
              <w:top w:val="single" w:sz="4" w:space="0" w:color="999999" w:themeColor="text1" w:themeTint="66"/>
              <w:left w:val="single" w:sz="4" w:space="0" w:color="7F7F7F" w:themeColor="text1" w:themeTint="80"/>
              <w:bottom w:val="single" w:sz="8" w:space="0" w:color="7F7F7F" w:themeColor="text1" w:themeTint="80"/>
              <w:right w:val="single" w:sz="8" w:space="0" w:color="7F7F7F" w:themeColor="text1" w:themeTint="80"/>
            </w:tcBorders>
          </w:tcPr>
          <w:p w14:paraId="7B33DEB0" w14:textId="77777777" w:rsidR="00115B57" w:rsidRPr="00050948" w:rsidRDefault="00115B57" w:rsidP="00DC64B4">
            <w:pPr>
              <w:rPr>
                <w:rFonts w:cs="Times New Roman"/>
                <w:b w:val="0"/>
                <w:szCs w:val="24"/>
              </w:rPr>
            </w:pPr>
            <w:r w:rsidRPr="00050948">
              <w:rPr>
                <w:rFonts w:cs="Times New Roman"/>
                <w:b w:val="0"/>
                <w:szCs w:val="24"/>
              </w:rPr>
              <w:t>Výdaje spojené s výkonem předsednictví ČR v Radě EU</w:t>
            </w:r>
          </w:p>
        </w:tc>
      </w:tr>
    </w:tbl>
    <w:p w14:paraId="7A535868" w14:textId="77777777" w:rsidR="00115B57" w:rsidRPr="006219D7" w:rsidRDefault="00115B57" w:rsidP="00115B57">
      <w:pPr>
        <w:pStyle w:val="Nadpis9"/>
      </w:pPr>
      <w:r w:rsidRPr="006219D7">
        <w:t>501 – Drážní a kombinovaná doprava</w:t>
      </w:r>
    </w:p>
    <w:p w14:paraId="6D48F7CF" w14:textId="78548843" w:rsidR="00115B57" w:rsidRPr="005B1BD2" w:rsidRDefault="00115B57" w:rsidP="00115B57">
      <w:pPr>
        <w:pStyle w:val="Styl1"/>
      </w:pPr>
      <w:r w:rsidRPr="006219D7">
        <w:t xml:space="preserve">Výdajový blok je zaměřen na financování potřeb týkajících se drážní a kombinované dopravy. </w:t>
      </w:r>
      <w:r w:rsidRPr="00AF3A14">
        <w:t>V roce 202</w:t>
      </w:r>
      <w:r>
        <w:t>3</w:t>
      </w:r>
      <w:r w:rsidRPr="00AF3A14">
        <w:t xml:space="preserve"> je na tento výdajový blok rozpočtováno celkem </w:t>
      </w:r>
      <w:r>
        <w:t>10 843 888</w:t>
      </w:r>
      <w:r w:rsidRPr="00C75806">
        <w:rPr>
          <w:color w:val="FF0000"/>
        </w:rPr>
        <w:t xml:space="preserve"> </w:t>
      </w:r>
      <w:r w:rsidRPr="003131B0">
        <w:t xml:space="preserve">tis. Kč, tj. </w:t>
      </w:r>
      <w:r>
        <w:t>9</w:t>
      </w:r>
      <w:r w:rsidRPr="003131B0">
        <w:t>,</w:t>
      </w:r>
      <w:r>
        <w:t>62</w:t>
      </w:r>
      <w:r w:rsidRPr="003131B0">
        <w:t xml:space="preserve"> % </w:t>
      </w:r>
      <w:r w:rsidRPr="00AF3A14">
        <w:t>souhrnného ukazatele výdaje celkem. Finanční prostředky jsou v roce 202</w:t>
      </w:r>
      <w:r>
        <w:t>3</w:t>
      </w:r>
      <w:r w:rsidRPr="00AF3A14">
        <w:t xml:space="preserve"> rozpočtovány na dva okruhy: Úhrada ztráty ze závazku veřejné služby ve veřejné drážní osobní dopravě </w:t>
      </w:r>
      <w:r w:rsidRPr="00AF3A14">
        <w:br/>
      </w:r>
      <w:r w:rsidRPr="005B1BD2">
        <w:t>(</w:t>
      </w:r>
      <w:r>
        <w:t>10</w:t>
      </w:r>
      <w:r w:rsidRPr="005B1BD2">
        <w:t> </w:t>
      </w:r>
      <w:r>
        <w:t>8</w:t>
      </w:r>
      <w:r w:rsidRPr="005B1BD2">
        <w:t>27 355 tis. Kč) a Ostatní výdaje spojené s drážní dopr</w:t>
      </w:r>
      <w:r>
        <w:t>avou (16</w:t>
      </w:r>
      <w:r w:rsidRPr="005B1BD2">
        <w:t> </w:t>
      </w:r>
      <w:r>
        <w:t>533</w:t>
      </w:r>
      <w:r w:rsidRPr="005B1BD2">
        <w:t xml:space="preserve"> tis. Kč).</w:t>
      </w:r>
    </w:p>
    <w:p w14:paraId="2357A175" w14:textId="77777777" w:rsidR="00115B57" w:rsidRPr="00551FF5" w:rsidRDefault="00115B57" w:rsidP="00115B57">
      <w:pPr>
        <w:pStyle w:val="Nadpis9"/>
      </w:pPr>
      <w:r w:rsidRPr="00551FF5">
        <w:t>502 – Pozemní komunikace</w:t>
      </w:r>
    </w:p>
    <w:p w14:paraId="73D9D6A6" w14:textId="77777777" w:rsidR="00115B57" w:rsidRPr="00551FF5" w:rsidRDefault="00115B57" w:rsidP="00115B57">
      <w:pPr>
        <w:pStyle w:val="Styl1"/>
      </w:pPr>
      <w:r w:rsidRPr="00551FF5">
        <w:t xml:space="preserve">V rámci výdajového bloku se financují potřeby související s výstavbou, rekonstrukcí a modernizací pozemních komunikací ve vlastnictví státu, které jsou financovány prostřednictvím kapitoly 327-MD. </w:t>
      </w:r>
    </w:p>
    <w:p w14:paraId="070C93A5" w14:textId="77777777" w:rsidR="00115B57" w:rsidRPr="00551FF5" w:rsidRDefault="00115B57" w:rsidP="00115B57">
      <w:pPr>
        <w:pStyle w:val="Styl1"/>
      </w:pPr>
      <w:r w:rsidRPr="00551FF5">
        <w:t>V roce 202</w:t>
      </w:r>
      <w:r>
        <w:t>3</w:t>
      </w:r>
      <w:r w:rsidRPr="00551FF5">
        <w:t xml:space="preserve"> nejsou na tento výdajový blok rozpočtovány žádné prostředky. </w:t>
      </w:r>
    </w:p>
    <w:p w14:paraId="0888E5CE" w14:textId="77777777" w:rsidR="00115B57" w:rsidRPr="00FC60F8" w:rsidRDefault="00115B57" w:rsidP="00115B57">
      <w:pPr>
        <w:pStyle w:val="Nadpis9"/>
      </w:pPr>
      <w:r w:rsidRPr="00FC60F8">
        <w:t>503 – Dotace pro Státní fond dopravní infrastruktury</w:t>
      </w:r>
    </w:p>
    <w:p w14:paraId="06E4C08B" w14:textId="77777777" w:rsidR="00115B57" w:rsidRPr="00FC60F8" w:rsidRDefault="00115B57" w:rsidP="00115B57">
      <w:pPr>
        <w:pStyle w:val="Styl1"/>
      </w:pPr>
      <w:r w:rsidRPr="00FC60F8">
        <w:t xml:space="preserve">Výdajový blok se využívá k transferu finančních prostředků pro SFDI, kterému </w:t>
      </w:r>
      <w:r w:rsidRPr="00FC60F8">
        <w:br/>
        <w:t>§ 4, odst. 1 písm. j) zákona č. 104/2000 Sb., o Státním fondu dopravní infrastruktury, umožňuje přijímat dotace ze státního rozpočtu.</w:t>
      </w:r>
    </w:p>
    <w:p w14:paraId="10BB4A86" w14:textId="77777777" w:rsidR="00115B57" w:rsidRPr="00FC60F8" w:rsidRDefault="00115B57" w:rsidP="00115B57">
      <w:pPr>
        <w:pStyle w:val="Styl1"/>
      </w:pPr>
      <w:r w:rsidRPr="00FC60F8">
        <w:t>V roce 202</w:t>
      </w:r>
      <w:r>
        <w:t>3</w:t>
      </w:r>
      <w:r w:rsidRPr="00FC60F8">
        <w:t xml:space="preserve"> je na tento výdajový blok rozpočtováno celkem </w:t>
      </w:r>
      <w:r>
        <w:t>92 369 489</w:t>
      </w:r>
      <w:r w:rsidRPr="00C75806">
        <w:rPr>
          <w:color w:val="FF0000"/>
        </w:rPr>
        <w:t xml:space="preserve"> </w:t>
      </w:r>
      <w:r w:rsidRPr="006B0EC0">
        <w:t xml:space="preserve">tis. Kč, tj. </w:t>
      </w:r>
      <w:r>
        <w:t>81</w:t>
      </w:r>
      <w:r w:rsidRPr="006B0EC0">
        <w:t>,</w:t>
      </w:r>
      <w:r>
        <w:t>96</w:t>
      </w:r>
      <w:r w:rsidRPr="006B0EC0">
        <w:t xml:space="preserve"> % </w:t>
      </w:r>
      <w:r w:rsidRPr="00FC60F8">
        <w:t>souhrnného ukazatele výdaje celkem. Výdajový blok se dělí na dva výdajové okruhy:</w:t>
      </w:r>
    </w:p>
    <w:p w14:paraId="7C26A8BA" w14:textId="77777777" w:rsidR="00115B57" w:rsidRPr="008F7F8A" w:rsidRDefault="00115B57" w:rsidP="00115B57">
      <w:pPr>
        <w:pStyle w:val="Styl1"/>
        <w:keepLines w:val="0"/>
        <w:numPr>
          <w:ilvl w:val="0"/>
          <w:numId w:val="22"/>
        </w:numPr>
        <w:ind w:left="568" w:hanging="284"/>
        <w:rPr>
          <w:b/>
          <w:bCs/>
        </w:rPr>
      </w:pPr>
      <w:r w:rsidRPr="005D5E5E">
        <w:rPr>
          <w:u w:val="single"/>
        </w:rPr>
        <w:t>Dotace pro společné programy (projekty) EU a ČR</w:t>
      </w:r>
      <w:r w:rsidRPr="005D5E5E">
        <w:t xml:space="preserve"> – prostřednictvím tohoto okruhu jsou poskytovány prostředky kryté příjmem EU na financování projektů Operačního programu Doprava, ve kterém SFDI plní </w:t>
      </w:r>
      <w:r w:rsidRPr="00FA2D93">
        <w:t xml:space="preserve">funkci zprostředkujícího subjektu, dále také prostředky na financování komunitárních programů, u kterých zajišťuje SFDI národní spolufinancování </w:t>
      </w:r>
      <w:r>
        <w:t>a na financování projektů Národního plánu obnovy. V roce 2023</w:t>
      </w:r>
      <w:r w:rsidRPr="005D5E5E">
        <w:t xml:space="preserve"> se předpokládají prostředky ve </w:t>
      </w:r>
      <w:r w:rsidRPr="008F7F8A">
        <w:t>výši 27 544 489 tis. Kč, v plné výši se jedná o prostředky EU.</w:t>
      </w:r>
    </w:p>
    <w:p w14:paraId="7223F4A8" w14:textId="194388F7" w:rsidR="00115B57" w:rsidRPr="005D5E5E" w:rsidRDefault="00115B57" w:rsidP="00115B57">
      <w:pPr>
        <w:pStyle w:val="Styl1"/>
        <w:keepLines w:val="0"/>
        <w:numPr>
          <w:ilvl w:val="0"/>
          <w:numId w:val="22"/>
        </w:numPr>
        <w:ind w:left="568" w:hanging="284"/>
        <w:rPr>
          <w:b/>
          <w:bCs/>
        </w:rPr>
      </w:pPr>
      <w:r w:rsidRPr="005D5E5E">
        <w:rPr>
          <w:u w:val="single"/>
        </w:rPr>
        <w:t>Ostatní dotace pro SFDI</w:t>
      </w:r>
      <w:r w:rsidRPr="005D5E5E">
        <w:t xml:space="preserve"> – prostřednictvím tohoto okruhu se poskytují prostředky </w:t>
      </w:r>
      <w:r>
        <w:t xml:space="preserve">z úvěru přijatého Českou republikou od Evropské investiční banky na základě UV č. 726/2018, prostředky </w:t>
      </w:r>
      <w:r w:rsidRPr="005D5E5E">
        <w:t>na krytí deficitu rozpočtu SFDI a</w:t>
      </w:r>
      <w:r>
        <w:t xml:space="preserve"> na</w:t>
      </w:r>
      <w:r w:rsidRPr="005D5E5E">
        <w:t xml:space="preserve"> další aktivity, které nespadají do </w:t>
      </w:r>
      <w:r>
        <w:t xml:space="preserve">výše uvedeného </w:t>
      </w:r>
      <w:r w:rsidRPr="005D5E5E">
        <w:t>výdajov</w:t>
      </w:r>
      <w:r>
        <w:t>ého</w:t>
      </w:r>
      <w:r w:rsidRPr="005D5E5E">
        <w:t xml:space="preserve"> okruh</w:t>
      </w:r>
      <w:r>
        <w:t>u</w:t>
      </w:r>
      <w:r w:rsidRPr="005D5E5E">
        <w:t xml:space="preserve">. </w:t>
      </w:r>
      <w:r w:rsidRPr="0099190C">
        <w:t xml:space="preserve">Pro rok 2023 se navrhuje částka ve výši </w:t>
      </w:r>
      <w:r w:rsidRPr="0099190C">
        <w:br/>
        <w:t xml:space="preserve">64 825 000 tis. Kč, která je </w:t>
      </w:r>
      <w:r w:rsidR="0099190C" w:rsidRPr="0099190C">
        <w:t>určena</w:t>
      </w:r>
      <w:r w:rsidR="0099190C">
        <w:t xml:space="preserve"> na zajištění pokrytí výdajů na dokončení rozestavěných staveb a na zajištění výdajů na nově zahajované stavby realizované ŘSD ČR a Správou železnic.</w:t>
      </w:r>
    </w:p>
    <w:p w14:paraId="686DD26E" w14:textId="77777777" w:rsidR="00115B57" w:rsidRPr="00F21834" w:rsidRDefault="00115B57" w:rsidP="00115B57">
      <w:pPr>
        <w:spacing w:before="240" w:after="120"/>
        <w:rPr>
          <w:rFonts w:cs="Times New Roman"/>
          <w:b/>
          <w:szCs w:val="24"/>
          <w:u w:val="single"/>
        </w:rPr>
      </w:pPr>
      <w:r w:rsidRPr="00F21834">
        <w:rPr>
          <w:rFonts w:cs="Times New Roman"/>
          <w:b/>
          <w:szCs w:val="24"/>
          <w:u w:val="single"/>
        </w:rPr>
        <w:t>504 – Ostatní výdaje spojené s </w:t>
      </w:r>
      <w:r w:rsidRPr="00F21834">
        <w:rPr>
          <w:rStyle w:val="Nadpis9Char"/>
        </w:rPr>
        <w:t>dopravní</w:t>
      </w:r>
      <w:r w:rsidRPr="00F21834">
        <w:rPr>
          <w:rFonts w:cs="Times New Roman"/>
          <w:b/>
          <w:szCs w:val="24"/>
          <w:u w:val="single"/>
        </w:rPr>
        <w:t xml:space="preserve"> politikou státu</w:t>
      </w:r>
    </w:p>
    <w:p w14:paraId="3D366CDD" w14:textId="77777777" w:rsidR="00B1782C" w:rsidRPr="00F21834" w:rsidRDefault="00115B57" w:rsidP="00B1782C">
      <w:pPr>
        <w:pStyle w:val="Styl1"/>
      </w:pPr>
      <w:r w:rsidRPr="00F21834">
        <w:t>Výdajový blok zahrnuje všechny ostatní výdaje, které nespadají do předchozích výdajových bloků mimo výdajů spojených s výkonem předsednictví ČR v Radě EU. V roce 202</w:t>
      </w:r>
      <w:r>
        <w:t>3</w:t>
      </w:r>
      <w:r w:rsidRPr="00F21834">
        <w:t xml:space="preserve"> je na tento výdajový blok rozpočtováno </w:t>
      </w:r>
      <w:r>
        <w:t>9 484 338</w:t>
      </w:r>
      <w:r w:rsidRPr="000F1376">
        <w:t xml:space="preserve"> tis. Kč, tj. </w:t>
      </w:r>
      <w:r>
        <w:t>8</w:t>
      </w:r>
      <w:r w:rsidRPr="000F1376">
        <w:t>,4</w:t>
      </w:r>
      <w:r>
        <w:t>2</w:t>
      </w:r>
      <w:r w:rsidRPr="000F1376">
        <w:t xml:space="preserve"> % souhrnného </w:t>
      </w:r>
      <w:r w:rsidRPr="00F21834">
        <w:t>ukazatele výdaje celkem.</w:t>
      </w:r>
      <w:r w:rsidR="00B1782C">
        <w:t xml:space="preserve"> </w:t>
      </w:r>
      <w:r w:rsidR="00B1782C" w:rsidRPr="000B69E1">
        <w:t>Prostředky jsou rozpočtovány na dva okruhy: Další výdaje spojené s dopravní politikou státu (8 276 100 tis. Kč) a Výdaje spojené s kosmickými aktivitami (1 208 238 tis. Kč).</w:t>
      </w:r>
    </w:p>
    <w:p w14:paraId="13B49F1C" w14:textId="77777777" w:rsidR="00115B57" w:rsidRPr="00F21834" w:rsidRDefault="00115B57" w:rsidP="00115B57">
      <w:pPr>
        <w:pStyle w:val="Styl1"/>
        <w:rPr>
          <w:i/>
        </w:rPr>
      </w:pPr>
      <w:r w:rsidRPr="00F21834">
        <w:t>Podrobnější charakteristika vymezující funkční a věcný obsah tohoto bloku je uvedena v dalších částech kapitolního sešitu.</w:t>
      </w:r>
    </w:p>
    <w:p w14:paraId="13489EE9" w14:textId="77777777" w:rsidR="00115B57" w:rsidRPr="00F21834" w:rsidRDefault="00115B57" w:rsidP="00115B57">
      <w:pPr>
        <w:pStyle w:val="Nadpis9"/>
      </w:pPr>
      <w:r w:rsidRPr="00F21834">
        <w:t>505 – Výdaje spojené s výkonem předsednictví ČR v Radě EU</w:t>
      </w:r>
    </w:p>
    <w:p w14:paraId="64050AC9" w14:textId="77777777" w:rsidR="00115B57" w:rsidRPr="00F21834" w:rsidRDefault="00115B57" w:rsidP="00115B57">
      <w:pPr>
        <w:pStyle w:val="Styl1"/>
      </w:pPr>
      <w:r w:rsidRPr="00F21834">
        <w:t>Výdajový blok zahrnuje výdaje určené na předsednictví ČR v Radě Evropské unie. Č</w:t>
      </w:r>
      <w:r>
        <w:t xml:space="preserve">eská republika </w:t>
      </w:r>
      <w:r w:rsidRPr="00F21834">
        <w:t>se v druhé polovině roku 2022 uj</w:t>
      </w:r>
      <w:r>
        <w:t>ala</w:t>
      </w:r>
      <w:r w:rsidRPr="00F21834">
        <w:t xml:space="preserve"> půlročního předsednictví</w:t>
      </w:r>
      <w:r>
        <w:t>.</w:t>
      </w:r>
      <w:r w:rsidRPr="00F21834">
        <w:t xml:space="preserve"> V roce 202</w:t>
      </w:r>
      <w:r>
        <w:t>3</w:t>
      </w:r>
      <w:r w:rsidRPr="00F21834">
        <w:t xml:space="preserve"> jsou na výdajový blok rozpočtované prostředky ve výši </w:t>
      </w:r>
      <w:r>
        <w:t xml:space="preserve">3 </w:t>
      </w:r>
      <w:r w:rsidRPr="00D72DF0">
        <w:t>152 tis. Kč</w:t>
      </w:r>
      <w:r>
        <w:t>.</w:t>
      </w:r>
      <w:r w:rsidRPr="00F21834">
        <w:t xml:space="preserve"> </w:t>
      </w:r>
    </w:p>
    <w:p w14:paraId="307BBF6D" w14:textId="771500A1" w:rsidR="00115B57" w:rsidRPr="006507DB" w:rsidRDefault="00115B57" w:rsidP="00115B57">
      <w:pPr>
        <w:pStyle w:val="Titulek"/>
      </w:pPr>
      <w:r w:rsidRPr="006507DB">
        <w:t xml:space="preserve">Tabulka č. </w:t>
      </w:r>
      <w:fldSimple w:instr=" SEQ Tabulka \* ARABIC ">
        <w:r w:rsidR="00F80947">
          <w:rPr>
            <w:noProof/>
          </w:rPr>
          <w:t>6</w:t>
        </w:r>
      </w:fldSimple>
      <w:r w:rsidRPr="006507DB">
        <w:t xml:space="preserve"> Přehled celkových výdajů v rámci kapitoly 327 MD (v tis. Kč)</w:t>
      </w:r>
    </w:p>
    <w:tbl>
      <w:tblPr>
        <w:tblStyle w:val="Svtltabulkasmkou1"/>
        <w:tblW w:w="948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1266"/>
        <w:gridCol w:w="1275"/>
        <w:gridCol w:w="1276"/>
        <w:gridCol w:w="1418"/>
        <w:gridCol w:w="1418"/>
        <w:gridCol w:w="1417"/>
        <w:gridCol w:w="1417"/>
      </w:tblGrid>
      <w:tr w:rsidR="000B69E1" w:rsidRPr="006507DB" w14:paraId="7E8FA9E7" w14:textId="77777777" w:rsidTr="000B69E1">
        <w:tc>
          <w:tcPr>
            <w:tcW w:w="1266" w:type="dxa"/>
            <w:vMerge w:val="restart"/>
            <w:tcBorders>
              <w:top w:val="single" w:sz="8" w:space="0" w:color="7F7F7F" w:themeColor="text1" w:themeTint="80"/>
            </w:tcBorders>
            <w:shd w:val="thinReverseDiagStripe" w:color="D9D9D9" w:themeColor="background1" w:themeShade="D9" w:fill="FFFFFF" w:themeFill="background1"/>
            <w:vAlign w:val="center"/>
          </w:tcPr>
          <w:p w14:paraId="166B7C7C" w14:textId="77777777" w:rsidR="00115B57" w:rsidRPr="006507DB" w:rsidRDefault="00115B57" w:rsidP="00DC64B4">
            <w:pPr>
              <w:pStyle w:val="Zkladntext"/>
              <w:jc w:val="center"/>
              <w:rPr>
                <w:b/>
                <w:sz w:val="22"/>
                <w:szCs w:val="22"/>
              </w:rPr>
            </w:pPr>
            <w:r w:rsidRPr="006507DB">
              <w:rPr>
                <w:b/>
                <w:sz w:val="22"/>
                <w:szCs w:val="22"/>
              </w:rPr>
              <w:t>Výdaje celkem</w:t>
            </w:r>
          </w:p>
        </w:tc>
        <w:tc>
          <w:tcPr>
            <w:tcW w:w="1275"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34936A41" w14:textId="77777777" w:rsidR="00115B57" w:rsidRPr="006507DB" w:rsidRDefault="00115B57" w:rsidP="00DC64B4">
            <w:pPr>
              <w:jc w:val="center"/>
              <w:rPr>
                <w:rFonts w:cs="Times New Roman"/>
                <w:b/>
                <w:sz w:val="22"/>
              </w:rPr>
            </w:pPr>
            <w:r w:rsidRPr="006507DB">
              <w:rPr>
                <w:rFonts w:cs="Times New Roman"/>
                <w:b/>
                <w:sz w:val="22"/>
              </w:rPr>
              <w:t>Skutečnost 201</w:t>
            </w:r>
            <w:r>
              <w:rPr>
                <w:rFonts w:cs="Times New Roman"/>
                <w:b/>
                <w:sz w:val="22"/>
              </w:rPr>
              <w:t>8</w:t>
            </w:r>
          </w:p>
        </w:tc>
        <w:tc>
          <w:tcPr>
            <w:tcW w:w="1276"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166004DA" w14:textId="77777777" w:rsidR="00115B57" w:rsidRPr="006507DB" w:rsidRDefault="00115B57" w:rsidP="00DC64B4">
            <w:pPr>
              <w:jc w:val="center"/>
              <w:rPr>
                <w:rFonts w:cs="Times New Roman"/>
                <w:b/>
                <w:sz w:val="22"/>
              </w:rPr>
            </w:pPr>
            <w:r w:rsidRPr="006507DB">
              <w:rPr>
                <w:rFonts w:cs="Times New Roman"/>
                <w:b/>
                <w:sz w:val="22"/>
              </w:rPr>
              <w:t>Skutečnost 201</w:t>
            </w:r>
            <w:r>
              <w:rPr>
                <w:rFonts w:cs="Times New Roman"/>
                <w:b/>
                <w:sz w:val="22"/>
              </w:rPr>
              <w:t>9</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7CA6CC60" w14:textId="77777777" w:rsidR="00115B57" w:rsidRPr="006507DB" w:rsidRDefault="00115B57" w:rsidP="00DC64B4">
            <w:pPr>
              <w:jc w:val="center"/>
              <w:rPr>
                <w:rFonts w:cs="Times New Roman"/>
                <w:b/>
                <w:sz w:val="22"/>
              </w:rPr>
            </w:pPr>
            <w:r w:rsidRPr="006507DB">
              <w:rPr>
                <w:rFonts w:cs="Times New Roman"/>
                <w:b/>
                <w:sz w:val="22"/>
              </w:rPr>
              <w:t>Skutečnost 20</w:t>
            </w:r>
            <w:r>
              <w:rPr>
                <w:rFonts w:cs="Times New Roman"/>
                <w:b/>
                <w:sz w:val="22"/>
              </w:rPr>
              <w:t>20</w:t>
            </w:r>
          </w:p>
        </w:tc>
        <w:tc>
          <w:tcPr>
            <w:tcW w:w="1418"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vAlign w:val="center"/>
          </w:tcPr>
          <w:p w14:paraId="25FB6D06" w14:textId="77777777" w:rsidR="00115B57" w:rsidRPr="006507DB" w:rsidRDefault="00115B57" w:rsidP="00DC64B4">
            <w:pPr>
              <w:jc w:val="center"/>
              <w:rPr>
                <w:rFonts w:cs="Times New Roman"/>
                <w:b/>
                <w:sz w:val="22"/>
              </w:rPr>
            </w:pPr>
            <w:r w:rsidRPr="006507DB">
              <w:rPr>
                <w:rFonts w:cs="Times New Roman"/>
                <w:b/>
                <w:sz w:val="22"/>
              </w:rPr>
              <w:t>Skutečnost 20</w:t>
            </w:r>
            <w:r>
              <w:rPr>
                <w:rFonts w:cs="Times New Roman"/>
                <w:b/>
                <w:sz w:val="22"/>
              </w:rPr>
              <w:t>21</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39923341" w14:textId="77777777" w:rsidR="00115B57" w:rsidRPr="006507DB" w:rsidRDefault="00115B57" w:rsidP="00DC64B4">
            <w:pPr>
              <w:jc w:val="center"/>
              <w:rPr>
                <w:rFonts w:cs="Times New Roman"/>
                <w:b/>
                <w:sz w:val="22"/>
              </w:rPr>
            </w:pPr>
            <w:r w:rsidRPr="006507DB">
              <w:rPr>
                <w:rFonts w:cs="Times New Roman"/>
                <w:b/>
                <w:sz w:val="22"/>
              </w:rPr>
              <w:t>Schválený rozpočet 202</w:t>
            </w:r>
            <w:r>
              <w:rPr>
                <w:rFonts w:cs="Times New Roman"/>
                <w:b/>
                <w:sz w:val="22"/>
              </w:rPr>
              <w:t>2</w:t>
            </w:r>
          </w:p>
        </w:tc>
        <w:tc>
          <w:tcPr>
            <w:tcW w:w="1417" w:type="dxa"/>
            <w:tcBorders>
              <w:top w:val="single" w:sz="8" w:space="0" w:color="7F7F7F" w:themeColor="text1" w:themeTint="80"/>
              <w:bottom w:val="single" w:sz="8" w:space="0" w:color="7F7F7F" w:themeColor="text1" w:themeTint="80"/>
            </w:tcBorders>
            <w:shd w:val="thinReverseDiagStripe" w:color="D9D9D9" w:themeColor="background1" w:themeShade="D9" w:fill="FFFFFF" w:themeFill="background1"/>
          </w:tcPr>
          <w:p w14:paraId="38C527AB" w14:textId="77777777" w:rsidR="00115B57" w:rsidRPr="006507DB" w:rsidRDefault="00115B57" w:rsidP="00DC64B4">
            <w:pPr>
              <w:jc w:val="center"/>
              <w:rPr>
                <w:rFonts w:cs="Times New Roman"/>
                <w:b/>
                <w:sz w:val="22"/>
              </w:rPr>
            </w:pPr>
            <w:r w:rsidRPr="006507DB">
              <w:rPr>
                <w:rFonts w:cs="Times New Roman"/>
                <w:b/>
                <w:sz w:val="22"/>
              </w:rPr>
              <w:t>Návrh rozpočtu 202</w:t>
            </w:r>
            <w:r>
              <w:rPr>
                <w:rFonts w:cs="Times New Roman"/>
                <w:b/>
                <w:sz w:val="22"/>
              </w:rPr>
              <w:t>3</w:t>
            </w:r>
          </w:p>
        </w:tc>
      </w:tr>
      <w:tr w:rsidR="00115B57" w:rsidRPr="00A55E0E" w14:paraId="250A51CB" w14:textId="77777777" w:rsidTr="000B69E1">
        <w:tc>
          <w:tcPr>
            <w:tcW w:w="1266" w:type="dxa"/>
            <w:vMerge/>
            <w:tcBorders>
              <w:bottom w:val="single" w:sz="8" w:space="0" w:color="7F7F7F" w:themeColor="text1" w:themeTint="80"/>
            </w:tcBorders>
          </w:tcPr>
          <w:p w14:paraId="6875FA80" w14:textId="77777777" w:rsidR="00115B57" w:rsidRPr="006507DB" w:rsidRDefault="00115B57" w:rsidP="00DC64B4">
            <w:pPr>
              <w:rPr>
                <w:rFonts w:cs="Times New Roman"/>
                <w:b/>
                <w:szCs w:val="24"/>
              </w:rPr>
            </w:pPr>
          </w:p>
        </w:tc>
        <w:tc>
          <w:tcPr>
            <w:tcW w:w="1275" w:type="dxa"/>
            <w:tcBorders>
              <w:top w:val="single" w:sz="8" w:space="0" w:color="7F7F7F" w:themeColor="text1" w:themeTint="80"/>
              <w:bottom w:val="single" w:sz="8" w:space="0" w:color="7F7F7F" w:themeColor="text1" w:themeTint="80"/>
            </w:tcBorders>
            <w:vAlign w:val="center"/>
          </w:tcPr>
          <w:p w14:paraId="1117FCCF" w14:textId="77777777" w:rsidR="00115B57" w:rsidRPr="006507DB" w:rsidRDefault="00115B57" w:rsidP="00DC64B4">
            <w:pPr>
              <w:pStyle w:val="Zkladntext"/>
              <w:spacing w:before="81"/>
              <w:jc w:val="right"/>
              <w:rPr>
                <w:bCs w:val="0"/>
                <w:sz w:val="22"/>
                <w:szCs w:val="22"/>
              </w:rPr>
            </w:pPr>
            <w:r w:rsidRPr="006507DB">
              <w:rPr>
                <w:bCs w:val="0"/>
                <w:sz w:val="22"/>
                <w:szCs w:val="22"/>
              </w:rPr>
              <w:t>51 935 675</w:t>
            </w:r>
          </w:p>
        </w:tc>
        <w:tc>
          <w:tcPr>
            <w:tcW w:w="1276" w:type="dxa"/>
            <w:tcBorders>
              <w:top w:val="single" w:sz="8" w:space="0" w:color="7F7F7F" w:themeColor="text1" w:themeTint="80"/>
              <w:bottom w:val="single" w:sz="8" w:space="0" w:color="7F7F7F" w:themeColor="text1" w:themeTint="80"/>
            </w:tcBorders>
          </w:tcPr>
          <w:p w14:paraId="604A51C9" w14:textId="77777777" w:rsidR="00115B57" w:rsidRPr="006507DB" w:rsidRDefault="00115B57" w:rsidP="00DC64B4">
            <w:pPr>
              <w:pStyle w:val="Zkladntext"/>
              <w:spacing w:before="81"/>
              <w:jc w:val="right"/>
              <w:rPr>
                <w:bCs w:val="0"/>
                <w:sz w:val="22"/>
                <w:szCs w:val="22"/>
              </w:rPr>
            </w:pPr>
            <w:r w:rsidRPr="006507DB">
              <w:rPr>
                <w:bCs w:val="0"/>
                <w:sz w:val="22"/>
                <w:szCs w:val="22"/>
              </w:rPr>
              <w:t>75 228 814</w:t>
            </w:r>
          </w:p>
        </w:tc>
        <w:tc>
          <w:tcPr>
            <w:tcW w:w="1418" w:type="dxa"/>
            <w:tcBorders>
              <w:top w:val="single" w:sz="8" w:space="0" w:color="7F7F7F" w:themeColor="text1" w:themeTint="80"/>
              <w:bottom w:val="single" w:sz="8" w:space="0" w:color="7F7F7F" w:themeColor="text1" w:themeTint="80"/>
            </w:tcBorders>
          </w:tcPr>
          <w:p w14:paraId="1E307BE4" w14:textId="47A5E00C" w:rsidR="00115B57" w:rsidRPr="006507DB" w:rsidRDefault="00B1782C">
            <w:pPr>
              <w:pStyle w:val="Zkladntext"/>
              <w:spacing w:before="81"/>
              <w:jc w:val="right"/>
              <w:rPr>
                <w:bCs w:val="0"/>
                <w:sz w:val="22"/>
                <w:szCs w:val="22"/>
              </w:rPr>
            </w:pPr>
            <w:r>
              <w:rPr>
                <w:bCs w:val="0"/>
                <w:sz w:val="22"/>
                <w:szCs w:val="22"/>
              </w:rPr>
              <w:t>106 930 413</w:t>
            </w:r>
          </w:p>
        </w:tc>
        <w:tc>
          <w:tcPr>
            <w:tcW w:w="1418" w:type="dxa"/>
            <w:tcBorders>
              <w:top w:val="single" w:sz="8" w:space="0" w:color="7F7F7F" w:themeColor="text1" w:themeTint="80"/>
              <w:bottom w:val="single" w:sz="8" w:space="0" w:color="7F7F7F" w:themeColor="text1" w:themeTint="80"/>
            </w:tcBorders>
          </w:tcPr>
          <w:p w14:paraId="450D9492" w14:textId="77777777" w:rsidR="00115B57" w:rsidRPr="006507DB" w:rsidRDefault="00115B57" w:rsidP="00DC64B4">
            <w:pPr>
              <w:pStyle w:val="Zkladntext"/>
              <w:spacing w:before="81"/>
              <w:jc w:val="right"/>
              <w:rPr>
                <w:bCs w:val="0"/>
                <w:sz w:val="22"/>
                <w:szCs w:val="22"/>
              </w:rPr>
            </w:pPr>
            <w:r>
              <w:rPr>
                <w:bCs w:val="0"/>
                <w:sz w:val="22"/>
                <w:szCs w:val="22"/>
              </w:rPr>
              <w:t>107 538 745</w:t>
            </w:r>
          </w:p>
        </w:tc>
        <w:tc>
          <w:tcPr>
            <w:tcW w:w="1417" w:type="dxa"/>
            <w:tcBorders>
              <w:top w:val="single" w:sz="8" w:space="0" w:color="7F7F7F" w:themeColor="text1" w:themeTint="80"/>
              <w:bottom w:val="single" w:sz="8" w:space="0" w:color="7F7F7F" w:themeColor="text1" w:themeTint="80"/>
            </w:tcBorders>
          </w:tcPr>
          <w:p w14:paraId="35098E77" w14:textId="77777777" w:rsidR="00115B57" w:rsidRPr="00C75806" w:rsidRDefault="00115B57" w:rsidP="00DC64B4">
            <w:pPr>
              <w:pStyle w:val="Zkladntext"/>
              <w:spacing w:before="81"/>
              <w:jc w:val="right"/>
              <w:rPr>
                <w:bCs w:val="0"/>
                <w:color w:val="FF0000"/>
                <w:sz w:val="22"/>
                <w:szCs w:val="22"/>
              </w:rPr>
            </w:pPr>
            <w:r w:rsidRPr="00016952">
              <w:rPr>
                <w:bCs w:val="0"/>
                <w:sz w:val="22"/>
                <w:szCs w:val="22"/>
              </w:rPr>
              <w:t>107 226 660</w:t>
            </w:r>
          </w:p>
        </w:tc>
        <w:tc>
          <w:tcPr>
            <w:tcW w:w="1417" w:type="dxa"/>
            <w:tcBorders>
              <w:top w:val="single" w:sz="8" w:space="0" w:color="7F7F7F" w:themeColor="text1" w:themeTint="80"/>
              <w:bottom w:val="single" w:sz="8" w:space="0" w:color="7F7F7F" w:themeColor="text1" w:themeTint="80"/>
            </w:tcBorders>
          </w:tcPr>
          <w:p w14:paraId="4AAB3483" w14:textId="77777777" w:rsidR="00115B57" w:rsidRPr="00A55E0E" w:rsidRDefault="00115B57" w:rsidP="00DC64B4">
            <w:pPr>
              <w:pStyle w:val="Zkladntext"/>
              <w:spacing w:before="81"/>
              <w:jc w:val="right"/>
              <w:rPr>
                <w:bCs w:val="0"/>
                <w:sz w:val="22"/>
                <w:szCs w:val="22"/>
              </w:rPr>
            </w:pPr>
            <w:r>
              <w:rPr>
                <w:bCs w:val="0"/>
                <w:sz w:val="22"/>
                <w:szCs w:val="22"/>
              </w:rPr>
              <w:t>112 700 867</w:t>
            </w:r>
          </w:p>
        </w:tc>
      </w:tr>
    </w:tbl>
    <w:p w14:paraId="2538E4F9" w14:textId="2F780BC6" w:rsidR="008C7EA3" w:rsidRPr="0088307E" w:rsidRDefault="008C7EA3" w:rsidP="008C7EA3">
      <w:pPr>
        <w:pStyle w:val="Nadpis3"/>
      </w:pPr>
      <w:bookmarkStart w:id="31" w:name="_Toc115786838"/>
      <w:bookmarkStart w:id="32" w:name="_Toc115787428"/>
      <w:bookmarkStart w:id="33" w:name="_Toc115786839"/>
      <w:bookmarkStart w:id="34" w:name="_Toc115787429"/>
      <w:bookmarkStart w:id="35" w:name="_Toc115786840"/>
      <w:bookmarkStart w:id="36" w:name="_Toc115787430"/>
      <w:bookmarkStart w:id="37" w:name="_Toc115786841"/>
      <w:bookmarkStart w:id="38" w:name="_Toc115787431"/>
      <w:bookmarkStart w:id="39" w:name="_Toc115786850"/>
      <w:bookmarkStart w:id="40" w:name="_Toc115787440"/>
      <w:bookmarkStart w:id="41" w:name="_Toc115786854"/>
      <w:bookmarkStart w:id="42" w:name="_Toc115787444"/>
      <w:bookmarkStart w:id="43" w:name="_Toc115786858"/>
      <w:bookmarkStart w:id="44" w:name="_Toc115787448"/>
      <w:bookmarkStart w:id="45" w:name="_Toc115786862"/>
      <w:bookmarkStart w:id="46" w:name="_Toc115787452"/>
      <w:bookmarkStart w:id="47" w:name="_Toc115786866"/>
      <w:bookmarkStart w:id="48" w:name="_Toc115787456"/>
      <w:bookmarkStart w:id="49" w:name="_Toc115786874"/>
      <w:bookmarkStart w:id="50" w:name="_Toc115787464"/>
      <w:bookmarkStart w:id="51" w:name="_Toc115786882"/>
      <w:bookmarkStart w:id="52" w:name="_Toc115787472"/>
      <w:bookmarkStart w:id="53" w:name="_Toc115786886"/>
      <w:bookmarkStart w:id="54" w:name="_Toc115787476"/>
      <w:bookmarkStart w:id="55" w:name="_Toc115786894"/>
      <w:bookmarkStart w:id="56" w:name="_Toc115787484"/>
      <w:bookmarkStart w:id="57" w:name="_Toc115786898"/>
      <w:bookmarkStart w:id="58" w:name="_Toc115787488"/>
      <w:bookmarkStart w:id="59" w:name="_Toc115786906"/>
      <w:bookmarkStart w:id="60" w:name="_Toc115787496"/>
      <w:bookmarkStart w:id="61" w:name="_Toc115786910"/>
      <w:bookmarkStart w:id="62" w:name="_Toc115787500"/>
      <w:bookmarkStart w:id="63" w:name="_Toc115786911"/>
      <w:bookmarkStart w:id="64" w:name="_Toc115787501"/>
      <w:bookmarkStart w:id="65" w:name="_Toc115786912"/>
      <w:bookmarkStart w:id="66" w:name="_Toc115787502"/>
      <w:bookmarkStart w:id="67" w:name="_Toc115786913"/>
      <w:bookmarkStart w:id="68" w:name="_Toc115787503"/>
      <w:bookmarkStart w:id="69" w:name="_Toc115786914"/>
      <w:bookmarkStart w:id="70" w:name="_Toc115787504"/>
      <w:bookmarkStart w:id="71" w:name="_Toc115786915"/>
      <w:bookmarkStart w:id="72" w:name="_Toc115787505"/>
      <w:bookmarkStart w:id="73" w:name="_Toc115786916"/>
      <w:bookmarkStart w:id="74" w:name="_Toc115787506"/>
      <w:bookmarkStart w:id="75" w:name="_Toc115786917"/>
      <w:bookmarkStart w:id="76" w:name="_Toc115787507"/>
      <w:bookmarkStart w:id="77" w:name="_Toc115786918"/>
      <w:bookmarkStart w:id="78" w:name="_Toc115787508"/>
      <w:bookmarkStart w:id="79" w:name="_Toc115786919"/>
      <w:bookmarkStart w:id="80" w:name="_Toc115787509"/>
      <w:bookmarkStart w:id="81" w:name="_Toc115786920"/>
      <w:bookmarkStart w:id="82" w:name="_Toc115787510"/>
      <w:bookmarkStart w:id="83" w:name="_Toc115786921"/>
      <w:bookmarkStart w:id="84" w:name="_Toc115787511"/>
      <w:bookmarkStart w:id="85" w:name="_Toc115786922"/>
      <w:bookmarkStart w:id="86" w:name="_Toc115787512"/>
      <w:bookmarkStart w:id="87" w:name="_Toc115786923"/>
      <w:bookmarkStart w:id="88" w:name="_Toc115787513"/>
      <w:bookmarkStart w:id="89" w:name="_Toc115786924"/>
      <w:bookmarkStart w:id="90" w:name="_Toc115787514"/>
      <w:bookmarkStart w:id="91" w:name="_Toc115786925"/>
      <w:bookmarkStart w:id="92" w:name="_Toc115787515"/>
      <w:bookmarkStart w:id="93" w:name="_Toc115786926"/>
      <w:bookmarkStart w:id="94" w:name="_Toc115787516"/>
      <w:bookmarkStart w:id="95" w:name="_Toc115786935"/>
      <w:bookmarkStart w:id="96" w:name="_Toc115787525"/>
      <w:bookmarkStart w:id="97" w:name="_Toc115787533"/>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88307E">
        <w:t>Specifické ukazatele</w:t>
      </w:r>
      <w:bookmarkEnd w:id="27"/>
      <w:bookmarkEnd w:id="28"/>
      <w:bookmarkEnd w:id="29"/>
      <w:bookmarkEnd w:id="30"/>
      <w:bookmarkEnd w:id="97"/>
    </w:p>
    <w:p w14:paraId="130B01B9" w14:textId="77777777" w:rsidR="00115B57" w:rsidRPr="00D51CCA" w:rsidRDefault="00115B57" w:rsidP="00115B57">
      <w:pPr>
        <w:pStyle w:val="Styl1"/>
      </w:pPr>
      <w:r w:rsidRPr="00D51CCA">
        <w:t xml:space="preserve">Specifické ukazatelé jsou součástí přílohy č. 4 k zákonu o státním rozpočtu České republiky </w:t>
      </w:r>
      <w:r w:rsidRPr="00D51CCA">
        <w:br/>
        <w:t xml:space="preserve">na příslušný rozpočtový rok. </w:t>
      </w:r>
    </w:p>
    <w:p w14:paraId="284DD599" w14:textId="2CD9AF4E" w:rsidR="00115B57" w:rsidRPr="00D51CCA" w:rsidRDefault="00115B57" w:rsidP="00115B57">
      <w:pPr>
        <w:pStyle w:val="Titulek"/>
      </w:pPr>
      <w:r w:rsidRPr="00D51CCA">
        <w:t xml:space="preserve">Tabulka č. </w:t>
      </w:r>
      <w:r w:rsidRPr="00D51CCA">
        <w:rPr>
          <w:noProof/>
        </w:rPr>
        <w:fldChar w:fldCharType="begin"/>
      </w:r>
      <w:r w:rsidRPr="00D51CCA">
        <w:rPr>
          <w:noProof/>
        </w:rPr>
        <w:instrText xml:space="preserve"> SEQ Tabulka \* ARABIC </w:instrText>
      </w:r>
      <w:r w:rsidRPr="00D51CCA">
        <w:rPr>
          <w:noProof/>
        </w:rPr>
        <w:fldChar w:fldCharType="separate"/>
      </w:r>
      <w:r w:rsidR="00F80947">
        <w:rPr>
          <w:noProof/>
        </w:rPr>
        <w:t>7</w:t>
      </w:r>
      <w:r w:rsidRPr="00D51CCA">
        <w:rPr>
          <w:noProof/>
        </w:rPr>
        <w:fldChar w:fldCharType="end"/>
      </w:r>
      <w:r w:rsidRPr="00D51CCA">
        <w:t xml:space="preserve"> Specifické „výdajové“ ukazatele kapitoly 327-MD (v tis. Kč)</w:t>
      </w:r>
    </w:p>
    <w:tbl>
      <w:tblPr>
        <w:tblStyle w:val="Svtltabulkasmkou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40"/>
        <w:gridCol w:w="2211"/>
      </w:tblGrid>
      <w:tr w:rsidR="00115B57" w:rsidRPr="00D51CCA" w14:paraId="60E5B442"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4" w:space="0" w:color="7F7F7F" w:themeColor="text1" w:themeTint="80"/>
            </w:tcBorders>
          </w:tcPr>
          <w:p w14:paraId="4D081BAF" w14:textId="77777777" w:rsidR="00115B57" w:rsidRPr="00D51CCA" w:rsidRDefault="00115B57" w:rsidP="00DC64B4">
            <w:pPr>
              <w:pStyle w:val="Nvod"/>
              <w:keepNext/>
              <w:spacing w:before="108"/>
              <w:ind w:left="231" w:hanging="231"/>
            </w:pPr>
            <w:r w:rsidRPr="00D51CCA">
              <w:t>Drážní a kombinovaná doprava</w:t>
            </w:r>
          </w:p>
        </w:tc>
        <w:tc>
          <w:tcPr>
            <w:tcW w:w="2211" w:type="dxa"/>
            <w:tcBorders>
              <w:top w:val="single" w:sz="8" w:space="0" w:color="7F7F7F" w:themeColor="text1" w:themeTint="80"/>
              <w:bottom w:val="single" w:sz="4" w:space="0" w:color="7F7F7F" w:themeColor="text1" w:themeTint="80"/>
            </w:tcBorders>
          </w:tcPr>
          <w:p w14:paraId="4B1ADEE4" w14:textId="77777777" w:rsidR="00115B57" w:rsidRPr="00A55E0E" w:rsidRDefault="00115B57" w:rsidP="00DC64B4">
            <w:pPr>
              <w:pStyle w:val="Nvod"/>
              <w:keepNext/>
              <w:spacing w:before="108"/>
              <w:ind w:left="0" w:firstLine="0"/>
              <w:jc w:val="right"/>
              <w:cnfStyle w:val="100000000000" w:firstRow="1" w:lastRow="0" w:firstColumn="0" w:lastColumn="0" w:oddVBand="0" w:evenVBand="0" w:oddHBand="0" w:evenHBand="0" w:firstRowFirstColumn="0" w:firstRowLastColumn="0" w:lastRowFirstColumn="0" w:lastRowLastColumn="0"/>
            </w:pPr>
            <w:r>
              <w:t>10</w:t>
            </w:r>
            <w:r w:rsidRPr="00A55E0E">
              <w:t> </w:t>
            </w:r>
            <w:r>
              <w:t>8</w:t>
            </w:r>
            <w:r w:rsidRPr="00A55E0E">
              <w:t xml:space="preserve">43 888     </w:t>
            </w:r>
          </w:p>
        </w:tc>
      </w:tr>
      <w:tr w:rsidR="00115B57" w:rsidRPr="00D51CCA" w14:paraId="7D1842E4" w14:textId="77777777" w:rsidTr="00DC64B4">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4" w:space="0" w:color="7F7F7F" w:themeColor="text1" w:themeTint="80"/>
            </w:tcBorders>
          </w:tcPr>
          <w:p w14:paraId="6741233D" w14:textId="77777777" w:rsidR="00115B57" w:rsidRPr="00D51CCA" w:rsidRDefault="00115B57" w:rsidP="00DC64B4">
            <w:pPr>
              <w:pStyle w:val="Nvod"/>
              <w:keepNext/>
              <w:spacing w:before="108"/>
              <w:ind w:left="231" w:hanging="231"/>
            </w:pPr>
            <w:r w:rsidRPr="00D51CCA">
              <w:t xml:space="preserve">Pozemní komunikace </w:t>
            </w:r>
          </w:p>
        </w:tc>
        <w:tc>
          <w:tcPr>
            <w:tcW w:w="2211" w:type="dxa"/>
            <w:tcBorders>
              <w:top w:val="single" w:sz="4" w:space="0" w:color="7F7F7F" w:themeColor="text1" w:themeTint="80"/>
              <w:bottom w:val="single" w:sz="4" w:space="0" w:color="7F7F7F" w:themeColor="text1" w:themeTint="80"/>
            </w:tcBorders>
          </w:tcPr>
          <w:p w14:paraId="48F1BE24" w14:textId="77777777" w:rsidR="00115B57" w:rsidRPr="00A55E0E" w:rsidRDefault="00115B57" w:rsidP="00DC64B4">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rPr>
                <w:b/>
              </w:rPr>
            </w:pPr>
            <w:r w:rsidRPr="00A55E0E">
              <w:rPr>
                <w:b/>
              </w:rPr>
              <w:t>0</w:t>
            </w:r>
          </w:p>
        </w:tc>
      </w:tr>
      <w:tr w:rsidR="00115B57" w:rsidRPr="00D51CCA" w14:paraId="36259696" w14:textId="77777777" w:rsidTr="00DC64B4">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nil"/>
            </w:tcBorders>
          </w:tcPr>
          <w:p w14:paraId="26CB2089" w14:textId="77777777" w:rsidR="00115B57" w:rsidRPr="00D51CCA" w:rsidRDefault="00115B57" w:rsidP="00DC64B4">
            <w:pPr>
              <w:pStyle w:val="Nvod"/>
              <w:keepNext/>
              <w:spacing w:before="108"/>
              <w:ind w:left="231" w:hanging="231"/>
            </w:pPr>
            <w:r w:rsidRPr="00D51CCA">
              <w:t xml:space="preserve">Dotace pro Státní fond dopravní infrastruktury </w:t>
            </w:r>
          </w:p>
        </w:tc>
        <w:tc>
          <w:tcPr>
            <w:tcW w:w="2211" w:type="dxa"/>
            <w:tcBorders>
              <w:top w:val="single" w:sz="4" w:space="0" w:color="7F7F7F" w:themeColor="text1" w:themeTint="80"/>
              <w:bottom w:val="nil"/>
            </w:tcBorders>
          </w:tcPr>
          <w:p w14:paraId="59ABFD69" w14:textId="77777777" w:rsidR="00115B57" w:rsidRPr="00A55E0E" w:rsidRDefault="00115B57" w:rsidP="00DC64B4">
            <w:pPr>
              <w:pStyle w:val="Nvod"/>
              <w:keepNext/>
              <w:spacing w:before="108"/>
              <w:ind w:left="0" w:firstLine="8"/>
              <w:jc w:val="right"/>
              <w:cnfStyle w:val="000000000000" w:firstRow="0" w:lastRow="0" w:firstColumn="0" w:lastColumn="0" w:oddVBand="0" w:evenVBand="0" w:oddHBand="0" w:evenHBand="0" w:firstRowFirstColumn="0" w:firstRowLastColumn="0" w:lastRowFirstColumn="0" w:lastRowLastColumn="0"/>
              <w:rPr>
                <w:b/>
              </w:rPr>
            </w:pPr>
            <w:r>
              <w:rPr>
                <w:b/>
              </w:rPr>
              <w:t>92</w:t>
            </w:r>
            <w:r w:rsidRPr="00A55E0E">
              <w:rPr>
                <w:b/>
              </w:rPr>
              <w:t> </w:t>
            </w:r>
            <w:r>
              <w:rPr>
                <w:b/>
              </w:rPr>
              <w:t>369</w:t>
            </w:r>
            <w:r w:rsidRPr="00A55E0E">
              <w:rPr>
                <w:b/>
              </w:rPr>
              <w:t xml:space="preserve"> </w:t>
            </w:r>
            <w:r>
              <w:rPr>
                <w:b/>
              </w:rPr>
              <w:t>489</w:t>
            </w:r>
          </w:p>
        </w:tc>
      </w:tr>
      <w:tr w:rsidR="00115B57" w:rsidRPr="00D51CCA" w14:paraId="38B84665" w14:textId="77777777" w:rsidTr="00DC64B4">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14:paraId="5B0ED27B" w14:textId="77777777" w:rsidR="00115B57" w:rsidRPr="00D51CCA" w:rsidRDefault="00115B57" w:rsidP="00DC64B4">
            <w:pPr>
              <w:pStyle w:val="Nvod"/>
              <w:keepNext/>
              <w:spacing w:before="108"/>
              <w:ind w:left="0" w:firstLine="0"/>
              <w:rPr>
                <w:b w:val="0"/>
              </w:rPr>
            </w:pPr>
            <w:r w:rsidRPr="00D51CCA">
              <w:rPr>
                <w:b w:val="0"/>
              </w:rPr>
              <w:t xml:space="preserve">v tom: dotace pro společné programy (projekty) EU a ČR </w:t>
            </w:r>
          </w:p>
        </w:tc>
        <w:tc>
          <w:tcPr>
            <w:tcW w:w="2211" w:type="dxa"/>
            <w:tcBorders>
              <w:top w:val="nil"/>
              <w:bottom w:val="nil"/>
            </w:tcBorders>
          </w:tcPr>
          <w:p w14:paraId="62AD984A" w14:textId="77777777" w:rsidR="00115B57" w:rsidRPr="00A55E0E" w:rsidRDefault="00115B57" w:rsidP="00DC64B4">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pPr>
            <w:r w:rsidRPr="00A55E0E">
              <w:t>27 544 489</w:t>
            </w:r>
          </w:p>
        </w:tc>
      </w:tr>
      <w:tr w:rsidR="00115B57" w:rsidRPr="00804B31" w14:paraId="281D9F83" w14:textId="77777777" w:rsidTr="00DC64B4">
        <w:tc>
          <w:tcPr>
            <w:cnfStyle w:val="001000000000" w:firstRow="0" w:lastRow="0" w:firstColumn="1" w:lastColumn="0" w:oddVBand="0" w:evenVBand="0" w:oddHBand="0" w:evenHBand="0" w:firstRowFirstColumn="0" w:firstRowLastColumn="0" w:lastRowFirstColumn="0" w:lastRowLastColumn="0"/>
            <w:tcW w:w="6840" w:type="dxa"/>
            <w:tcBorders>
              <w:top w:val="nil"/>
              <w:bottom w:val="nil"/>
            </w:tcBorders>
          </w:tcPr>
          <w:p w14:paraId="10715FAB" w14:textId="77777777" w:rsidR="00115B57" w:rsidRPr="00D51CCA" w:rsidRDefault="00115B57" w:rsidP="00DC64B4">
            <w:pPr>
              <w:pStyle w:val="Nvod"/>
              <w:keepNext/>
              <w:spacing w:before="108"/>
              <w:ind w:left="0" w:firstLine="0"/>
              <w:rPr>
                <w:b w:val="0"/>
              </w:rPr>
            </w:pPr>
            <w:r w:rsidRPr="00D51CCA">
              <w:rPr>
                <w:b w:val="0"/>
              </w:rPr>
              <w:t xml:space="preserve">            ostatní dotace pro SFDI</w:t>
            </w:r>
          </w:p>
        </w:tc>
        <w:tc>
          <w:tcPr>
            <w:tcW w:w="2211" w:type="dxa"/>
            <w:tcBorders>
              <w:top w:val="nil"/>
              <w:bottom w:val="nil"/>
            </w:tcBorders>
          </w:tcPr>
          <w:p w14:paraId="686FE7D4" w14:textId="77777777" w:rsidR="00115B57" w:rsidRPr="00804B31" w:rsidRDefault="00115B57" w:rsidP="00DC64B4">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pPr>
            <w:r>
              <w:t>64 825 000</w:t>
            </w:r>
          </w:p>
        </w:tc>
      </w:tr>
      <w:tr w:rsidR="00115B57" w:rsidRPr="00804B31" w14:paraId="4F1B8F7A" w14:textId="77777777" w:rsidTr="00DC64B4">
        <w:tc>
          <w:tcPr>
            <w:cnfStyle w:val="001000000000" w:firstRow="0" w:lastRow="0" w:firstColumn="1" w:lastColumn="0" w:oddVBand="0" w:evenVBand="0" w:oddHBand="0" w:evenHBand="0" w:firstRowFirstColumn="0" w:firstRowLastColumn="0" w:lastRowFirstColumn="0" w:lastRowLastColumn="0"/>
            <w:tcW w:w="6840" w:type="dxa"/>
            <w:tcBorders>
              <w:top w:val="single" w:sz="4" w:space="0" w:color="7F7F7F" w:themeColor="text1" w:themeTint="80"/>
              <w:bottom w:val="single" w:sz="8" w:space="0" w:color="7F7F7F" w:themeColor="text1" w:themeTint="80"/>
            </w:tcBorders>
          </w:tcPr>
          <w:p w14:paraId="137D22DC" w14:textId="77777777" w:rsidR="00115B57" w:rsidRPr="00D51CCA" w:rsidRDefault="00115B57" w:rsidP="00DC64B4">
            <w:pPr>
              <w:pStyle w:val="Nvod"/>
              <w:keepNext/>
              <w:spacing w:before="108"/>
              <w:ind w:left="231" w:hanging="231"/>
            </w:pPr>
            <w:r w:rsidRPr="00D51CCA">
              <w:t>Ostatní výdaje spojené s dopravní politikou státu</w:t>
            </w:r>
          </w:p>
        </w:tc>
        <w:tc>
          <w:tcPr>
            <w:tcW w:w="2211" w:type="dxa"/>
            <w:tcBorders>
              <w:top w:val="single" w:sz="4" w:space="0" w:color="7F7F7F" w:themeColor="text1" w:themeTint="80"/>
              <w:bottom w:val="single" w:sz="8" w:space="0" w:color="7F7F7F" w:themeColor="text1" w:themeTint="80"/>
            </w:tcBorders>
          </w:tcPr>
          <w:p w14:paraId="42AF033A" w14:textId="77777777" w:rsidR="00115B57" w:rsidRPr="00804B31" w:rsidRDefault="00115B57" w:rsidP="00DC64B4">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rPr>
                <w:b/>
              </w:rPr>
            </w:pPr>
            <w:r w:rsidRPr="00804B31">
              <w:rPr>
                <w:b/>
              </w:rPr>
              <w:t>9 </w:t>
            </w:r>
            <w:r>
              <w:rPr>
                <w:b/>
              </w:rPr>
              <w:t>484</w:t>
            </w:r>
            <w:r w:rsidRPr="00804B31">
              <w:rPr>
                <w:b/>
              </w:rPr>
              <w:t xml:space="preserve"> </w:t>
            </w:r>
            <w:r>
              <w:rPr>
                <w:b/>
              </w:rPr>
              <w:t>338</w:t>
            </w:r>
          </w:p>
        </w:tc>
      </w:tr>
      <w:tr w:rsidR="00115B57" w:rsidRPr="00804B31" w14:paraId="2BEB5B59" w14:textId="77777777" w:rsidTr="00DC64B4">
        <w:tc>
          <w:tcPr>
            <w:cnfStyle w:val="001000000000" w:firstRow="0" w:lastRow="0" w:firstColumn="1" w:lastColumn="0" w:oddVBand="0" w:evenVBand="0" w:oddHBand="0" w:evenHBand="0" w:firstRowFirstColumn="0" w:firstRowLastColumn="0" w:lastRowFirstColumn="0" w:lastRowLastColumn="0"/>
            <w:tcW w:w="6840" w:type="dxa"/>
            <w:tcBorders>
              <w:top w:val="single" w:sz="8" w:space="0" w:color="7F7F7F" w:themeColor="text1" w:themeTint="80"/>
              <w:bottom w:val="single" w:sz="8" w:space="0" w:color="7F7F7F" w:themeColor="text1" w:themeTint="80"/>
            </w:tcBorders>
          </w:tcPr>
          <w:p w14:paraId="6F5C1921" w14:textId="77777777" w:rsidR="00115B57" w:rsidRPr="00D51CCA" w:rsidRDefault="00115B57" w:rsidP="00DC64B4">
            <w:pPr>
              <w:pStyle w:val="Nvod"/>
              <w:keepNext/>
              <w:spacing w:before="108"/>
              <w:ind w:left="231" w:hanging="231"/>
            </w:pPr>
            <w:r w:rsidRPr="00D51CCA">
              <w:rPr>
                <w:szCs w:val="24"/>
              </w:rPr>
              <w:t>Výdaje spojené s výkonem předsednictví ČR v Radě EU</w:t>
            </w:r>
          </w:p>
        </w:tc>
        <w:tc>
          <w:tcPr>
            <w:tcW w:w="2211" w:type="dxa"/>
            <w:tcBorders>
              <w:top w:val="single" w:sz="8" w:space="0" w:color="7F7F7F" w:themeColor="text1" w:themeTint="80"/>
              <w:bottom w:val="single" w:sz="8" w:space="0" w:color="7F7F7F" w:themeColor="text1" w:themeTint="80"/>
            </w:tcBorders>
          </w:tcPr>
          <w:p w14:paraId="3B3CF0B6" w14:textId="77777777" w:rsidR="00115B57" w:rsidRPr="00804B31" w:rsidRDefault="00115B57" w:rsidP="00DC64B4">
            <w:pPr>
              <w:pStyle w:val="Nvod"/>
              <w:keepNext/>
              <w:spacing w:before="108"/>
              <w:ind w:left="0" w:firstLine="0"/>
              <w:jc w:val="right"/>
              <w:cnfStyle w:val="000000000000" w:firstRow="0" w:lastRow="0" w:firstColumn="0" w:lastColumn="0" w:oddVBand="0" w:evenVBand="0" w:oddHBand="0" w:evenHBand="0" w:firstRowFirstColumn="0" w:firstRowLastColumn="0" w:lastRowFirstColumn="0" w:lastRowLastColumn="0"/>
              <w:rPr>
                <w:b/>
              </w:rPr>
            </w:pPr>
            <w:r w:rsidRPr="00804B31">
              <w:rPr>
                <w:b/>
              </w:rPr>
              <w:t>3 152</w:t>
            </w:r>
          </w:p>
        </w:tc>
      </w:tr>
    </w:tbl>
    <w:p w14:paraId="7F1C2804" w14:textId="5827425D" w:rsidR="00115B57" w:rsidRPr="00DF2ADB" w:rsidRDefault="00115B57" w:rsidP="00115B57">
      <w:pPr>
        <w:pStyle w:val="Titulek"/>
        <w:spacing w:before="240"/>
      </w:pPr>
      <w:bookmarkStart w:id="98" w:name="_Toc54190949"/>
      <w:bookmarkStart w:id="99" w:name="_Toc115788012"/>
      <w:r w:rsidRPr="00D51CCA">
        <w:rPr>
          <w:noProof/>
        </w:rPr>
        <w:drawing>
          <wp:anchor distT="0" distB="0" distL="114300" distR="114300" simplePos="0" relativeHeight="251658240" behindDoc="0" locked="0" layoutInCell="1" allowOverlap="1" wp14:anchorId="7C3C7A34" wp14:editId="37290AE3">
            <wp:simplePos x="0" y="0"/>
            <wp:positionH relativeFrom="margin">
              <wp:posOffset>-125095</wp:posOffset>
            </wp:positionH>
            <wp:positionV relativeFrom="paragraph">
              <wp:posOffset>394335</wp:posOffset>
            </wp:positionV>
            <wp:extent cx="6030595" cy="2599690"/>
            <wp:effectExtent l="0" t="0" r="8255" b="10160"/>
            <wp:wrapSquare wrapText="bothSides"/>
            <wp:docPr id="17" name="Graf 1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r w:rsidRPr="00D51CCA">
        <w:t xml:space="preserve">Graf č. </w:t>
      </w:r>
      <w:r w:rsidRPr="00D51CCA">
        <w:rPr>
          <w:noProof/>
        </w:rPr>
        <w:fldChar w:fldCharType="begin"/>
      </w:r>
      <w:r w:rsidRPr="00D51CCA">
        <w:rPr>
          <w:noProof/>
        </w:rPr>
        <w:instrText xml:space="preserve"> SEQ Graf_č. \* ARABIC </w:instrText>
      </w:r>
      <w:r w:rsidRPr="00D51CCA">
        <w:rPr>
          <w:noProof/>
        </w:rPr>
        <w:fldChar w:fldCharType="separate"/>
      </w:r>
      <w:r w:rsidR="00F80947">
        <w:rPr>
          <w:noProof/>
        </w:rPr>
        <w:t>4</w:t>
      </w:r>
      <w:r w:rsidRPr="00D51CCA">
        <w:rPr>
          <w:noProof/>
        </w:rPr>
        <w:fldChar w:fldCharType="end"/>
      </w:r>
      <w:r w:rsidRPr="00DF2ADB">
        <w:t>: Přehled specifických ukazatelů v kapitole 327</w:t>
      </w:r>
      <w:r w:rsidRPr="00DF2ADB">
        <w:noBreakHyphen/>
        <w:t>MD (v tis. Kč)</w:t>
      </w:r>
      <w:bookmarkEnd w:id="98"/>
      <w:bookmarkEnd w:id="99"/>
    </w:p>
    <w:p w14:paraId="64EEA6C0" w14:textId="77777777" w:rsidR="00C41FEC" w:rsidRDefault="00115B57" w:rsidP="00115B57">
      <w:pPr>
        <w:pStyle w:val="Styl1"/>
      </w:pPr>
      <w:r w:rsidRPr="00033AB1">
        <w:t>Výdaje kapitoly 327</w:t>
      </w:r>
      <w:r w:rsidRPr="00033AB1">
        <w:noBreakHyphen/>
        <w:t xml:space="preserve">MD jsou dále podrobně popsány v následujících textech, a to v členění </w:t>
      </w:r>
      <w:r w:rsidRPr="00033AB1">
        <w:br/>
        <w:t>na běžné a kapitálové výdaje, na výdaje směrované do programového financování (EDS/SMVS</w:t>
      </w:r>
      <w:r>
        <w:t>/ZED</w:t>
      </w:r>
      <w:r w:rsidRPr="00033AB1">
        <w:t xml:space="preserve">) a na prostředky z rozpočtu Evropské unie. </w:t>
      </w:r>
    </w:p>
    <w:p w14:paraId="093EE8C1" w14:textId="39C92BBA" w:rsidR="00115B57" w:rsidRPr="002C662F" w:rsidRDefault="00115B57">
      <w:pPr>
        <w:pStyle w:val="Nadpis9"/>
      </w:pPr>
      <w:r w:rsidRPr="002C662F">
        <w:t>Drážní a kombinovaná doprava</w:t>
      </w:r>
    </w:p>
    <w:p w14:paraId="4D73EA5C" w14:textId="77777777" w:rsidR="00115B57" w:rsidRPr="00A96286" w:rsidRDefault="00115B57" w:rsidP="00115B57">
      <w:pPr>
        <w:pStyle w:val="Styl1"/>
        <w:numPr>
          <w:ilvl w:val="0"/>
          <w:numId w:val="11"/>
        </w:numPr>
        <w:spacing w:before="120"/>
        <w:ind w:left="567" w:hanging="283"/>
      </w:pPr>
      <w:r w:rsidRPr="002C662F">
        <w:t xml:space="preserve">financované z prostředků státního rozpočtu </w:t>
      </w:r>
      <w:r w:rsidRPr="00A96286">
        <w:t>(</w:t>
      </w:r>
      <w:r>
        <w:t>10</w:t>
      </w:r>
      <w:r w:rsidRPr="00A96286">
        <w:t> </w:t>
      </w:r>
      <w:r>
        <w:t>8</w:t>
      </w:r>
      <w:r w:rsidRPr="00A96286">
        <w:t xml:space="preserve">33 888 tis. Kč) </w:t>
      </w:r>
    </w:p>
    <w:tbl>
      <w:tblPr>
        <w:tblStyle w:val="Svtltabulkasmkou1"/>
        <w:tblW w:w="0" w:type="auto"/>
        <w:tblLook w:val="00A0" w:firstRow="1" w:lastRow="0" w:firstColumn="1" w:lastColumn="0" w:noHBand="0" w:noVBand="0"/>
      </w:tblPr>
      <w:tblGrid>
        <w:gridCol w:w="6873"/>
        <w:gridCol w:w="2177"/>
      </w:tblGrid>
      <w:tr w:rsidR="00115B57" w:rsidRPr="002C662F" w14:paraId="55DB5133"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72F2B8BD" w14:textId="77777777" w:rsidR="00115B57" w:rsidRPr="00D1575D" w:rsidRDefault="00115B57" w:rsidP="00DC64B4">
            <w:pPr>
              <w:rPr>
                <w:rFonts w:cs="Times New Roman"/>
                <w:b w:val="0"/>
                <w:szCs w:val="24"/>
              </w:rPr>
            </w:pPr>
            <w:r w:rsidRPr="00D1575D">
              <w:rPr>
                <w:rFonts w:cs="Times New Roman"/>
                <w:szCs w:val="24"/>
              </w:rPr>
              <w:t xml:space="preserve">Úhrada ztráty ze </w:t>
            </w:r>
            <w:proofErr w:type="spellStart"/>
            <w:r w:rsidRPr="00D1575D">
              <w:rPr>
                <w:rFonts w:cs="Times New Roman"/>
                <w:szCs w:val="24"/>
              </w:rPr>
              <w:t>záv</w:t>
            </w:r>
            <w:proofErr w:type="spellEnd"/>
            <w:r>
              <w:rPr>
                <w:rFonts w:cs="Times New Roman"/>
                <w:szCs w:val="24"/>
              </w:rPr>
              <w:t>.</w:t>
            </w:r>
            <w:r w:rsidRPr="00D1575D">
              <w:rPr>
                <w:rFonts w:cs="Times New Roman"/>
                <w:szCs w:val="24"/>
              </w:rPr>
              <w:t xml:space="preserve"> veř. </w:t>
            </w:r>
            <w:proofErr w:type="gramStart"/>
            <w:r w:rsidRPr="00D1575D">
              <w:rPr>
                <w:rFonts w:cs="Times New Roman"/>
                <w:szCs w:val="24"/>
              </w:rPr>
              <w:t>služby</w:t>
            </w:r>
            <w:proofErr w:type="gramEnd"/>
            <w:r w:rsidRPr="00D1575D">
              <w:rPr>
                <w:rFonts w:cs="Times New Roman"/>
                <w:szCs w:val="24"/>
              </w:rPr>
              <w:t xml:space="preserve"> ve veř. drážní os</w:t>
            </w:r>
            <w:r>
              <w:rPr>
                <w:rFonts w:cs="Times New Roman"/>
                <w:szCs w:val="24"/>
              </w:rPr>
              <w:t>.</w:t>
            </w:r>
            <w:r w:rsidRPr="00D1575D">
              <w:rPr>
                <w:rFonts w:cs="Times New Roman"/>
                <w:szCs w:val="24"/>
              </w:rPr>
              <w:t xml:space="preserve"> </w:t>
            </w:r>
            <w:proofErr w:type="spellStart"/>
            <w:r w:rsidRPr="00D1575D">
              <w:rPr>
                <w:rFonts w:cs="Times New Roman"/>
                <w:szCs w:val="24"/>
              </w:rPr>
              <w:t>dopr</w:t>
            </w:r>
            <w:proofErr w:type="spellEnd"/>
            <w:r>
              <w:rPr>
                <w:rFonts w:cs="Times New Roman"/>
                <w:szCs w:val="24"/>
              </w:rPr>
              <w:t xml:space="preserve">. </w:t>
            </w:r>
            <w:r>
              <w:rPr>
                <w:rFonts w:cs="Times New Roman"/>
                <w:b w:val="0"/>
                <w:szCs w:val="24"/>
              </w:rPr>
              <w:t>(v tom:)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64A62B63" w14:textId="77777777" w:rsidR="00115B57" w:rsidRPr="00A96286"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Pr>
                <w:rFonts w:cs="Times New Roman"/>
                <w:szCs w:val="24"/>
              </w:rPr>
              <w:t>10</w:t>
            </w:r>
            <w:r w:rsidRPr="00A96286">
              <w:rPr>
                <w:rFonts w:cs="Times New Roman"/>
                <w:szCs w:val="24"/>
              </w:rPr>
              <w:t> </w:t>
            </w:r>
            <w:r>
              <w:rPr>
                <w:rFonts w:cs="Times New Roman"/>
                <w:szCs w:val="24"/>
              </w:rPr>
              <w:t>8</w:t>
            </w:r>
            <w:r w:rsidRPr="00A96286">
              <w:rPr>
                <w:rFonts w:cs="Times New Roman"/>
                <w:szCs w:val="24"/>
              </w:rPr>
              <w:t>27 355 tis. Kč</w:t>
            </w:r>
          </w:p>
        </w:tc>
      </w:tr>
      <w:tr w:rsidR="00115B57" w:rsidRPr="002C662F" w14:paraId="520F8EB9" w14:textId="77777777" w:rsidTr="00DC64B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59C7025E" w14:textId="77777777" w:rsidR="00115B57" w:rsidRDefault="00115B57" w:rsidP="00DC64B4">
            <w:pPr>
              <w:ind w:left="14" w:hanging="14"/>
              <w:rPr>
                <w:rFonts w:cs="Times New Roman"/>
                <w:b w:val="0"/>
                <w:szCs w:val="24"/>
              </w:rPr>
            </w:pPr>
            <w:r>
              <w:rPr>
                <w:rFonts w:cs="Times New Roman"/>
                <w:b w:val="0"/>
                <w:szCs w:val="24"/>
              </w:rPr>
              <w:t>Neinvestiční transfery rozpočtům územní úrovně</w:t>
            </w:r>
          </w:p>
          <w:p w14:paraId="42B2BF1E" w14:textId="77777777" w:rsidR="00115B57" w:rsidRPr="00AC2989" w:rsidRDefault="00115B57" w:rsidP="00DC64B4">
            <w:pPr>
              <w:ind w:left="14" w:hanging="14"/>
              <w:rPr>
                <w:rFonts w:cs="Times New Roman"/>
                <w:b w:val="0"/>
                <w:i/>
                <w:szCs w:val="24"/>
              </w:rPr>
            </w:pPr>
            <w:r w:rsidRPr="00AC2989">
              <w:rPr>
                <w:rFonts w:cs="Times New Roman"/>
                <w:b w:val="0"/>
                <w:i/>
                <w:szCs w:val="24"/>
              </w:rPr>
              <w:t xml:space="preserve">v tom: ZED </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5E5ABC1C"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A96286">
              <w:rPr>
                <w:rFonts w:cs="Times New Roman"/>
                <w:szCs w:val="24"/>
              </w:rPr>
              <w:t xml:space="preserve"> 3 608 251 tis. Kč</w:t>
            </w:r>
          </w:p>
          <w:p w14:paraId="59EF72AF" w14:textId="77777777" w:rsidR="00115B57" w:rsidRPr="00AC2989"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AC2989">
              <w:rPr>
                <w:rFonts w:cs="Times New Roman"/>
                <w:i/>
                <w:szCs w:val="24"/>
              </w:rPr>
              <w:t>3 608 251 tis. Kč</w:t>
            </w:r>
          </w:p>
        </w:tc>
      </w:tr>
      <w:tr w:rsidR="00115B57" w:rsidRPr="002C662F" w14:paraId="5AAFDD82" w14:textId="77777777" w:rsidTr="00DC64B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39E31F4E" w14:textId="77777777" w:rsidR="00115B57" w:rsidRPr="00D1575D" w:rsidRDefault="00115B57" w:rsidP="00DC64B4">
            <w:pPr>
              <w:rPr>
                <w:rFonts w:cs="Times New Roman"/>
                <w:b w:val="0"/>
                <w:szCs w:val="24"/>
              </w:rPr>
            </w:pPr>
            <w:r>
              <w:rPr>
                <w:rFonts w:cs="Times New Roman"/>
                <w:b w:val="0"/>
                <w:szCs w:val="24"/>
              </w:rPr>
              <w:t>Neinvestiční transfery podnikatelům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5934D3D8" w14:textId="77777777" w:rsidR="00115B57" w:rsidRPr="00A9628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7</w:t>
            </w:r>
            <w:r w:rsidRPr="00A96286">
              <w:rPr>
                <w:rFonts w:cs="Times New Roman"/>
                <w:szCs w:val="24"/>
              </w:rPr>
              <w:t> </w:t>
            </w:r>
            <w:r>
              <w:rPr>
                <w:rFonts w:cs="Times New Roman"/>
                <w:szCs w:val="24"/>
              </w:rPr>
              <w:t>2</w:t>
            </w:r>
            <w:r w:rsidRPr="00A96286">
              <w:rPr>
                <w:rFonts w:cs="Times New Roman"/>
                <w:szCs w:val="24"/>
              </w:rPr>
              <w:t>19 104 tis. Kč</w:t>
            </w:r>
          </w:p>
        </w:tc>
      </w:tr>
      <w:tr w:rsidR="00115B57" w:rsidRPr="002C662F" w14:paraId="7507CB46" w14:textId="77777777" w:rsidTr="00DC64B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27D1AE7A" w14:textId="77777777" w:rsidR="00115B57" w:rsidRPr="00D1575D" w:rsidRDefault="00115B57" w:rsidP="00DC64B4">
            <w:pPr>
              <w:rPr>
                <w:rFonts w:cs="Times New Roman"/>
                <w:b w:val="0"/>
                <w:szCs w:val="24"/>
              </w:rPr>
            </w:pPr>
            <w:r w:rsidRPr="00D1575D">
              <w:rPr>
                <w:rFonts w:cs="Times New Roman"/>
                <w:szCs w:val="24"/>
              </w:rPr>
              <w:t>Ostatní výdaje spojené s drážní dopravou</w:t>
            </w:r>
            <w:r>
              <w:rPr>
                <w:rFonts w:cs="Times New Roman"/>
                <w:szCs w:val="24"/>
              </w:rPr>
              <w:t xml:space="preserve"> </w:t>
            </w:r>
            <w:r>
              <w:rPr>
                <w:rFonts w:cs="Times New Roman"/>
                <w:b w:val="0"/>
                <w:szCs w:val="24"/>
              </w:rPr>
              <w:t>(v tom:)</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321F4787" w14:textId="77777777" w:rsidR="00115B57" w:rsidRPr="00A9628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A96286">
              <w:rPr>
                <w:rFonts w:cs="Times New Roman"/>
                <w:b/>
                <w:szCs w:val="24"/>
              </w:rPr>
              <w:t>6 533 tis. Kč</w:t>
            </w:r>
          </w:p>
        </w:tc>
      </w:tr>
      <w:tr w:rsidR="00115B57" w:rsidRPr="002C662F" w14:paraId="491EA22A" w14:textId="77777777" w:rsidTr="00DC64B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470E3657" w14:textId="77777777" w:rsidR="00115B57" w:rsidRDefault="00115B57" w:rsidP="00DC64B4">
            <w:pPr>
              <w:ind w:left="14" w:hanging="14"/>
              <w:rPr>
                <w:rFonts w:cs="Times New Roman"/>
                <w:b w:val="0"/>
                <w:szCs w:val="24"/>
              </w:rPr>
            </w:pPr>
            <w:r>
              <w:rPr>
                <w:rFonts w:cs="Times New Roman"/>
                <w:b w:val="0"/>
                <w:szCs w:val="24"/>
              </w:rPr>
              <w:t>Neinvestiční transfery podnikatelům</w:t>
            </w:r>
          </w:p>
          <w:p w14:paraId="07476F77" w14:textId="77777777" w:rsidR="00115B57" w:rsidRPr="004B4431" w:rsidRDefault="00115B57" w:rsidP="00DC64B4">
            <w:pPr>
              <w:ind w:left="424" w:hanging="424"/>
              <w:rPr>
                <w:rFonts w:cs="Times New Roman"/>
                <w:b w:val="0"/>
                <w:i/>
                <w:szCs w:val="24"/>
              </w:rPr>
            </w:pPr>
            <w:r w:rsidRPr="004B4431">
              <w:rPr>
                <w:rFonts w:cs="Times New Roman"/>
                <w:b w:val="0"/>
                <w:i/>
                <w:szCs w:val="24"/>
              </w:rPr>
              <w:t xml:space="preserve">v tom: 127 67 Podpora obnovy historických železničních kolejových </w:t>
            </w:r>
            <w:r>
              <w:rPr>
                <w:rFonts w:cs="Times New Roman"/>
                <w:b w:val="0"/>
                <w:i/>
                <w:szCs w:val="24"/>
              </w:rPr>
              <w:t xml:space="preserve">    </w:t>
            </w:r>
            <w:r w:rsidRPr="004B4431">
              <w:rPr>
                <w:rFonts w:cs="Times New Roman"/>
                <w:b w:val="0"/>
                <w:i/>
                <w:szCs w:val="24"/>
              </w:rPr>
              <w:t>vozidel v období 2021 – 2023</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5A8BE31F"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Pr>
                <w:rFonts w:cs="Times New Roman"/>
                <w:szCs w:val="24"/>
              </w:rPr>
              <w:t>5 000 tis. Kč</w:t>
            </w:r>
          </w:p>
          <w:p w14:paraId="4395139F" w14:textId="77777777" w:rsidR="00115B57" w:rsidRPr="004B4431" w:rsidRDefault="00115B57" w:rsidP="00DC64B4">
            <w:pPr>
              <w:spacing w:before="81"/>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4B4431">
              <w:rPr>
                <w:rFonts w:cs="Times New Roman"/>
                <w:i/>
                <w:szCs w:val="24"/>
              </w:rPr>
              <w:t>5 000 tis. Kč</w:t>
            </w:r>
          </w:p>
        </w:tc>
      </w:tr>
      <w:tr w:rsidR="00115B57" w:rsidRPr="002C662F" w14:paraId="4EC5EDA4" w14:textId="77777777" w:rsidTr="00DC64B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single" w:sz="8" w:space="0" w:color="7F7F7F" w:themeColor="text1" w:themeTint="80"/>
            </w:tcBorders>
          </w:tcPr>
          <w:p w14:paraId="373FF236" w14:textId="77777777" w:rsidR="00115B57" w:rsidRDefault="00115B57" w:rsidP="00DC64B4">
            <w:pPr>
              <w:ind w:left="489" w:hanging="489"/>
              <w:rPr>
                <w:rFonts w:cs="Times New Roman"/>
                <w:b w:val="0"/>
                <w:szCs w:val="24"/>
              </w:rPr>
            </w:pPr>
            <w:r w:rsidRPr="00D1575D">
              <w:rPr>
                <w:rFonts w:cs="Times New Roman"/>
                <w:b w:val="0"/>
                <w:szCs w:val="24"/>
              </w:rPr>
              <w:t>Neinvestiční transfery spolkům (</w:t>
            </w:r>
            <w:proofErr w:type="spellStart"/>
            <w:r w:rsidRPr="00D1575D">
              <w:rPr>
                <w:rFonts w:cs="Times New Roman"/>
                <w:b w:val="0"/>
                <w:szCs w:val="24"/>
              </w:rPr>
              <w:t>Legiovlak</w:t>
            </w:r>
            <w:proofErr w:type="spellEnd"/>
            <w:r w:rsidRPr="00D1575D">
              <w:rPr>
                <w:rFonts w:cs="Times New Roman"/>
                <w:b w:val="0"/>
                <w:szCs w:val="24"/>
              </w:rPr>
              <w:t>)</w:t>
            </w:r>
          </w:p>
          <w:p w14:paraId="2B3BCA00" w14:textId="77777777" w:rsidR="00115B57" w:rsidRPr="00AC2989" w:rsidRDefault="00115B57" w:rsidP="00DC64B4">
            <w:pPr>
              <w:ind w:left="489" w:hanging="489"/>
              <w:rPr>
                <w:rFonts w:cs="Times New Roman"/>
                <w:b w:val="0"/>
                <w:i/>
                <w:szCs w:val="24"/>
              </w:rPr>
            </w:pPr>
            <w:r w:rsidRPr="00AC2989">
              <w:rPr>
                <w:rFonts w:cs="Times New Roman"/>
                <w:b w:val="0"/>
                <w:i/>
                <w:szCs w:val="24"/>
              </w:rPr>
              <w:t xml:space="preserve">v tom: ZED </w:t>
            </w:r>
          </w:p>
        </w:tc>
        <w:tc>
          <w:tcPr>
            <w:tcW w:w="2177" w:type="dxa"/>
            <w:tcBorders>
              <w:top w:val="single" w:sz="8" w:space="0" w:color="7F7F7F" w:themeColor="text1" w:themeTint="80"/>
              <w:bottom w:val="single" w:sz="8" w:space="0" w:color="7F7F7F" w:themeColor="text1" w:themeTint="80"/>
              <w:right w:val="single" w:sz="8" w:space="0" w:color="7F7F7F" w:themeColor="text1" w:themeTint="80"/>
            </w:tcBorders>
          </w:tcPr>
          <w:p w14:paraId="2FC1274F"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A96286">
              <w:rPr>
                <w:rFonts w:cs="Times New Roman"/>
                <w:szCs w:val="24"/>
              </w:rPr>
              <w:t>1 533 tis. Kč</w:t>
            </w:r>
          </w:p>
          <w:p w14:paraId="200DDC37" w14:textId="77777777" w:rsidR="00115B57" w:rsidRPr="00AC2989"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AC2989">
              <w:rPr>
                <w:rFonts w:cs="Times New Roman"/>
                <w:i/>
                <w:szCs w:val="24"/>
              </w:rPr>
              <w:t>1 533 tis. Kč</w:t>
            </w:r>
          </w:p>
        </w:tc>
      </w:tr>
    </w:tbl>
    <w:p w14:paraId="1A3A873E" w14:textId="77777777" w:rsidR="00115B57" w:rsidRPr="007E2045" w:rsidRDefault="00115B57" w:rsidP="00115B57">
      <w:pPr>
        <w:pStyle w:val="Styl1"/>
        <w:numPr>
          <w:ilvl w:val="0"/>
          <w:numId w:val="12"/>
        </w:numPr>
        <w:spacing w:before="120"/>
        <w:ind w:left="567" w:hanging="283"/>
      </w:pPr>
      <w:r w:rsidRPr="007E2045">
        <w:t>financované z prostředků fondů Evropské unie  (</w:t>
      </w:r>
      <w:r>
        <w:t>10 000</w:t>
      </w:r>
      <w:r w:rsidRPr="00C75806">
        <w:rPr>
          <w:color w:val="FF0000"/>
        </w:rPr>
        <w:t xml:space="preserve"> </w:t>
      </w:r>
      <w:r w:rsidRPr="00A76BF1">
        <w:t>tis. Kč)</w:t>
      </w:r>
    </w:p>
    <w:tbl>
      <w:tblPr>
        <w:tblStyle w:val="Svtltabulkasmkou1"/>
        <w:tblW w:w="0" w:type="auto"/>
        <w:tblLook w:val="00A0" w:firstRow="1" w:lastRow="0" w:firstColumn="1" w:lastColumn="0" w:noHBand="0" w:noVBand="0"/>
      </w:tblPr>
      <w:tblGrid>
        <w:gridCol w:w="6873"/>
        <w:gridCol w:w="2177"/>
      </w:tblGrid>
      <w:tr w:rsidR="00115B57" w:rsidRPr="007E2045" w14:paraId="04CDE5ED"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14:paraId="5263271F" w14:textId="77777777" w:rsidR="00115B57" w:rsidRPr="00D1575D" w:rsidRDefault="00115B57" w:rsidP="00DC64B4">
            <w:pPr>
              <w:rPr>
                <w:rFonts w:cs="Times New Roman"/>
                <w:b w:val="0"/>
                <w:szCs w:val="24"/>
              </w:rPr>
            </w:pPr>
            <w:r w:rsidRPr="00D1575D">
              <w:rPr>
                <w:rFonts w:cs="Times New Roman"/>
                <w:szCs w:val="24"/>
              </w:rPr>
              <w:t xml:space="preserve">Ostatní výdaje spojené s drážní dopravou </w:t>
            </w:r>
            <w:r>
              <w:rPr>
                <w:rFonts w:cs="Times New Roman"/>
                <w:b w:val="0"/>
                <w:szCs w:val="24"/>
              </w:rPr>
              <w:t>(v tom:)</w:t>
            </w:r>
          </w:p>
        </w:tc>
        <w:tc>
          <w:tcPr>
            <w:tcW w:w="2177" w:type="dxa"/>
            <w:tcBorders>
              <w:top w:val="single" w:sz="8" w:space="0" w:color="7F7F7F" w:themeColor="text1" w:themeTint="80"/>
              <w:bottom w:val="nil"/>
              <w:right w:val="single" w:sz="8" w:space="0" w:color="7F7F7F" w:themeColor="text1" w:themeTint="80"/>
            </w:tcBorders>
            <w:vAlign w:val="center"/>
          </w:tcPr>
          <w:p w14:paraId="40E0A2AF" w14:textId="77777777" w:rsidR="00115B57" w:rsidRPr="00C75806"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color w:val="FF0000"/>
                <w:szCs w:val="24"/>
              </w:rPr>
            </w:pPr>
            <w:r w:rsidRPr="00A76BF1">
              <w:rPr>
                <w:rFonts w:cs="Times New Roman"/>
                <w:szCs w:val="24"/>
              </w:rPr>
              <w:t>10 000 tis. Kč</w:t>
            </w:r>
          </w:p>
        </w:tc>
      </w:tr>
      <w:tr w:rsidR="00115B57" w:rsidRPr="007E2045" w14:paraId="2C3C5A65" w14:textId="77777777" w:rsidTr="00DC64B4">
        <w:tc>
          <w:tcPr>
            <w:cnfStyle w:val="001000000000" w:firstRow="0" w:lastRow="0" w:firstColumn="1" w:lastColumn="0" w:oddVBand="0" w:evenVBand="0" w:oddHBand="0" w:evenHBand="0" w:firstRowFirstColumn="0" w:firstRowLastColumn="0" w:lastRowFirstColumn="0" w:lastRowLastColumn="0"/>
            <w:tcW w:w="6873" w:type="dxa"/>
            <w:tcBorders>
              <w:top w:val="single" w:sz="8" w:space="0" w:color="7F7F7F" w:themeColor="text1" w:themeTint="80"/>
              <w:left w:val="single" w:sz="8" w:space="0" w:color="7F7F7F" w:themeColor="text1" w:themeTint="80"/>
              <w:bottom w:val="nil"/>
            </w:tcBorders>
          </w:tcPr>
          <w:p w14:paraId="69FA5A1C" w14:textId="77777777" w:rsidR="00115B57" w:rsidRPr="00D1575D" w:rsidRDefault="00115B57" w:rsidP="00DC64B4">
            <w:pPr>
              <w:rPr>
                <w:rFonts w:cs="Times New Roman"/>
                <w:b w:val="0"/>
                <w:szCs w:val="24"/>
              </w:rPr>
            </w:pPr>
            <w:r>
              <w:rPr>
                <w:rFonts w:cs="Times New Roman"/>
                <w:b w:val="0"/>
                <w:szCs w:val="24"/>
              </w:rPr>
              <w:t>Investiční transfery podnikatelům</w:t>
            </w:r>
          </w:p>
        </w:tc>
        <w:tc>
          <w:tcPr>
            <w:tcW w:w="2177" w:type="dxa"/>
            <w:tcBorders>
              <w:top w:val="single" w:sz="8" w:space="0" w:color="7F7F7F" w:themeColor="text1" w:themeTint="80"/>
              <w:bottom w:val="nil"/>
              <w:right w:val="single" w:sz="8" w:space="0" w:color="7F7F7F" w:themeColor="text1" w:themeTint="80"/>
            </w:tcBorders>
            <w:vAlign w:val="center"/>
          </w:tcPr>
          <w:p w14:paraId="445FDA09"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color w:val="FF0000"/>
                <w:szCs w:val="24"/>
              </w:rPr>
            </w:pPr>
            <w:r w:rsidRPr="001D4355">
              <w:rPr>
                <w:rFonts w:cs="Times New Roman"/>
                <w:szCs w:val="24"/>
              </w:rPr>
              <w:t>10 000 tis. Kč</w:t>
            </w:r>
          </w:p>
        </w:tc>
      </w:tr>
      <w:tr w:rsidR="00115B57" w:rsidRPr="007E2045" w14:paraId="30CC4827" w14:textId="77777777" w:rsidTr="00DC64B4">
        <w:tc>
          <w:tcPr>
            <w:cnfStyle w:val="001000000000" w:firstRow="0" w:lastRow="0" w:firstColumn="1" w:lastColumn="0" w:oddVBand="0" w:evenVBand="0" w:oddHBand="0" w:evenHBand="0" w:firstRowFirstColumn="0" w:firstRowLastColumn="0" w:lastRowFirstColumn="0" w:lastRowLastColumn="0"/>
            <w:tcW w:w="6873" w:type="dxa"/>
            <w:tcBorders>
              <w:top w:val="nil"/>
              <w:left w:val="single" w:sz="8" w:space="0" w:color="7F7F7F" w:themeColor="text1" w:themeTint="80"/>
              <w:bottom w:val="single" w:sz="8" w:space="0" w:color="7F7F7F" w:themeColor="text1" w:themeTint="80"/>
            </w:tcBorders>
          </w:tcPr>
          <w:p w14:paraId="2264A757" w14:textId="6FD9E022" w:rsidR="00115B57" w:rsidRPr="007E2045" w:rsidRDefault="00115B57">
            <w:pPr>
              <w:ind w:left="489" w:hanging="489"/>
              <w:rPr>
                <w:rFonts w:cs="Times New Roman"/>
                <w:b w:val="0"/>
                <w:i/>
                <w:szCs w:val="24"/>
              </w:rPr>
            </w:pPr>
            <w:r w:rsidRPr="007E2045">
              <w:rPr>
                <w:rFonts w:cs="Times New Roman"/>
                <w:b w:val="0"/>
                <w:i/>
                <w:szCs w:val="24"/>
              </w:rPr>
              <w:t xml:space="preserve">v tom: </w:t>
            </w:r>
            <w:r>
              <w:rPr>
                <w:rFonts w:cs="Times New Roman"/>
                <w:b w:val="0"/>
                <w:i/>
                <w:szCs w:val="24"/>
              </w:rPr>
              <w:t>ZED/O</w:t>
            </w:r>
            <w:r w:rsidR="00B1782C">
              <w:rPr>
                <w:rFonts w:cs="Times New Roman"/>
                <w:b w:val="0"/>
                <w:i/>
                <w:szCs w:val="24"/>
              </w:rPr>
              <w:t>P</w:t>
            </w:r>
            <w:r>
              <w:rPr>
                <w:rFonts w:cs="Times New Roman"/>
                <w:b w:val="0"/>
                <w:i/>
                <w:szCs w:val="24"/>
              </w:rPr>
              <w:t xml:space="preserve"> Doprava 2021+</w:t>
            </w:r>
            <w:r w:rsidRPr="007E2045">
              <w:rPr>
                <w:rFonts w:cs="Times New Roman"/>
                <w:b w:val="0"/>
                <w:i/>
                <w:szCs w:val="24"/>
              </w:rPr>
              <w:t xml:space="preserve"> </w:t>
            </w:r>
          </w:p>
        </w:tc>
        <w:tc>
          <w:tcPr>
            <w:tcW w:w="2177" w:type="dxa"/>
            <w:tcBorders>
              <w:top w:val="nil"/>
              <w:bottom w:val="single" w:sz="8" w:space="0" w:color="7F7F7F" w:themeColor="text1" w:themeTint="80"/>
              <w:right w:val="single" w:sz="8" w:space="0" w:color="7F7F7F" w:themeColor="text1" w:themeTint="80"/>
            </w:tcBorders>
            <w:vAlign w:val="center"/>
          </w:tcPr>
          <w:p w14:paraId="0A74757F"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color w:val="FF0000"/>
                <w:szCs w:val="24"/>
              </w:rPr>
            </w:pPr>
            <w:r w:rsidRPr="001D4355">
              <w:rPr>
                <w:rFonts w:cs="Times New Roman"/>
                <w:i/>
                <w:szCs w:val="24"/>
              </w:rPr>
              <w:t>10 000 tis. Kč</w:t>
            </w:r>
          </w:p>
        </w:tc>
      </w:tr>
    </w:tbl>
    <w:p w14:paraId="27F8D0CB" w14:textId="77777777" w:rsidR="00115B57" w:rsidRPr="007E2045" w:rsidRDefault="00115B57" w:rsidP="00115B57">
      <w:pPr>
        <w:pStyle w:val="Nadpis9"/>
      </w:pPr>
      <w:r w:rsidRPr="007E2045">
        <w:t xml:space="preserve">Pozemní komunikace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78"/>
        <w:gridCol w:w="2173"/>
      </w:tblGrid>
      <w:tr w:rsidR="00115B57" w:rsidRPr="007E2045" w14:paraId="3A5684B3"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79" w:type="dxa"/>
            <w:tcBorders>
              <w:bottom w:val="none" w:sz="0" w:space="0" w:color="auto"/>
            </w:tcBorders>
            <w:shd w:val="clear" w:color="auto" w:fill="auto"/>
          </w:tcPr>
          <w:p w14:paraId="0F6EC04F" w14:textId="77777777" w:rsidR="00115B57" w:rsidRPr="007E2045" w:rsidRDefault="00115B57" w:rsidP="00DC64B4">
            <w:pPr>
              <w:rPr>
                <w:rFonts w:cs="Times New Roman"/>
                <w:b w:val="0"/>
                <w:szCs w:val="24"/>
              </w:rPr>
            </w:pPr>
            <w:r w:rsidRPr="007E2045">
              <w:rPr>
                <w:rFonts w:cs="Times New Roman"/>
                <w:b w:val="0"/>
                <w:szCs w:val="24"/>
              </w:rPr>
              <w:t>Pozemní komunikace</w:t>
            </w:r>
          </w:p>
        </w:tc>
        <w:tc>
          <w:tcPr>
            <w:tcW w:w="2173" w:type="dxa"/>
            <w:tcBorders>
              <w:bottom w:val="none" w:sz="0" w:space="0" w:color="auto"/>
            </w:tcBorders>
            <w:shd w:val="clear" w:color="auto" w:fill="auto"/>
          </w:tcPr>
          <w:p w14:paraId="26D451E5" w14:textId="77777777" w:rsidR="00115B57" w:rsidRPr="007E2045"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b w:val="0"/>
                <w:szCs w:val="24"/>
              </w:rPr>
            </w:pPr>
            <w:r w:rsidRPr="007E2045">
              <w:rPr>
                <w:rFonts w:cs="Times New Roman"/>
                <w:b w:val="0"/>
                <w:szCs w:val="24"/>
              </w:rPr>
              <w:t>0 tis. Kč</w:t>
            </w:r>
          </w:p>
        </w:tc>
      </w:tr>
    </w:tbl>
    <w:p w14:paraId="242D9DF2" w14:textId="77777777" w:rsidR="00115B57" w:rsidRPr="008446F7" w:rsidRDefault="00115B57" w:rsidP="00115B57">
      <w:pPr>
        <w:pStyle w:val="Nadpis9"/>
      </w:pPr>
      <w:r w:rsidRPr="008446F7">
        <w:t>Dotace pro Státní fond dopravní infrastruktury</w:t>
      </w:r>
    </w:p>
    <w:p w14:paraId="05111B5E" w14:textId="77777777" w:rsidR="00115B57" w:rsidRPr="008446F7" w:rsidRDefault="00115B57" w:rsidP="00115B57">
      <w:pPr>
        <w:pStyle w:val="Styl1"/>
        <w:numPr>
          <w:ilvl w:val="0"/>
          <w:numId w:val="23"/>
        </w:numPr>
        <w:tabs>
          <w:tab w:val="left" w:pos="1418"/>
        </w:tabs>
        <w:ind w:left="567" w:hanging="283"/>
        <w:rPr>
          <w:rStyle w:val="Siln"/>
          <w:b w:val="0"/>
        </w:rPr>
      </w:pPr>
      <w:r w:rsidRPr="008446F7">
        <w:rPr>
          <w:rStyle w:val="Siln"/>
          <w:b w:val="0"/>
        </w:rPr>
        <w:t>financované z prostředků státního rozpočtu (</w:t>
      </w:r>
      <w:r>
        <w:rPr>
          <w:rStyle w:val="Siln"/>
          <w:b w:val="0"/>
        </w:rPr>
        <w:t xml:space="preserve">64 825 </w:t>
      </w:r>
      <w:r w:rsidRPr="00F240E3">
        <w:rPr>
          <w:rStyle w:val="Siln"/>
          <w:b w:val="0"/>
        </w:rPr>
        <w:t xml:space="preserve">000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shd w:val="clear" w:color="auto" w:fill="DEEAF6" w:themeFill="accent1" w:themeFillTint="33"/>
        <w:tblLook w:val="00A0" w:firstRow="1" w:lastRow="0" w:firstColumn="1" w:lastColumn="0" w:noHBand="0" w:noVBand="0"/>
      </w:tblPr>
      <w:tblGrid>
        <w:gridCol w:w="6866"/>
        <w:gridCol w:w="2185"/>
      </w:tblGrid>
      <w:tr w:rsidR="00115B57" w:rsidRPr="00852382" w14:paraId="5D8D269F"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67" w:type="dxa"/>
            <w:tcBorders>
              <w:bottom w:val="none" w:sz="0" w:space="0" w:color="auto"/>
            </w:tcBorders>
            <w:shd w:val="clear" w:color="auto" w:fill="auto"/>
          </w:tcPr>
          <w:p w14:paraId="7C539F70" w14:textId="77777777" w:rsidR="00115B57" w:rsidRPr="003514A1" w:rsidRDefault="00115B57" w:rsidP="00DC64B4">
            <w:pPr>
              <w:rPr>
                <w:rFonts w:cs="Times New Roman"/>
                <w:b w:val="0"/>
                <w:szCs w:val="24"/>
              </w:rPr>
            </w:pPr>
            <w:r w:rsidRPr="00D1575D">
              <w:rPr>
                <w:rFonts w:cs="Times New Roman"/>
                <w:szCs w:val="24"/>
              </w:rPr>
              <w:t>Ostatní dotace pro SFD</w:t>
            </w:r>
            <w:r>
              <w:rPr>
                <w:rFonts w:cs="Times New Roman"/>
                <w:szCs w:val="24"/>
              </w:rPr>
              <w:t xml:space="preserve">I </w:t>
            </w:r>
            <w:r w:rsidRPr="00D1575D">
              <w:rPr>
                <w:rFonts w:cs="Times New Roman"/>
                <w:b w:val="0"/>
                <w:szCs w:val="24"/>
              </w:rPr>
              <w:t>(v tom:)</w:t>
            </w:r>
          </w:p>
        </w:tc>
        <w:tc>
          <w:tcPr>
            <w:tcW w:w="2185" w:type="dxa"/>
            <w:tcBorders>
              <w:bottom w:val="none" w:sz="0" w:space="0" w:color="auto"/>
            </w:tcBorders>
            <w:shd w:val="clear" w:color="auto" w:fill="auto"/>
          </w:tcPr>
          <w:p w14:paraId="2F189808" w14:textId="77777777" w:rsidR="00115B57" w:rsidRPr="00B02864"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i/>
                <w:szCs w:val="24"/>
              </w:rPr>
            </w:pPr>
            <w:r>
              <w:rPr>
                <w:rFonts w:cs="Times New Roman"/>
                <w:szCs w:val="24"/>
              </w:rPr>
              <w:t>64</w:t>
            </w:r>
            <w:r w:rsidRPr="00B02864">
              <w:rPr>
                <w:rFonts w:cs="Times New Roman"/>
                <w:szCs w:val="24"/>
              </w:rPr>
              <w:t> </w:t>
            </w:r>
            <w:r>
              <w:rPr>
                <w:rFonts w:cs="Times New Roman"/>
                <w:szCs w:val="24"/>
              </w:rPr>
              <w:t>8</w:t>
            </w:r>
            <w:r w:rsidRPr="00B02864">
              <w:rPr>
                <w:rFonts w:cs="Times New Roman"/>
                <w:szCs w:val="24"/>
              </w:rPr>
              <w:t>25 000 tis. Kč</w:t>
            </w:r>
          </w:p>
        </w:tc>
      </w:tr>
      <w:tr w:rsidR="00115B57" w:rsidRPr="00852382" w14:paraId="773BD9D1" w14:textId="77777777" w:rsidTr="00DC64B4">
        <w:tc>
          <w:tcPr>
            <w:cnfStyle w:val="001000000000" w:firstRow="0" w:lastRow="0" w:firstColumn="1" w:lastColumn="0" w:oddVBand="0" w:evenVBand="0" w:oddHBand="0" w:evenHBand="0" w:firstRowFirstColumn="0" w:firstRowLastColumn="0" w:lastRowFirstColumn="0" w:lastRowLastColumn="0"/>
            <w:tcW w:w="6867" w:type="dxa"/>
            <w:shd w:val="clear" w:color="auto" w:fill="auto"/>
          </w:tcPr>
          <w:p w14:paraId="0B0F990D" w14:textId="77777777" w:rsidR="00115B57" w:rsidRPr="006C6F6B" w:rsidRDefault="00115B57" w:rsidP="00DC64B4">
            <w:pPr>
              <w:rPr>
                <w:rFonts w:cs="Times New Roman"/>
                <w:b w:val="0"/>
                <w:i/>
                <w:szCs w:val="24"/>
              </w:rPr>
            </w:pPr>
            <w:r w:rsidRPr="006C6F6B">
              <w:rPr>
                <w:rFonts w:cs="Times New Roman"/>
                <w:b w:val="0"/>
                <w:i/>
                <w:szCs w:val="24"/>
              </w:rPr>
              <w:t>127 77 Podpora financování dopravy</w:t>
            </w:r>
          </w:p>
        </w:tc>
        <w:tc>
          <w:tcPr>
            <w:tcW w:w="2185" w:type="dxa"/>
            <w:shd w:val="clear" w:color="auto" w:fill="auto"/>
          </w:tcPr>
          <w:p w14:paraId="706F41CA" w14:textId="77777777" w:rsidR="00115B57" w:rsidRPr="006C6F6B"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C6F6B">
              <w:rPr>
                <w:rFonts w:cs="Times New Roman"/>
                <w:i/>
                <w:szCs w:val="24"/>
              </w:rPr>
              <w:t>64 825 000 tis. Kč</w:t>
            </w:r>
          </w:p>
        </w:tc>
      </w:tr>
    </w:tbl>
    <w:p w14:paraId="4E201572" w14:textId="77777777" w:rsidR="00115B57" w:rsidRPr="00AC2989" w:rsidRDefault="00115B57" w:rsidP="00115B57">
      <w:pPr>
        <w:pStyle w:val="Styl1"/>
        <w:numPr>
          <w:ilvl w:val="0"/>
          <w:numId w:val="23"/>
        </w:numPr>
        <w:ind w:left="567" w:hanging="283"/>
      </w:pPr>
      <w:r w:rsidRPr="008446F7">
        <w:t>financované z prostředků fondů Evropské unie (</w:t>
      </w:r>
      <w:r>
        <w:t>27 544 489</w:t>
      </w:r>
      <w:r w:rsidRPr="00C75806">
        <w:rPr>
          <w:color w:val="FF0000"/>
        </w:rPr>
        <w:t xml:space="preserve"> </w:t>
      </w:r>
      <w:r w:rsidRPr="00AC2989">
        <w:t>tis. Kč)</w:t>
      </w:r>
    </w:p>
    <w:tbl>
      <w:tblPr>
        <w:tblStyle w:val="Svtltabulkasmkou1zvraznn1"/>
        <w:tblW w:w="9067"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941"/>
        <w:gridCol w:w="2126"/>
      </w:tblGrid>
      <w:tr w:rsidR="00115B57" w:rsidRPr="00852382" w14:paraId="2B7F4149"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41" w:type="dxa"/>
            <w:tcBorders>
              <w:bottom w:val="single" w:sz="8" w:space="0" w:color="7F7F7F" w:themeColor="text1" w:themeTint="80"/>
            </w:tcBorders>
            <w:shd w:val="clear" w:color="auto" w:fill="auto"/>
          </w:tcPr>
          <w:p w14:paraId="3FE38D42" w14:textId="77777777" w:rsidR="00115B57" w:rsidRPr="008446F7" w:rsidRDefault="00115B57" w:rsidP="00DC64B4">
            <w:pPr>
              <w:rPr>
                <w:rFonts w:cs="Times New Roman"/>
                <w:b w:val="0"/>
                <w:szCs w:val="24"/>
              </w:rPr>
            </w:pPr>
            <w:r w:rsidRPr="00234B29">
              <w:rPr>
                <w:rFonts w:cs="Times New Roman"/>
                <w:szCs w:val="24"/>
              </w:rPr>
              <w:t>Dotace pro společné programy (projekty) EU a ČR</w:t>
            </w:r>
            <w:r w:rsidRPr="008446F7">
              <w:rPr>
                <w:rFonts w:cs="Times New Roman"/>
                <w:b w:val="0"/>
                <w:szCs w:val="24"/>
              </w:rPr>
              <w:t xml:space="preserve"> (v tom:)</w:t>
            </w:r>
          </w:p>
        </w:tc>
        <w:tc>
          <w:tcPr>
            <w:tcW w:w="2126" w:type="dxa"/>
            <w:tcBorders>
              <w:bottom w:val="single" w:sz="8" w:space="0" w:color="7F7F7F" w:themeColor="text1" w:themeTint="80"/>
            </w:tcBorders>
            <w:shd w:val="clear" w:color="auto" w:fill="auto"/>
          </w:tcPr>
          <w:p w14:paraId="17AEE476" w14:textId="77777777" w:rsidR="00115B57" w:rsidRPr="00C75806"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color w:val="FF0000"/>
                <w:szCs w:val="24"/>
              </w:rPr>
            </w:pPr>
            <w:r w:rsidRPr="00966EC9">
              <w:rPr>
                <w:rFonts w:cs="Times New Roman"/>
                <w:szCs w:val="24"/>
              </w:rPr>
              <w:t>27 544 489 tis. Kč</w:t>
            </w:r>
          </w:p>
        </w:tc>
      </w:tr>
      <w:tr w:rsidR="00115B57" w:rsidRPr="00966EC9" w14:paraId="5E2BC8EC" w14:textId="77777777" w:rsidTr="00DC64B4">
        <w:tc>
          <w:tcPr>
            <w:cnfStyle w:val="001000000000" w:firstRow="0" w:lastRow="0" w:firstColumn="1" w:lastColumn="0" w:oddVBand="0" w:evenVBand="0" w:oddHBand="0" w:evenHBand="0" w:firstRowFirstColumn="0" w:firstRowLastColumn="0" w:lastRowFirstColumn="0" w:lastRowLastColumn="0"/>
            <w:tcW w:w="6941" w:type="dxa"/>
            <w:tcBorders>
              <w:top w:val="nil"/>
              <w:bottom w:val="single" w:sz="8" w:space="0" w:color="7F7F7F" w:themeColor="text1" w:themeTint="80"/>
            </w:tcBorders>
            <w:shd w:val="clear" w:color="auto" w:fill="auto"/>
          </w:tcPr>
          <w:p w14:paraId="4BF84CC2" w14:textId="77777777" w:rsidR="00115B57" w:rsidRPr="006C6F6B" w:rsidRDefault="00115B57" w:rsidP="00DC64B4">
            <w:pPr>
              <w:rPr>
                <w:rFonts w:cs="Times New Roman"/>
                <w:b w:val="0"/>
                <w:i/>
                <w:szCs w:val="24"/>
              </w:rPr>
            </w:pPr>
            <w:r w:rsidRPr="006C6F6B">
              <w:rPr>
                <w:rFonts w:cs="Times New Roman"/>
                <w:b w:val="0"/>
                <w:i/>
                <w:szCs w:val="24"/>
              </w:rPr>
              <w:t>OP Doprava 2014+/127 77 Podpora financování dopravy</w:t>
            </w:r>
          </w:p>
        </w:tc>
        <w:tc>
          <w:tcPr>
            <w:tcW w:w="2126" w:type="dxa"/>
            <w:tcBorders>
              <w:top w:val="nil"/>
              <w:bottom w:val="single" w:sz="8" w:space="0" w:color="7F7F7F" w:themeColor="text1" w:themeTint="80"/>
            </w:tcBorders>
            <w:shd w:val="clear" w:color="auto" w:fill="auto"/>
          </w:tcPr>
          <w:p w14:paraId="0FA59402" w14:textId="77777777" w:rsidR="00115B57" w:rsidRPr="006C6F6B"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C6F6B">
              <w:rPr>
                <w:rFonts w:cs="Times New Roman"/>
                <w:i/>
                <w:szCs w:val="24"/>
              </w:rPr>
              <w:t>1 755 117 tis. Kč</w:t>
            </w:r>
          </w:p>
        </w:tc>
      </w:tr>
      <w:tr w:rsidR="00115B57" w:rsidRPr="00852382" w14:paraId="54F46D64" w14:textId="77777777" w:rsidTr="00DC64B4">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tcBorders>
            <w:shd w:val="clear" w:color="auto" w:fill="auto"/>
          </w:tcPr>
          <w:p w14:paraId="50C7E86A" w14:textId="77777777" w:rsidR="00115B57" w:rsidRPr="006C6F6B" w:rsidRDefault="00115B57" w:rsidP="00DC64B4">
            <w:pPr>
              <w:rPr>
                <w:rFonts w:cs="Times New Roman"/>
                <w:b w:val="0"/>
                <w:i/>
                <w:szCs w:val="24"/>
              </w:rPr>
            </w:pPr>
            <w:r w:rsidRPr="006C6F6B">
              <w:rPr>
                <w:rFonts w:cs="Times New Roman"/>
                <w:b w:val="0"/>
                <w:i/>
                <w:szCs w:val="24"/>
              </w:rPr>
              <w:t>OP Doprava 2021+/ZED</w:t>
            </w:r>
          </w:p>
        </w:tc>
        <w:tc>
          <w:tcPr>
            <w:tcW w:w="2126" w:type="dxa"/>
            <w:tcBorders>
              <w:top w:val="single" w:sz="8" w:space="0" w:color="7F7F7F" w:themeColor="text1" w:themeTint="80"/>
              <w:bottom w:val="single" w:sz="8" w:space="0" w:color="7F7F7F" w:themeColor="text1" w:themeTint="80"/>
            </w:tcBorders>
            <w:shd w:val="clear" w:color="auto" w:fill="auto"/>
          </w:tcPr>
          <w:p w14:paraId="202C0CD1" w14:textId="77777777" w:rsidR="00115B57" w:rsidRPr="006C6F6B"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color w:val="FF0000"/>
                <w:szCs w:val="24"/>
              </w:rPr>
            </w:pPr>
            <w:r w:rsidRPr="006C6F6B">
              <w:rPr>
                <w:rFonts w:cs="Times New Roman"/>
                <w:i/>
                <w:szCs w:val="24"/>
              </w:rPr>
              <w:t>15 188 488 tis. Kč</w:t>
            </w:r>
          </w:p>
        </w:tc>
      </w:tr>
      <w:tr w:rsidR="00115B57" w:rsidRPr="00852382" w14:paraId="16A2BB0F" w14:textId="77777777" w:rsidTr="00DC64B4">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nil"/>
            </w:tcBorders>
            <w:shd w:val="clear" w:color="auto" w:fill="auto"/>
          </w:tcPr>
          <w:p w14:paraId="40156966" w14:textId="77777777" w:rsidR="00115B57" w:rsidRPr="006C6F6B" w:rsidRDefault="00115B57" w:rsidP="00DC64B4">
            <w:pPr>
              <w:rPr>
                <w:rFonts w:cs="Times New Roman"/>
                <w:b w:val="0"/>
                <w:i/>
                <w:szCs w:val="24"/>
              </w:rPr>
            </w:pPr>
            <w:r w:rsidRPr="006C6F6B">
              <w:rPr>
                <w:rFonts w:cs="Times New Roman"/>
                <w:b w:val="0"/>
                <w:i/>
                <w:szCs w:val="24"/>
              </w:rPr>
              <w:t>Komunitární programy 2014+/127 77 Podpora financování dopravy</w:t>
            </w:r>
          </w:p>
        </w:tc>
        <w:tc>
          <w:tcPr>
            <w:tcW w:w="2126" w:type="dxa"/>
            <w:tcBorders>
              <w:top w:val="single" w:sz="8" w:space="0" w:color="7F7F7F" w:themeColor="text1" w:themeTint="80"/>
              <w:bottom w:val="nil"/>
            </w:tcBorders>
            <w:shd w:val="clear" w:color="auto" w:fill="auto"/>
          </w:tcPr>
          <w:p w14:paraId="10794041" w14:textId="77777777" w:rsidR="00115B57" w:rsidRPr="006C6F6B"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C6F6B">
              <w:rPr>
                <w:rFonts w:cs="Times New Roman"/>
                <w:i/>
                <w:szCs w:val="24"/>
              </w:rPr>
              <w:t>2 495 679 tis. Kč</w:t>
            </w:r>
          </w:p>
        </w:tc>
      </w:tr>
      <w:tr w:rsidR="00115B57" w:rsidRPr="008446F7" w14:paraId="224F542B" w14:textId="77777777" w:rsidTr="00DC64B4">
        <w:trPr>
          <w:trHeight w:val="346"/>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right w:val="single" w:sz="8" w:space="0" w:color="7F7F7F" w:themeColor="text1" w:themeTint="80"/>
            </w:tcBorders>
            <w:shd w:val="clear" w:color="auto" w:fill="auto"/>
          </w:tcPr>
          <w:p w14:paraId="7BEEDFD3" w14:textId="77777777" w:rsidR="00115B57" w:rsidRPr="006C6F6B" w:rsidRDefault="00115B57" w:rsidP="00DC64B4">
            <w:pPr>
              <w:rPr>
                <w:rFonts w:cs="Times New Roman"/>
                <w:b w:val="0"/>
                <w:i/>
                <w:szCs w:val="24"/>
              </w:rPr>
            </w:pPr>
            <w:r w:rsidRPr="006C6F6B">
              <w:rPr>
                <w:rFonts w:cs="Times New Roman"/>
                <w:b w:val="0"/>
                <w:i/>
                <w:szCs w:val="24"/>
              </w:rPr>
              <w:t>Komunitární programy 2021+/ZED</w:t>
            </w:r>
          </w:p>
        </w:tc>
        <w:tc>
          <w:tcPr>
            <w:tcW w:w="2126" w:type="dxa"/>
            <w:tcBorders>
              <w:top w:val="single" w:sz="8" w:space="0" w:color="7F7F7F" w:themeColor="text1" w:themeTint="80"/>
              <w:left w:val="single" w:sz="8" w:space="0" w:color="7F7F7F" w:themeColor="text1" w:themeTint="80"/>
              <w:bottom w:val="single" w:sz="8" w:space="0" w:color="7F7F7F" w:themeColor="text1" w:themeTint="80"/>
            </w:tcBorders>
            <w:shd w:val="clear" w:color="auto" w:fill="auto"/>
          </w:tcPr>
          <w:p w14:paraId="160D9665" w14:textId="77777777" w:rsidR="00115B57" w:rsidRPr="006C6F6B"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color w:val="FF0000"/>
                <w:szCs w:val="24"/>
              </w:rPr>
            </w:pPr>
            <w:r w:rsidRPr="006C6F6B">
              <w:rPr>
                <w:rFonts w:cs="Times New Roman"/>
                <w:i/>
                <w:szCs w:val="24"/>
              </w:rPr>
              <w:t>5 101 746 tis. Kč</w:t>
            </w:r>
          </w:p>
        </w:tc>
      </w:tr>
      <w:tr w:rsidR="00115B57" w:rsidRPr="00343B07" w14:paraId="5EEC7870" w14:textId="77777777" w:rsidTr="00DC64B4">
        <w:trPr>
          <w:trHeight w:val="296"/>
        </w:trPr>
        <w:tc>
          <w:tcPr>
            <w:cnfStyle w:val="001000000000" w:firstRow="0" w:lastRow="0" w:firstColumn="1" w:lastColumn="0" w:oddVBand="0" w:evenVBand="0" w:oddHBand="0" w:evenHBand="0" w:firstRowFirstColumn="0" w:firstRowLastColumn="0" w:lastRowFirstColumn="0" w:lastRowLastColumn="0"/>
            <w:tcW w:w="6941" w:type="dxa"/>
            <w:tcBorders>
              <w:top w:val="single" w:sz="8" w:space="0" w:color="7F7F7F" w:themeColor="text1" w:themeTint="80"/>
              <w:bottom w:val="single" w:sz="8" w:space="0" w:color="7F7F7F" w:themeColor="text1" w:themeTint="80"/>
            </w:tcBorders>
            <w:shd w:val="clear" w:color="auto" w:fill="auto"/>
          </w:tcPr>
          <w:p w14:paraId="585CC74B" w14:textId="77777777" w:rsidR="00115B57" w:rsidRPr="006C6F6B" w:rsidRDefault="00115B57" w:rsidP="00DC64B4">
            <w:pPr>
              <w:rPr>
                <w:rFonts w:cs="Times New Roman"/>
                <w:b w:val="0"/>
                <w:i/>
                <w:szCs w:val="24"/>
              </w:rPr>
            </w:pPr>
            <w:r w:rsidRPr="006C6F6B">
              <w:rPr>
                <w:rFonts w:cs="Times New Roman"/>
                <w:b w:val="0"/>
                <w:i/>
                <w:szCs w:val="24"/>
              </w:rPr>
              <w:t>Národní plán obnovy – Udržitelná a bezpečná doprava/ZED</w:t>
            </w:r>
          </w:p>
        </w:tc>
        <w:tc>
          <w:tcPr>
            <w:tcW w:w="2126" w:type="dxa"/>
            <w:tcBorders>
              <w:top w:val="single" w:sz="8" w:space="0" w:color="7F7F7F" w:themeColor="text1" w:themeTint="80"/>
              <w:bottom w:val="single" w:sz="8" w:space="0" w:color="7F7F7F" w:themeColor="text1" w:themeTint="80"/>
            </w:tcBorders>
            <w:shd w:val="clear" w:color="auto" w:fill="auto"/>
          </w:tcPr>
          <w:p w14:paraId="7A5661A2" w14:textId="77777777" w:rsidR="00115B57" w:rsidRPr="006C6F6B"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6C6F6B">
              <w:rPr>
                <w:rFonts w:cs="Times New Roman"/>
                <w:i/>
                <w:szCs w:val="24"/>
              </w:rPr>
              <w:t>3 003 459 tis. Kč</w:t>
            </w:r>
          </w:p>
        </w:tc>
      </w:tr>
    </w:tbl>
    <w:p w14:paraId="30D552CE" w14:textId="77777777" w:rsidR="00115B57" w:rsidRPr="00761670" w:rsidRDefault="00115B57" w:rsidP="00115B57">
      <w:pPr>
        <w:pStyle w:val="Nadpis9"/>
      </w:pPr>
      <w:r w:rsidRPr="00761670">
        <w:t>Ostatní výdaje spojené s dopravní politikou státu</w:t>
      </w:r>
    </w:p>
    <w:p w14:paraId="02D674D1" w14:textId="77777777" w:rsidR="00115B57" w:rsidRPr="00761670" w:rsidRDefault="00115B57" w:rsidP="00115B57">
      <w:pPr>
        <w:pStyle w:val="Styl1"/>
        <w:numPr>
          <w:ilvl w:val="0"/>
          <w:numId w:val="23"/>
        </w:numPr>
        <w:spacing w:before="180" w:after="180"/>
        <w:ind w:left="568" w:hanging="284"/>
      </w:pPr>
      <w:r w:rsidRPr="00761670">
        <w:t>financované z prostředků státního rozpočtu (</w:t>
      </w:r>
      <w:r>
        <w:t>8</w:t>
      </w:r>
      <w:r w:rsidRPr="00C75806">
        <w:rPr>
          <w:color w:val="FF0000"/>
        </w:rPr>
        <w:t> </w:t>
      </w:r>
      <w:r w:rsidRPr="00E33502">
        <w:t>2</w:t>
      </w:r>
      <w:r>
        <w:t>52</w:t>
      </w:r>
      <w:r w:rsidRPr="00813D4C">
        <w:t> </w:t>
      </w:r>
      <w:r>
        <w:t>063</w:t>
      </w:r>
      <w:r w:rsidRPr="00813D4C">
        <w:t xml:space="preserve"> tis. </w:t>
      </w:r>
      <w:r w:rsidRPr="00761670">
        <w:t xml:space="preserve">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115B57" w:rsidRPr="000F5B90" w14:paraId="68E6128B"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14:paraId="784C3071" w14:textId="77777777" w:rsidR="00115B57" w:rsidRPr="00DA14C7" w:rsidRDefault="00115B57" w:rsidP="00DC64B4">
            <w:pPr>
              <w:rPr>
                <w:rFonts w:cs="Times New Roman"/>
                <w:szCs w:val="24"/>
              </w:rPr>
            </w:pPr>
            <w:r w:rsidRPr="00DA14C7">
              <w:rPr>
                <w:rFonts w:cs="Times New Roman"/>
                <w:szCs w:val="24"/>
              </w:rPr>
              <w:t xml:space="preserve">Další výdaje spojené s dopravní politikou státu </w:t>
            </w:r>
            <w:r w:rsidRPr="00DA14C7">
              <w:rPr>
                <w:rFonts w:cs="Times New Roman"/>
                <w:b w:val="0"/>
              </w:rPr>
              <w:t>(v tom:)</w:t>
            </w:r>
          </w:p>
        </w:tc>
        <w:tc>
          <w:tcPr>
            <w:tcW w:w="2193" w:type="dxa"/>
            <w:tcBorders>
              <w:bottom w:val="single" w:sz="8" w:space="0" w:color="7F7F7F" w:themeColor="text1" w:themeTint="80"/>
            </w:tcBorders>
            <w:shd w:val="clear" w:color="auto" w:fill="auto"/>
          </w:tcPr>
          <w:p w14:paraId="1DEB59F0" w14:textId="77777777" w:rsidR="00115B57" w:rsidRPr="000F5B90"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Pr>
                <w:rFonts w:cs="Times New Roman"/>
                <w:szCs w:val="24"/>
              </w:rPr>
              <w:t>7</w:t>
            </w:r>
            <w:r w:rsidRPr="000F5B90">
              <w:rPr>
                <w:rFonts w:cs="Times New Roman"/>
                <w:szCs w:val="24"/>
              </w:rPr>
              <w:t> </w:t>
            </w:r>
            <w:r>
              <w:rPr>
                <w:rFonts w:cs="Times New Roman"/>
                <w:szCs w:val="24"/>
              </w:rPr>
              <w:t>044</w:t>
            </w:r>
            <w:r w:rsidRPr="000F5B90">
              <w:rPr>
                <w:rFonts w:cs="Times New Roman"/>
                <w:szCs w:val="24"/>
              </w:rPr>
              <w:t xml:space="preserve"> </w:t>
            </w:r>
            <w:r>
              <w:rPr>
                <w:rFonts w:cs="Times New Roman"/>
                <w:szCs w:val="24"/>
              </w:rPr>
              <w:t>585</w:t>
            </w:r>
            <w:r w:rsidRPr="000F5B90">
              <w:rPr>
                <w:rFonts w:cs="Times New Roman"/>
                <w:szCs w:val="24"/>
              </w:rPr>
              <w:t xml:space="preserve"> tis. Kč</w:t>
            </w:r>
          </w:p>
        </w:tc>
      </w:tr>
      <w:tr w:rsidR="00115B57" w:rsidRPr="00852382" w14:paraId="02A4FD06"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5D624DD7" w14:textId="77777777" w:rsidR="00115B57" w:rsidRPr="00DA14C7" w:rsidRDefault="00115B57" w:rsidP="00DC64B4">
            <w:pPr>
              <w:rPr>
                <w:rFonts w:cs="Times New Roman"/>
                <w:b w:val="0"/>
                <w:szCs w:val="24"/>
              </w:rPr>
            </w:pPr>
            <w:r w:rsidRPr="00DA14C7">
              <w:rPr>
                <w:rFonts w:cs="Times New Roman"/>
                <w:b w:val="0"/>
                <w:szCs w:val="24"/>
              </w:rPr>
              <w:t xml:space="preserve">Výdaje organizačních složek státu (mimo ústřední orgán a  trans. </w:t>
            </w:r>
            <w:proofErr w:type="gramStart"/>
            <w:r w:rsidRPr="00DA14C7">
              <w:rPr>
                <w:rFonts w:cs="Times New Roman"/>
                <w:b w:val="0"/>
                <w:szCs w:val="24"/>
              </w:rPr>
              <w:t>do</w:t>
            </w:r>
            <w:proofErr w:type="gramEnd"/>
            <w:r w:rsidRPr="00DA14C7">
              <w:rPr>
                <w:rFonts w:cs="Times New Roman"/>
                <w:b w:val="0"/>
                <w:szCs w:val="24"/>
              </w:rPr>
              <w:t xml:space="preserve"> </w:t>
            </w:r>
            <w:proofErr w:type="spellStart"/>
            <w:r w:rsidRPr="00DA14C7">
              <w:rPr>
                <w:rFonts w:cs="Times New Roman"/>
                <w:b w:val="0"/>
                <w:szCs w:val="24"/>
              </w:rPr>
              <w:t>zahr</w:t>
            </w:r>
            <w:proofErr w:type="spellEnd"/>
            <w:r w:rsidRPr="00DA14C7">
              <w:rPr>
                <w:rFonts w:cs="Times New Roman"/>
                <w:b w:val="0"/>
                <w:szCs w:val="24"/>
              </w:rPr>
              <w:t>.)</w:t>
            </w:r>
          </w:p>
        </w:tc>
        <w:tc>
          <w:tcPr>
            <w:tcW w:w="2193" w:type="dxa"/>
            <w:tcBorders>
              <w:top w:val="single" w:sz="8" w:space="0" w:color="7F7F7F" w:themeColor="text1" w:themeTint="80"/>
              <w:bottom w:val="nil"/>
            </w:tcBorders>
            <w:shd w:val="clear" w:color="auto" w:fill="auto"/>
            <w:vAlign w:val="center"/>
          </w:tcPr>
          <w:p w14:paraId="1F5107CD" w14:textId="77777777" w:rsidR="00115B57" w:rsidRPr="0005118C"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5118C">
              <w:rPr>
                <w:rFonts w:cs="Times New Roman"/>
                <w:szCs w:val="24"/>
              </w:rPr>
              <w:t>48</w:t>
            </w:r>
            <w:r>
              <w:rPr>
                <w:rFonts w:cs="Times New Roman"/>
                <w:szCs w:val="24"/>
              </w:rPr>
              <w:t>4</w:t>
            </w:r>
            <w:r w:rsidRPr="0005118C">
              <w:rPr>
                <w:rFonts w:cs="Times New Roman"/>
                <w:szCs w:val="24"/>
              </w:rPr>
              <w:t> </w:t>
            </w:r>
            <w:r>
              <w:rPr>
                <w:rFonts w:cs="Times New Roman"/>
                <w:szCs w:val="24"/>
              </w:rPr>
              <w:t>904</w:t>
            </w:r>
            <w:r w:rsidRPr="0005118C">
              <w:rPr>
                <w:rFonts w:cs="Times New Roman"/>
                <w:szCs w:val="24"/>
              </w:rPr>
              <w:t xml:space="preserve"> tis. Kč </w:t>
            </w:r>
          </w:p>
        </w:tc>
      </w:tr>
      <w:tr w:rsidR="00115B57" w:rsidRPr="00852382" w14:paraId="3DC25DC6"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0E8B6F7A" w14:textId="77777777" w:rsidR="00115B57" w:rsidRPr="00761670" w:rsidRDefault="00115B57" w:rsidP="00DC64B4">
            <w:pPr>
              <w:rPr>
                <w:rFonts w:cs="Times New Roman"/>
                <w:b w:val="0"/>
                <w:i/>
                <w:szCs w:val="24"/>
              </w:rPr>
            </w:pPr>
            <w:r w:rsidRPr="00761670">
              <w:rPr>
                <w:rFonts w:cs="Times New Roman"/>
                <w:b w:val="0"/>
                <w:i/>
                <w:szCs w:val="24"/>
              </w:rPr>
              <w:t xml:space="preserve">z toho: </w:t>
            </w:r>
            <w:r>
              <w:rPr>
                <w:rFonts w:cs="Times New Roman"/>
                <w:b w:val="0"/>
                <w:i/>
                <w:szCs w:val="24"/>
              </w:rPr>
              <w:t xml:space="preserve">127 07 Rozvoj a obnova mat. </w:t>
            </w:r>
            <w:proofErr w:type="spellStart"/>
            <w:proofErr w:type="gramStart"/>
            <w:r>
              <w:rPr>
                <w:rFonts w:cs="Times New Roman"/>
                <w:b w:val="0"/>
                <w:i/>
                <w:szCs w:val="24"/>
              </w:rPr>
              <w:t>tech</w:t>
            </w:r>
            <w:proofErr w:type="spellEnd"/>
            <w:r>
              <w:rPr>
                <w:rFonts w:cs="Times New Roman"/>
                <w:b w:val="0"/>
                <w:i/>
                <w:szCs w:val="24"/>
              </w:rPr>
              <w:t>.</w:t>
            </w:r>
            <w:proofErr w:type="gramEnd"/>
            <w:r>
              <w:rPr>
                <w:rFonts w:cs="Times New Roman"/>
                <w:b w:val="0"/>
                <w:i/>
                <w:szCs w:val="24"/>
              </w:rPr>
              <w:t xml:space="preserve"> základny </w:t>
            </w:r>
            <w:proofErr w:type="spellStart"/>
            <w:r>
              <w:rPr>
                <w:rFonts w:cs="Times New Roman"/>
                <w:b w:val="0"/>
                <w:i/>
                <w:szCs w:val="24"/>
              </w:rPr>
              <w:t>syst</w:t>
            </w:r>
            <w:proofErr w:type="spellEnd"/>
            <w:r>
              <w:rPr>
                <w:rFonts w:cs="Times New Roman"/>
                <w:b w:val="0"/>
                <w:i/>
                <w:szCs w:val="24"/>
              </w:rPr>
              <w:t>. říz. MD-OSS</w:t>
            </w:r>
          </w:p>
        </w:tc>
        <w:tc>
          <w:tcPr>
            <w:tcW w:w="2193" w:type="dxa"/>
            <w:tcBorders>
              <w:top w:val="nil"/>
              <w:bottom w:val="single" w:sz="8" w:space="0" w:color="7F7F7F" w:themeColor="text1" w:themeTint="80"/>
            </w:tcBorders>
            <w:shd w:val="clear" w:color="auto" w:fill="auto"/>
          </w:tcPr>
          <w:p w14:paraId="164059D1" w14:textId="77777777" w:rsidR="00115B57" w:rsidRPr="0005118C"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05118C">
              <w:rPr>
                <w:rFonts w:cs="Times New Roman"/>
                <w:i/>
                <w:szCs w:val="24"/>
              </w:rPr>
              <w:t>20 950 tis. Kč</w:t>
            </w:r>
          </w:p>
        </w:tc>
      </w:tr>
    </w:tbl>
    <w:p w14:paraId="18AFB5B8" w14:textId="47CA26E2" w:rsidR="00F95343" w:rsidRDefault="00F95343"/>
    <w:p w14:paraId="31427BE7" w14:textId="77777777" w:rsidR="00F95343" w:rsidRDefault="00F95343"/>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115B57" w:rsidRPr="00852382" w14:paraId="4CE890BC"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64944D45" w14:textId="71DFB383" w:rsidR="00115B57" w:rsidRPr="00DA14C7" w:rsidRDefault="00841077" w:rsidP="00DC64B4">
            <w:pPr>
              <w:rPr>
                <w:rFonts w:cs="Times New Roman"/>
                <w:b w:val="0"/>
                <w:szCs w:val="24"/>
              </w:rPr>
            </w:pPr>
            <w:r>
              <w:rPr>
                <w:rFonts w:cs="Times New Roman"/>
                <w:b w:val="0"/>
                <w:szCs w:val="24"/>
              </w:rPr>
              <w:t>Výdaje ú</w:t>
            </w:r>
            <w:r w:rsidR="00115B57" w:rsidRPr="00DA14C7">
              <w:rPr>
                <w:rFonts w:cs="Times New Roman"/>
                <w:b w:val="0"/>
                <w:szCs w:val="24"/>
              </w:rPr>
              <w:t>středního orgánu MD (bez transferu do zahraničí)</w:t>
            </w:r>
          </w:p>
        </w:tc>
        <w:tc>
          <w:tcPr>
            <w:tcW w:w="2193" w:type="dxa"/>
            <w:tcBorders>
              <w:top w:val="single" w:sz="8" w:space="0" w:color="7F7F7F" w:themeColor="text1" w:themeTint="80"/>
              <w:bottom w:val="nil"/>
            </w:tcBorders>
            <w:shd w:val="clear" w:color="auto" w:fill="auto"/>
          </w:tcPr>
          <w:p w14:paraId="28652FD4" w14:textId="77777777" w:rsidR="00115B57" w:rsidRPr="00C75806"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color w:val="FF0000"/>
                <w:szCs w:val="24"/>
              </w:rPr>
            </w:pPr>
            <w:r w:rsidRPr="00DE40F2">
              <w:rPr>
                <w:rFonts w:cs="Times New Roman"/>
                <w:szCs w:val="24"/>
              </w:rPr>
              <w:t>6 </w:t>
            </w:r>
            <w:r>
              <w:rPr>
                <w:rFonts w:cs="Times New Roman"/>
                <w:szCs w:val="24"/>
              </w:rPr>
              <w:t>1</w:t>
            </w:r>
            <w:r w:rsidRPr="00DE40F2">
              <w:rPr>
                <w:rFonts w:cs="Times New Roman"/>
                <w:szCs w:val="24"/>
              </w:rPr>
              <w:t>3</w:t>
            </w:r>
            <w:r>
              <w:rPr>
                <w:rFonts w:cs="Times New Roman"/>
                <w:szCs w:val="24"/>
              </w:rPr>
              <w:t>3</w:t>
            </w:r>
            <w:r w:rsidRPr="00DE40F2">
              <w:rPr>
                <w:rFonts w:cs="Times New Roman"/>
                <w:szCs w:val="24"/>
              </w:rPr>
              <w:t xml:space="preserve"> </w:t>
            </w:r>
            <w:r>
              <w:rPr>
                <w:rFonts w:cs="Times New Roman"/>
                <w:szCs w:val="24"/>
              </w:rPr>
              <w:t>339</w:t>
            </w:r>
            <w:r w:rsidRPr="00DE40F2">
              <w:rPr>
                <w:rFonts w:cs="Times New Roman"/>
                <w:szCs w:val="24"/>
              </w:rPr>
              <w:t xml:space="preserve"> tis. Kč</w:t>
            </w:r>
          </w:p>
        </w:tc>
      </w:tr>
      <w:tr w:rsidR="00115B57" w:rsidRPr="00852382" w14:paraId="5F58C96F"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14:paraId="11056965" w14:textId="77777777" w:rsidR="00115B57" w:rsidRDefault="00115B57" w:rsidP="00DC64B4">
            <w:pPr>
              <w:rPr>
                <w:rFonts w:cs="Times New Roman"/>
                <w:b w:val="0"/>
                <w:i/>
                <w:szCs w:val="24"/>
              </w:rPr>
            </w:pPr>
            <w:r w:rsidRPr="00761670">
              <w:rPr>
                <w:rFonts w:cs="Times New Roman"/>
                <w:b w:val="0"/>
                <w:i/>
                <w:szCs w:val="24"/>
              </w:rPr>
              <w:t xml:space="preserve">z toho: </w:t>
            </w:r>
            <w:r>
              <w:rPr>
                <w:rFonts w:cs="Times New Roman"/>
                <w:b w:val="0"/>
                <w:i/>
                <w:szCs w:val="24"/>
              </w:rPr>
              <w:t xml:space="preserve">127 03 Rozvoj a obnova mat. </w:t>
            </w:r>
            <w:proofErr w:type="spellStart"/>
            <w:proofErr w:type="gramStart"/>
            <w:r>
              <w:rPr>
                <w:rFonts w:cs="Times New Roman"/>
                <w:b w:val="0"/>
                <w:i/>
                <w:szCs w:val="24"/>
              </w:rPr>
              <w:t>tech</w:t>
            </w:r>
            <w:proofErr w:type="spellEnd"/>
            <w:r>
              <w:rPr>
                <w:rFonts w:cs="Times New Roman"/>
                <w:b w:val="0"/>
                <w:i/>
                <w:szCs w:val="24"/>
              </w:rPr>
              <w:t>.</w:t>
            </w:r>
            <w:proofErr w:type="gramEnd"/>
            <w:r>
              <w:rPr>
                <w:rFonts w:cs="Times New Roman"/>
                <w:b w:val="0"/>
                <w:i/>
                <w:szCs w:val="24"/>
              </w:rPr>
              <w:t xml:space="preserve"> základny </w:t>
            </w:r>
            <w:proofErr w:type="spellStart"/>
            <w:r>
              <w:rPr>
                <w:rFonts w:cs="Times New Roman"/>
                <w:b w:val="0"/>
                <w:i/>
                <w:szCs w:val="24"/>
              </w:rPr>
              <w:t>syst</w:t>
            </w:r>
            <w:proofErr w:type="spellEnd"/>
            <w:r>
              <w:rPr>
                <w:rFonts w:cs="Times New Roman"/>
                <w:b w:val="0"/>
                <w:i/>
                <w:szCs w:val="24"/>
              </w:rPr>
              <w:t>. říz. MD-OSS</w:t>
            </w:r>
          </w:p>
          <w:p w14:paraId="17A90D27" w14:textId="77777777" w:rsidR="00115B57" w:rsidRDefault="00115B57" w:rsidP="00DC64B4">
            <w:pPr>
              <w:rPr>
                <w:rFonts w:cs="Times New Roman"/>
                <w:b w:val="0"/>
                <w:i/>
                <w:szCs w:val="24"/>
              </w:rPr>
            </w:pPr>
            <w:r>
              <w:rPr>
                <w:rFonts w:cs="Times New Roman"/>
                <w:b w:val="0"/>
                <w:i/>
                <w:szCs w:val="24"/>
              </w:rPr>
              <w:t xml:space="preserve">            127 07 Rozvoj a obnova mat. </w:t>
            </w:r>
            <w:proofErr w:type="spellStart"/>
            <w:proofErr w:type="gramStart"/>
            <w:r>
              <w:rPr>
                <w:rFonts w:cs="Times New Roman"/>
                <w:b w:val="0"/>
                <w:i/>
                <w:szCs w:val="24"/>
              </w:rPr>
              <w:t>tech</w:t>
            </w:r>
            <w:proofErr w:type="spellEnd"/>
            <w:r>
              <w:rPr>
                <w:rFonts w:cs="Times New Roman"/>
                <w:b w:val="0"/>
                <w:i/>
                <w:szCs w:val="24"/>
              </w:rPr>
              <w:t>.</w:t>
            </w:r>
            <w:proofErr w:type="gramEnd"/>
            <w:r>
              <w:rPr>
                <w:rFonts w:cs="Times New Roman"/>
                <w:b w:val="0"/>
                <w:i/>
                <w:szCs w:val="24"/>
              </w:rPr>
              <w:t xml:space="preserve"> základny </w:t>
            </w:r>
            <w:proofErr w:type="spellStart"/>
            <w:r>
              <w:rPr>
                <w:rFonts w:cs="Times New Roman"/>
                <w:b w:val="0"/>
                <w:i/>
                <w:szCs w:val="24"/>
              </w:rPr>
              <w:t>syst</w:t>
            </w:r>
            <w:proofErr w:type="spellEnd"/>
            <w:r>
              <w:rPr>
                <w:rFonts w:cs="Times New Roman"/>
                <w:b w:val="0"/>
                <w:i/>
                <w:szCs w:val="24"/>
              </w:rPr>
              <w:t>. říz. MD-OSS</w:t>
            </w:r>
          </w:p>
          <w:p w14:paraId="4B6A5341" w14:textId="77777777" w:rsidR="00115B57" w:rsidRPr="00761670" w:rsidRDefault="00115B57" w:rsidP="00DC64B4">
            <w:pPr>
              <w:rPr>
                <w:rFonts w:cs="Times New Roman"/>
                <w:b w:val="0"/>
                <w:i/>
                <w:szCs w:val="24"/>
              </w:rPr>
            </w:pPr>
            <w:r>
              <w:rPr>
                <w:rFonts w:cs="Times New Roman"/>
                <w:b w:val="0"/>
                <w:i/>
                <w:szCs w:val="24"/>
              </w:rPr>
              <w:t xml:space="preserve">            </w:t>
            </w:r>
            <w:r w:rsidRPr="00761670">
              <w:rPr>
                <w:rFonts w:cs="Times New Roman"/>
                <w:b w:val="0"/>
                <w:i/>
                <w:szCs w:val="24"/>
              </w:rPr>
              <w:t xml:space="preserve">kompenzace slev jízdného  </w:t>
            </w:r>
          </w:p>
        </w:tc>
        <w:tc>
          <w:tcPr>
            <w:tcW w:w="2193" w:type="dxa"/>
            <w:tcBorders>
              <w:top w:val="nil"/>
              <w:left w:val="single" w:sz="4" w:space="0" w:color="7F7F7F" w:themeColor="text1" w:themeTint="80"/>
              <w:bottom w:val="nil"/>
            </w:tcBorders>
            <w:shd w:val="clear" w:color="auto" w:fill="auto"/>
          </w:tcPr>
          <w:p w14:paraId="4908C665"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103 621 tis. Kč</w:t>
            </w:r>
          </w:p>
          <w:p w14:paraId="70AFEC1A"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72 827 tis. Kč</w:t>
            </w:r>
          </w:p>
          <w:p w14:paraId="2801925D"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color w:val="FF0000"/>
                <w:szCs w:val="24"/>
              </w:rPr>
            </w:pPr>
            <w:r w:rsidRPr="00DE40F2">
              <w:rPr>
                <w:rFonts w:cs="Times New Roman"/>
                <w:i/>
                <w:szCs w:val="24"/>
              </w:rPr>
              <w:t xml:space="preserve">5 000 000 tis. Kč </w:t>
            </w:r>
          </w:p>
        </w:tc>
      </w:tr>
      <w:tr w:rsidR="00115B57" w:rsidRPr="00852382" w14:paraId="421A3F08"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nil"/>
              <w:bottom w:val="nil"/>
              <w:right w:val="single" w:sz="4" w:space="0" w:color="7F7F7F" w:themeColor="text1" w:themeTint="80"/>
            </w:tcBorders>
            <w:shd w:val="clear" w:color="auto" w:fill="auto"/>
          </w:tcPr>
          <w:p w14:paraId="6C348462" w14:textId="77777777" w:rsidR="00115B57" w:rsidRPr="00C453F8" w:rsidRDefault="00115B57" w:rsidP="00DC64B4">
            <w:pPr>
              <w:rPr>
                <w:rFonts w:cs="Times New Roman"/>
                <w:b w:val="0"/>
                <w:i/>
                <w:szCs w:val="24"/>
              </w:rPr>
            </w:pPr>
            <w:r w:rsidRPr="00C453F8">
              <w:rPr>
                <w:rFonts w:cs="Times New Roman"/>
                <w:b w:val="0"/>
                <w:i/>
                <w:szCs w:val="24"/>
              </w:rPr>
              <w:t xml:space="preserve">            dopravně správní agendy</w:t>
            </w:r>
          </w:p>
          <w:p w14:paraId="35C7945F" w14:textId="77777777" w:rsidR="00115B57" w:rsidRDefault="00115B57" w:rsidP="00DC64B4">
            <w:pPr>
              <w:rPr>
                <w:rFonts w:cs="Times New Roman"/>
                <w:b w:val="0"/>
                <w:i/>
                <w:szCs w:val="24"/>
              </w:rPr>
            </w:pPr>
            <w:r w:rsidRPr="00C453F8">
              <w:rPr>
                <w:rFonts w:cs="Times New Roman"/>
                <w:b w:val="0"/>
                <w:i/>
                <w:szCs w:val="24"/>
              </w:rPr>
              <w:t xml:space="preserve">            OP Doprava 2014+ </w:t>
            </w:r>
          </w:p>
          <w:p w14:paraId="4493C239" w14:textId="77777777" w:rsidR="00115B57" w:rsidRPr="00C453F8" w:rsidRDefault="00115B57" w:rsidP="00DC64B4">
            <w:pPr>
              <w:rPr>
                <w:rFonts w:cs="Times New Roman"/>
                <w:b w:val="0"/>
                <w:i/>
                <w:szCs w:val="24"/>
              </w:rPr>
            </w:pPr>
            <w:r>
              <w:rPr>
                <w:rFonts w:cs="Times New Roman"/>
                <w:b w:val="0"/>
                <w:i/>
                <w:szCs w:val="24"/>
              </w:rPr>
              <w:t xml:space="preserve">            OP Doprava 2021+</w:t>
            </w:r>
          </w:p>
          <w:p w14:paraId="738EEA02" w14:textId="77777777" w:rsidR="00115B57" w:rsidRPr="00C453F8" w:rsidRDefault="00115B57" w:rsidP="00DC64B4">
            <w:pPr>
              <w:rPr>
                <w:rFonts w:cs="Times New Roman"/>
                <w:b w:val="0"/>
                <w:i/>
                <w:szCs w:val="24"/>
              </w:rPr>
            </w:pPr>
            <w:r w:rsidRPr="00C453F8">
              <w:rPr>
                <w:rFonts w:cs="Times New Roman"/>
                <w:b w:val="0"/>
                <w:i/>
                <w:szCs w:val="24"/>
              </w:rPr>
              <w:t xml:space="preserve">            Komunitární programy 2014+</w:t>
            </w:r>
          </w:p>
          <w:p w14:paraId="4CB43EBE" w14:textId="77777777" w:rsidR="00115B57" w:rsidRPr="00C453F8" w:rsidRDefault="00115B57" w:rsidP="00DC64B4">
            <w:pPr>
              <w:rPr>
                <w:rFonts w:cs="Times New Roman"/>
                <w:b w:val="0"/>
                <w:i/>
                <w:szCs w:val="24"/>
              </w:rPr>
            </w:pPr>
            <w:r w:rsidRPr="00C453F8">
              <w:rPr>
                <w:rFonts w:cs="Times New Roman"/>
                <w:b w:val="0"/>
                <w:i/>
                <w:szCs w:val="24"/>
              </w:rPr>
              <w:t xml:space="preserve">       </w:t>
            </w:r>
            <w:r>
              <w:rPr>
                <w:rFonts w:cs="Times New Roman"/>
                <w:b w:val="0"/>
                <w:i/>
                <w:szCs w:val="24"/>
              </w:rPr>
              <w:t xml:space="preserve"> </w:t>
            </w:r>
            <w:r w:rsidRPr="00C453F8">
              <w:rPr>
                <w:rFonts w:cs="Times New Roman"/>
                <w:b w:val="0"/>
                <w:i/>
                <w:szCs w:val="24"/>
              </w:rPr>
              <w:t xml:space="preserve">    Komunitární programy 2021+         </w:t>
            </w:r>
          </w:p>
        </w:tc>
        <w:tc>
          <w:tcPr>
            <w:tcW w:w="2193" w:type="dxa"/>
            <w:tcBorders>
              <w:top w:val="nil"/>
              <w:left w:val="single" w:sz="4" w:space="0" w:color="7F7F7F" w:themeColor="text1" w:themeTint="80"/>
              <w:bottom w:val="nil"/>
            </w:tcBorders>
            <w:shd w:val="clear" w:color="auto" w:fill="auto"/>
          </w:tcPr>
          <w:p w14:paraId="39D7EE25" w14:textId="77777777" w:rsidR="00115B57" w:rsidRPr="00DE40F2"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DE40F2">
              <w:rPr>
                <w:rFonts w:cs="Times New Roman"/>
                <w:i/>
                <w:szCs w:val="24"/>
              </w:rPr>
              <w:t>224 000 tis. Kč</w:t>
            </w:r>
          </w:p>
          <w:p w14:paraId="2BD7C33B" w14:textId="77777777" w:rsidR="00115B57" w:rsidRPr="00DE40F2"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DE40F2">
              <w:rPr>
                <w:rFonts w:cs="Times New Roman"/>
                <w:i/>
                <w:szCs w:val="24"/>
              </w:rPr>
              <w:t>5 011 tis. Kč</w:t>
            </w:r>
          </w:p>
          <w:p w14:paraId="0F697458" w14:textId="77777777" w:rsidR="00115B57" w:rsidRPr="00DE40F2"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DE40F2">
              <w:rPr>
                <w:rFonts w:cs="Times New Roman"/>
                <w:i/>
                <w:szCs w:val="24"/>
              </w:rPr>
              <w:t>10 161 tis. Kč</w:t>
            </w:r>
          </w:p>
          <w:p w14:paraId="5BA11980" w14:textId="77777777" w:rsidR="00115B57" w:rsidRPr="00DE40F2"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DE40F2">
              <w:rPr>
                <w:rFonts w:cs="Times New Roman"/>
                <w:i/>
                <w:szCs w:val="24"/>
              </w:rPr>
              <w:t>847 tis. Kč</w:t>
            </w:r>
          </w:p>
          <w:p w14:paraId="4E5C32EB"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color w:val="FF0000"/>
                <w:szCs w:val="24"/>
              </w:rPr>
            </w:pPr>
            <w:r w:rsidRPr="00DE40F2">
              <w:rPr>
                <w:rFonts w:cs="Times New Roman"/>
                <w:i/>
                <w:szCs w:val="24"/>
              </w:rPr>
              <w:t>1 319 tis. Kč</w:t>
            </w:r>
          </w:p>
        </w:tc>
      </w:tr>
      <w:tr w:rsidR="00115B57" w:rsidRPr="00852382" w14:paraId="1CA88E00"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03F0F1B3" w14:textId="77777777" w:rsidR="00115B57" w:rsidRPr="005336E7" w:rsidRDefault="00115B57" w:rsidP="00DC64B4">
            <w:pPr>
              <w:rPr>
                <w:rFonts w:cs="Times New Roman"/>
                <w:b w:val="0"/>
                <w:szCs w:val="24"/>
              </w:rPr>
            </w:pPr>
            <w:r>
              <w:rPr>
                <w:rFonts w:cs="Times New Roman"/>
                <w:b w:val="0"/>
                <w:szCs w:val="24"/>
              </w:rPr>
              <w:t>Transfery</w:t>
            </w:r>
            <w:r w:rsidRPr="005336E7">
              <w:rPr>
                <w:rFonts w:cs="Times New Roman"/>
                <w:b w:val="0"/>
                <w:szCs w:val="24"/>
              </w:rPr>
              <w:t xml:space="preserve"> příspěvkový</w:t>
            </w:r>
            <w:r>
              <w:rPr>
                <w:rFonts w:cs="Times New Roman"/>
                <w:b w:val="0"/>
                <w:szCs w:val="24"/>
              </w:rPr>
              <w:t>m</w:t>
            </w:r>
            <w:r w:rsidRPr="005336E7">
              <w:rPr>
                <w:rFonts w:cs="Times New Roman"/>
                <w:b w:val="0"/>
                <w:szCs w:val="24"/>
              </w:rPr>
              <w:t xml:space="preserve"> organizací</w:t>
            </w:r>
            <w:r>
              <w:rPr>
                <w:rFonts w:cs="Times New Roman"/>
                <w:b w:val="0"/>
                <w:szCs w:val="24"/>
              </w:rPr>
              <w:t>m</w:t>
            </w:r>
          </w:p>
        </w:tc>
        <w:tc>
          <w:tcPr>
            <w:tcW w:w="2193" w:type="dxa"/>
            <w:tcBorders>
              <w:top w:val="single" w:sz="8" w:space="0" w:color="7F7F7F" w:themeColor="text1" w:themeTint="80"/>
              <w:bottom w:val="single" w:sz="8" w:space="0" w:color="7F7F7F" w:themeColor="text1" w:themeTint="80"/>
            </w:tcBorders>
            <w:shd w:val="clear" w:color="auto" w:fill="auto"/>
          </w:tcPr>
          <w:p w14:paraId="4D7500B2"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color w:val="FF0000"/>
                <w:szCs w:val="24"/>
              </w:rPr>
            </w:pPr>
            <w:r w:rsidRPr="006F6BCE">
              <w:rPr>
                <w:rFonts w:cs="Times New Roman"/>
                <w:szCs w:val="24"/>
              </w:rPr>
              <w:t>1</w:t>
            </w:r>
            <w:r>
              <w:rPr>
                <w:rFonts w:cs="Times New Roman"/>
                <w:szCs w:val="24"/>
              </w:rPr>
              <w:t>42</w:t>
            </w:r>
            <w:r w:rsidRPr="006F6BCE">
              <w:rPr>
                <w:rFonts w:cs="Times New Roman"/>
                <w:szCs w:val="24"/>
              </w:rPr>
              <w:t xml:space="preserve"> </w:t>
            </w:r>
            <w:r>
              <w:rPr>
                <w:rFonts w:cs="Times New Roman"/>
                <w:szCs w:val="24"/>
              </w:rPr>
              <w:t>623</w:t>
            </w:r>
            <w:r w:rsidRPr="006F6BCE">
              <w:rPr>
                <w:rFonts w:cs="Times New Roman"/>
                <w:szCs w:val="24"/>
              </w:rPr>
              <w:t xml:space="preserve"> tis. Kč</w:t>
            </w:r>
          </w:p>
        </w:tc>
      </w:tr>
      <w:tr w:rsidR="00115B57" w:rsidRPr="00852382" w14:paraId="1CC75914"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095C479B" w14:textId="77777777" w:rsidR="00115B57" w:rsidRDefault="00115B57" w:rsidP="00DC64B4">
            <w:pPr>
              <w:rPr>
                <w:rFonts w:cs="Times New Roman"/>
                <w:b w:val="0"/>
                <w:szCs w:val="24"/>
              </w:rPr>
            </w:pPr>
            <w:r w:rsidRPr="005336E7">
              <w:rPr>
                <w:rFonts w:cs="Times New Roman"/>
                <w:b w:val="0"/>
                <w:szCs w:val="24"/>
              </w:rPr>
              <w:t>Transfery veřejným výzkumným institucím</w:t>
            </w:r>
          </w:p>
          <w:p w14:paraId="3433C23A" w14:textId="77777777" w:rsidR="00115B57" w:rsidRPr="00B269ED" w:rsidRDefault="00115B57" w:rsidP="00DC64B4">
            <w:pPr>
              <w:rPr>
                <w:rFonts w:cs="Times New Roman"/>
                <w:b w:val="0"/>
                <w:i/>
                <w:szCs w:val="24"/>
              </w:rPr>
            </w:pPr>
            <w:r w:rsidRPr="00B269ED">
              <w:rPr>
                <w:rFonts w:cs="Times New Roman"/>
                <w:b w:val="0"/>
                <w:i/>
                <w:szCs w:val="24"/>
              </w:rPr>
              <w:t>v tom: ZED</w:t>
            </w:r>
          </w:p>
        </w:tc>
        <w:tc>
          <w:tcPr>
            <w:tcW w:w="2193" w:type="dxa"/>
            <w:tcBorders>
              <w:top w:val="single" w:sz="8" w:space="0" w:color="7F7F7F" w:themeColor="text1" w:themeTint="80"/>
              <w:bottom w:val="single" w:sz="8" w:space="0" w:color="7F7F7F" w:themeColor="text1" w:themeTint="80"/>
            </w:tcBorders>
            <w:shd w:val="clear" w:color="auto" w:fill="auto"/>
          </w:tcPr>
          <w:p w14:paraId="40AEF866" w14:textId="77777777" w:rsidR="00115B57" w:rsidRPr="00B269ED"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B269ED">
              <w:rPr>
                <w:rFonts w:cs="Times New Roman"/>
                <w:szCs w:val="24"/>
              </w:rPr>
              <w:t>147 663 tis. Kč</w:t>
            </w:r>
          </w:p>
          <w:p w14:paraId="137C25EB" w14:textId="77777777" w:rsidR="00115B57" w:rsidRPr="00B269ED"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color w:val="FF0000"/>
                <w:szCs w:val="24"/>
              </w:rPr>
            </w:pPr>
            <w:r w:rsidRPr="00B269ED">
              <w:rPr>
                <w:rFonts w:cs="Times New Roman"/>
                <w:i/>
                <w:szCs w:val="24"/>
              </w:rPr>
              <w:t>147 663 tis. Kč</w:t>
            </w:r>
          </w:p>
        </w:tc>
      </w:tr>
      <w:tr w:rsidR="00115B57" w:rsidRPr="00852382" w14:paraId="79188D3A"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26B10A4A" w14:textId="77777777" w:rsidR="00115B57" w:rsidRPr="00967D37" w:rsidRDefault="00115B57" w:rsidP="00DC64B4">
            <w:pPr>
              <w:rPr>
                <w:rFonts w:cs="Times New Roman"/>
                <w:b w:val="0"/>
                <w:szCs w:val="24"/>
              </w:rPr>
            </w:pPr>
            <w:r w:rsidRPr="00967D37">
              <w:rPr>
                <w:rFonts w:cs="Times New Roman"/>
                <w:b w:val="0"/>
                <w:szCs w:val="24"/>
              </w:rPr>
              <w:t>Neinvestiční transfery spolkům</w:t>
            </w:r>
          </w:p>
          <w:p w14:paraId="70E4914C" w14:textId="77777777" w:rsidR="00115B57" w:rsidRPr="00967D37" w:rsidRDefault="00115B57" w:rsidP="00DC64B4">
            <w:pPr>
              <w:rPr>
                <w:rFonts w:cs="Times New Roman"/>
                <w:b w:val="0"/>
                <w:i/>
                <w:szCs w:val="24"/>
              </w:rPr>
            </w:pPr>
            <w:r w:rsidRPr="00967D37">
              <w:rPr>
                <w:rFonts w:cs="Times New Roman"/>
                <w:b w:val="0"/>
                <w:i/>
                <w:szCs w:val="24"/>
              </w:rPr>
              <w:t>v tom: ZED</w:t>
            </w:r>
          </w:p>
        </w:tc>
        <w:tc>
          <w:tcPr>
            <w:tcW w:w="2193" w:type="dxa"/>
            <w:tcBorders>
              <w:top w:val="single" w:sz="8" w:space="0" w:color="7F7F7F" w:themeColor="text1" w:themeTint="80"/>
              <w:bottom w:val="single" w:sz="8" w:space="0" w:color="7F7F7F" w:themeColor="text1" w:themeTint="80"/>
            </w:tcBorders>
            <w:shd w:val="clear" w:color="auto" w:fill="auto"/>
          </w:tcPr>
          <w:p w14:paraId="0BA6F757" w14:textId="77777777" w:rsidR="00115B57" w:rsidRPr="00967D3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967D37">
              <w:rPr>
                <w:rFonts w:cs="Times New Roman"/>
                <w:szCs w:val="24"/>
              </w:rPr>
              <w:t>9 400 tis. Kč</w:t>
            </w:r>
          </w:p>
          <w:p w14:paraId="1F6B7948" w14:textId="77777777" w:rsidR="00115B57" w:rsidRPr="00967D3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967D37">
              <w:rPr>
                <w:rFonts w:cs="Times New Roman"/>
                <w:i/>
                <w:szCs w:val="24"/>
              </w:rPr>
              <w:t>9 400 tis. Kč</w:t>
            </w:r>
          </w:p>
        </w:tc>
      </w:tr>
      <w:tr w:rsidR="00115B57" w:rsidRPr="00852382" w14:paraId="7392209D"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3DEEF49D" w14:textId="77777777" w:rsidR="00115B57" w:rsidRPr="00C74533" w:rsidRDefault="00115B57" w:rsidP="00DC64B4">
            <w:pPr>
              <w:rPr>
                <w:rFonts w:cs="Times New Roman"/>
                <w:b w:val="0"/>
                <w:i/>
                <w:szCs w:val="24"/>
              </w:rPr>
            </w:pPr>
            <w:r w:rsidRPr="00C74533">
              <w:rPr>
                <w:rFonts w:cs="Times New Roman"/>
                <w:b w:val="0"/>
                <w:szCs w:val="24"/>
              </w:rPr>
              <w:t>Neinvestiční transfery do zahraničí</w:t>
            </w:r>
          </w:p>
        </w:tc>
        <w:tc>
          <w:tcPr>
            <w:tcW w:w="2193" w:type="dxa"/>
            <w:tcBorders>
              <w:top w:val="single" w:sz="8" w:space="0" w:color="7F7F7F" w:themeColor="text1" w:themeTint="80"/>
              <w:bottom w:val="single" w:sz="8" w:space="0" w:color="7F7F7F" w:themeColor="text1" w:themeTint="80"/>
            </w:tcBorders>
            <w:shd w:val="clear" w:color="auto" w:fill="auto"/>
          </w:tcPr>
          <w:p w14:paraId="132AFF55" w14:textId="77777777" w:rsidR="00115B57" w:rsidRPr="00C7453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C74533">
              <w:rPr>
                <w:rFonts w:cs="Times New Roman"/>
                <w:szCs w:val="24"/>
              </w:rPr>
              <w:t>19 706 tis. Kč</w:t>
            </w:r>
          </w:p>
        </w:tc>
      </w:tr>
      <w:tr w:rsidR="00115B57" w:rsidRPr="00852382" w14:paraId="36EE0824"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nil"/>
            </w:tcBorders>
            <w:shd w:val="clear" w:color="auto" w:fill="auto"/>
          </w:tcPr>
          <w:p w14:paraId="47FA24D7" w14:textId="77777777" w:rsidR="00115B57" w:rsidRPr="0041517B" w:rsidRDefault="00115B57" w:rsidP="00DC64B4">
            <w:pPr>
              <w:rPr>
                <w:rFonts w:cs="Times New Roman"/>
                <w:b w:val="0"/>
                <w:szCs w:val="24"/>
              </w:rPr>
            </w:pPr>
            <w:r>
              <w:rPr>
                <w:rFonts w:cs="Times New Roman"/>
                <w:b w:val="0"/>
                <w:szCs w:val="24"/>
              </w:rPr>
              <w:t>Neinvestiční t</w:t>
            </w:r>
            <w:r w:rsidRPr="0041517B">
              <w:rPr>
                <w:rFonts w:cs="Times New Roman"/>
                <w:b w:val="0"/>
                <w:szCs w:val="24"/>
              </w:rPr>
              <w:t xml:space="preserve">ransfery </w:t>
            </w:r>
            <w:r>
              <w:rPr>
                <w:rFonts w:cs="Times New Roman"/>
                <w:b w:val="0"/>
                <w:szCs w:val="24"/>
              </w:rPr>
              <w:t>p</w:t>
            </w:r>
            <w:r w:rsidRPr="0041517B">
              <w:rPr>
                <w:rFonts w:cs="Times New Roman"/>
                <w:b w:val="0"/>
                <w:szCs w:val="24"/>
              </w:rPr>
              <w:t xml:space="preserve">odnikatelům </w:t>
            </w:r>
          </w:p>
        </w:tc>
        <w:tc>
          <w:tcPr>
            <w:tcW w:w="2193" w:type="dxa"/>
            <w:tcBorders>
              <w:top w:val="single" w:sz="8" w:space="0" w:color="7F7F7F" w:themeColor="text1" w:themeTint="80"/>
              <w:bottom w:val="nil"/>
            </w:tcBorders>
            <w:shd w:val="clear" w:color="auto" w:fill="auto"/>
          </w:tcPr>
          <w:p w14:paraId="6264250B"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color w:val="FF0000"/>
                <w:szCs w:val="24"/>
              </w:rPr>
            </w:pPr>
            <w:r w:rsidRPr="006E7682">
              <w:rPr>
                <w:rFonts w:cs="Times New Roman"/>
                <w:szCs w:val="24"/>
              </w:rPr>
              <w:t>106 950 tis. Kč</w:t>
            </w:r>
          </w:p>
        </w:tc>
      </w:tr>
      <w:tr w:rsidR="00115B57" w:rsidRPr="00852382" w14:paraId="57118ED7"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nil"/>
              <w:bottom w:val="single" w:sz="8" w:space="0" w:color="7F7F7F" w:themeColor="text1" w:themeTint="80"/>
            </w:tcBorders>
            <w:shd w:val="clear" w:color="auto" w:fill="auto"/>
          </w:tcPr>
          <w:p w14:paraId="64BB0B31" w14:textId="77777777" w:rsidR="00115B57" w:rsidRPr="006E7682" w:rsidRDefault="00115B57" w:rsidP="00DC64B4">
            <w:pPr>
              <w:rPr>
                <w:rFonts w:cs="Times New Roman"/>
                <w:b w:val="0"/>
                <w:i/>
                <w:szCs w:val="24"/>
              </w:rPr>
            </w:pPr>
            <w:r w:rsidRPr="006E7682">
              <w:rPr>
                <w:rFonts w:cs="Times New Roman"/>
                <w:b w:val="0"/>
                <w:i/>
                <w:szCs w:val="24"/>
              </w:rPr>
              <w:t>v tom: ZED</w:t>
            </w:r>
          </w:p>
        </w:tc>
        <w:tc>
          <w:tcPr>
            <w:tcW w:w="2193" w:type="dxa"/>
            <w:tcBorders>
              <w:top w:val="nil"/>
              <w:bottom w:val="single" w:sz="8" w:space="0" w:color="7F7F7F" w:themeColor="text1" w:themeTint="80"/>
            </w:tcBorders>
            <w:shd w:val="clear" w:color="auto" w:fill="auto"/>
          </w:tcPr>
          <w:p w14:paraId="76A946E4" w14:textId="77777777" w:rsidR="00115B57" w:rsidRPr="006E7682"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106 950 tis. Kč</w:t>
            </w:r>
          </w:p>
        </w:tc>
      </w:tr>
      <w:tr w:rsidR="00115B57" w:rsidRPr="00852382" w14:paraId="78674711"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57A1AB3D" w14:textId="77777777" w:rsidR="00115B57" w:rsidRPr="00E82E1C" w:rsidRDefault="00115B57" w:rsidP="00DC64B4">
            <w:pPr>
              <w:rPr>
                <w:rFonts w:cs="Times New Roman"/>
                <w:szCs w:val="24"/>
              </w:rPr>
            </w:pPr>
            <w:r w:rsidRPr="00E82E1C">
              <w:rPr>
                <w:rFonts w:cs="Times New Roman"/>
                <w:szCs w:val="24"/>
              </w:rPr>
              <w:t xml:space="preserve">Výdaje spojené s kosmickými aktivitami </w:t>
            </w:r>
            <w:r w:rsidRPr="00E82E1C">
              <w:rPr>
                <w:rFonts w:cs="Times New Roman"/>
                <w:b w:val="0"/>
                <w:szCs w:val="24"/>
              </w:rPr>
              <w:t>(v tom:)</w:t>
            </w:r>
          </w:p>
        </w:tc>
        <w:tc>
          <w:tcPr>
            <w:tcW w:w="2193" w:type="dxa"/>
            <w:tcBorders>
              <w:top w:val="single" w:sz="8" w:space="0" w:color="7F7F7F" w:themeColor="text1" w:themeTint="80"/>
              <w:bottom w:val="single" w:sz="8" w:space="0" w:color="7F7F7F" w:themeColor="text1" w:themeTint="80"/>
            </w:tcBorders>
            <w:shd w:val="clear" w:color="auto" w:fill="auto"/>
          </w:tcPr>
          <w:p w14:paraId="70333AE5"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b/>
                <w:color w:val="FF0000"/>
                <w:szCs w:val="24"/>
              </w:rPr>
            </w:pPr>
            <w:r w:rsidRPr="000F5B90">
              <w:rPr>
                <w:rFonts w:cs="Times New Roman"/>
                <w:b/>
                <w:szCs w:val="24"/>
              </w:rPr>
              <w:t xml:space="preserve">1 207 </w:t>
            </w:r>
            <w:r>
              <w:rPr>
                <w:rFonts w:cs="Times New Roman"/>
                <w:b/>
                <w:szCs w:val="24"/>
              </w:rPr>
              <w:t>478</w:t>
            </w:r>
            <w:r w:rsidRPr="000F5B90">
              <w:rPr>
                <w:rFonts w:cs="Times New Roman"/>
                <w:b/>
                <w:szCs w:val="24"/>
              </w:rPr>
              <w:t xml:space="preserve"> tis. Kč</w:t>
            </w:r>
          </w:p>
        </w:tc>
      </w:tr>
      <w:tr w:rsidR="00115B57" w:rsidRPr="00852382" w14:paraId="18A58DF3"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2D1E5C53" w14:textId="681FEC0A" w:rsidR="00115B57" w:rsidRDefault="00841077" w:rsidP="00DC64B4">
            <w:pPr>
              <w:rPr>
                <w:rFonts w:cs="Times New Roman"/>
                <w:b w:val="0"/>
                <w:szCs w:val="24"/>
              </w:rPr>
            </w:pPr>
            <w:r>
              <w:rPr>
                <w:rFonts w:cs="Times New Roman"/>
                <w:b w:val="0"/>
                <w:szCs w:val="24"/>
              </w:rPr>
              <w:t>Výdaje ú</w:t>
            </w:r>
            <w:r w:rsidR="00115B57" w:rsidRPr="00E82E1C">
              <w:rPr>
                <w:rFonts w:cs="Times New Roman"/>
                <w:b w:val="0"/>
                <w:szCs w:val="24"/>
              </w:rPr>
              <w:t>středního orgánu MD</w:t>
            </w:r>
          </w:p>
          <w:p w14:paraId="00C8AD74" w14:textId="77777777" w:rsidR="00115B57" w:rsidRPr="00281A05" w:rsidRDefault="00115B57" w:rsidP="00DC64B4">
            <w:pPr>
              <w:rPr>
                <w:rFonts w:cs="Times New Roman"/>
                <w:b w:val="0"/>
                <w:i/>
                <w:szCs w:val="24"/>
              </w:rPr>
            </w:pPr>
            <w:r w:rsidRPr="00281A05">
              <w:rPr>
                <w:rFonts w:cs="Times New Roman"/>
                <w:b w:val="0"/>
                <w:i/>
                <w:szCs w:val="24"/>
              </w:rPr>
              <w:t>z toho: Kosmický program Unie</w:t>
            </w:r>
          </w:p>
        </w:tc>
        <w:tc>
          <w:tcPr>
            <w:tcW w:w="2193" w:type="dxa"/>
            <w:tcBorders>
              <w:top w:val="single" w:sz="8" w:space="0" w:color="7F7F7F" w:themeColor="text1" w:themeTint="80"/>
              <w:bottom w:val="single" w:sz="8" w:space="0" w:color="7F7F7F" w:themeColor="text1" w:themeTint="80"/>
            </w:tcBorders>
            <w:shd w:val="clear" w:color="auto" w:fill="auto"/>
          </w:tcPr>
          <w:p w14:paraId="2DB2F1B1"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E13136">
              <w:rPr>
                <w:rFonts w:cs="Times New Roman"/>
                <w:szCs w:val="24"/>
              </w:rPr>
              <w:t xml:space="preserve">2 </w:t>
            </w:r>
            <w:r>
              <w:rPr>
                <w:rFonts w:cs="Times New Roman"/>
                <w:szCs w:val="24"/>
              </w:rPr>
              <w:t>203</w:t>
            </w:r>
            <w:r w:rsidRPr="00E13136">
              <w:rPr>
                <w:rFonts w:cs="Times New Roman"/>
                <w:szCs w:val="24"/>
              </w:rPr>
              <w:t xml:space="preserve"> tis. Kč</w:t>
            </w:r>
          </w:p>
          <w:p w14:paraId="44EECFC5" w14:textId="77777777" w:rsidR="00115B57" w:rsidRPr="00281A05"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281A05">
              <w:rPr>
                <w:rFonts w:cs="Times New Roman"/>
                <w:i/>
                <w:szCs w:val="24"/>
              </w:rPr>
              <w:t>190 tis. Kč</w:t>
            </w:r>
          </w:p>
        </w:tc>
      </w:tr>
      <w:tr w:rsidR="00115B57" w:rsidRPr="00852382" w14:paraId="59C3E6BE"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2243691D" w14:textId="77777777" w:rsidR="00115B57" w:rsidRPr="00E82E1C" w:rsidRDefault="00115B57" w:rsidP="00DC64B4">
            <w:pPr>
              <w:rPr>
                <w:rFonts w:cs="Times New Roman"/>
                <w:b w:val="0"/>
                <w:szCs w:val="24"/>
              </w:rPr>
            </w:pPr>
            <w:r w:rsidRPr="00E82E1C">
              <w:rPr>
                <w:rFonts w:cs="Times New Roman"/>
                <w:b w:val="0"/>
                <w:szCs w:val="24"/>
              </w:rPr>
              <w:t>Neinvestiční transfery do zahraničí</w:t>
            </w:r>
          </w:p>
          <w:p w14:paraId="0F243C1B" w14:textId="77777777" w:rsidR="00115B57" w:rsidRPr="00E82E1C" w:rsidRDefault="00115B57" w:rsidP="00DC64B4">
            <w:pPr>
              <w:rPr>
                <w:rFonts w:cs="Times New Roman"/>
                <w:b w:val="0"/>
                <w:szCs w:val="24"/>
              </w:rPr>
            </w:pPr>
            <w:r w:rsidRPr="00E82E1C">
              <w:rPr>
                <w:rFonts w:cs="Times New Roman"/>
                <w:b w:val="0"/>
                <w:i/>
                <w:szCs w:val="24"/>
              </w:rPr>
              <w:t>z toho: výdaje na volitelné programy ESA</w:t>
            </w:r>
          </w:p>
        </w:tc>
        <w:tc>
          <w:tcPr>
            <w:tcW w:w="2193" w:type="dxa"/>
            <w:tcBorders>
              <w:top w:val="single" w:sz="8" w:space="0" w:color="7F7F7F" w:themeColor="text1" w:themeTint="80"/>
              <w:bottom w:val="single" w:sz="8" w:space="0" w:color="7F7F7F" w:themeColor="text1" w:themeTint="80"/>
            </w:tcBorders>
            <w:shd w:val="clear" w:color="auto" w:fill="auto"/>
          </w:tcPr>
          <w:p w14:paraId="7C227E9E" w14:textId="77777777" w:rsidR="00115B57" w:rsidRPr="00E1313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E13136">
              <w:rPr>
                <w:rFonts w:cs="Times New Roman"/>
                <w:szCs w:val="24"/>
              </w:rPr>
              <w:t>1 205 275 tis. Kč</w:t>
            </w:r>
          </w:p>
          <w:p w14:paraId="5260770C" w14:textId="77777777" w:rsidR="00115B57" w:rsidRPr="00E1313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E13136">
              <w:rPr>
                <w:rFonts w:cs="Times New Roman"/>
                <w:i/>
                <w:szCs w:val="24"/>
              </w:rPr>
              <w:t>1 205 000 tis. Kč</w:t>
            </w:r>
          </w:p>
        </w:tc>
      </w:tr>
    </w:tbl>
    <w:p w14:paraId="4B77E9A1" w14:textId="77777777" w:rsidR="00115B57" w:rsidRPr="00C47693" w:rsidRDefault="00115B57" w:rsidP="00C617CF">
      <w:pPr>
        <w:pStyle w:val="Styl1"/>
        <w:numPr>
          <w:ilvl w:val="0"/>
          <w:numId w:val="23"/>
        </w:numPr>
        <w:spacing w:before="180" w:after="120"/>
        <w:ind w:left="568" w:hanging="284"/>
      </w:pPr>
      <w:r w:rsidRPr="00DA14C7">
        <w:t>financované z prostředků fondů Evropské unie (</w:t>
      </w:r>
      <w:r>
        <w:t>1 232 274</w:t>
      </w:r>
      <w:r w:rsidRPr="00C47693">
        <w:t xml:space="preserve"> tis. Kč)</w:t>
      </w:r>
    </w:p>
    <w:tbl>
      <w:tblPr>
        <w:tblStyle w:val="Svtltabulkasmkou1zvraznn1"/>
        <w:tblW w:w="0" w:type="auto"/>
        <w:tblLook w:val="00A0" w:firstRow="1" w:lastRow="0" w:firstColumn="1" w:lastColumn="0" w:noHBand="0" w:noVBand="0"/>
      </w:tblPr>
      <w:tblGrid>
        <w:gridCol w:w="6857"/>
        <w:gridCol w:w="2193"/>
      </w:tblGrid>
      <w:tr w:rsidR="00115B57" w:rsidRPr="00852382" w14:paraId="2B38EFA4"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524AA0D3" w14:textId="77777777" w:rsidR="00115B57" w:rsidRPr="00DA14C7" w:rsidRDefault="00115B57" w:rsidP="00DC64B4">
            <w:pPr>
              <w:rPr>
                <w:rFonts w:cs="Times New Roman"/>
                <w:szCs w:val="24"/>
              </w:rPr>
            </w:pPr>
            <w:r w:rsidRPr="00DA14C7">
              <w:rPr>
                <w:rFonts w:cs="Times New Roman"/>
                <w:szCs w:val="24"/>
              </w:rPr>
              <w:t xml:space="preserve">Další výdaje spojené s dopravní politikou státu </w:t>
            </w:r>
            <w:r w:rsidRPr="00DA14C7">
              <w:rPr>
                <w:rFonts w:cs="Times New Roman"/>
                <w:b w:val="0"/>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tcPr>
          <w:p w14:paraId="1408A89B" w14:textId="77777777" w:rsidR="00115B57" w:rsidRPr="00C75806"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color w:val="FF0000"/>
                <w:szCs w:val="24"/>
              </w:rPr>
            </w:pPr>
            <w:r w:rsidRPr="00D25B61">
              <w:rPr>
                <w:rFonts w:cs="Times New Roman"/>
                <w:szCs w:val="24"/>
              </w:rPr>
              <w:t>1 231 514 tis. Kč</w:t>
            </w:r>
          </w:p>
        </w:tc>
      </w:tr>
      <w:tr w:rsidR="00115B57" w:rsidRPr="00852382" w14:paraId="56C840F7"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14:paraId="424E3C4C" w14:textId="4C89AC47" w:rsidR="00115B57" w:rsidRPr="0002794F" w:rsidRDefault="00115B57" w:rsidP="00DC64B4">
            <w:pPr>
              <w:rPr>
                <w:rFonts w:cs="Times New Roman"/>
                <w:b w:val="0"/>
                <w:szCs w:val="24"/>
              </w:rPr>
            </w:pPr>
            <w:r w:rsidRPr="0002794F">
              <w:rPr>
                <w:rFonts w:cs="Times New Roman"/>
                <w:b w:val="0"/>
                <w:szCs w:val="24"/>
              </w:rPr>
              <w:t xml:space="preserve">Výdaje </w:t>
            </w:r>
            <w:r w:rsidR="00841077">
              <w:rPr>
                <w:rFonts w:cs="Times New Roman"/>
                <w:b w:val="0"/>
                <w:szCs w:val="24"/>
              </w:rPr>
              <w:t>ú</w:t>
            </w:r>
            <w:r w:rsidRPr="0002794F">
              <w:rPr>
                <w:rFonts w:cs="Times New Roman"/>
                <w:b w:val="0"/>
                <w:szCs w:val="24"/>
              </w:rPr>
              <w:t>středního orgánu MD</w:t>
            </w:r>
          </w:p>
          <w:p w14:paraId="4E6C01A8" w14:textId="77777777" w:rsidR="00115B57" w:rsidRDefault="00115B57" w:rsidP="00DC64B4">
            <w:pPr>
              <w:tabs>
                <w:tab w:val="left" w:pos="2699"/>
              </w:tabs>
              <w:rPr>
                <w:rFonts w:cs="Times New Roman"/>
                <w:b w:val="0"/>
                <w:i/>
                <w:szCs w:val="24"/>
              </w:rPr>
            </w:pPr>
            <w:r w:rsidRPr="0002794F">
              <w:rPr>
                <w:rFonts w:cs="Times New Roman"/>
                <w:b w:val="0"/>
                <w:i/>
                <w:szCs w:val="24"/>
              </w:rPr>
              <w:t>v tom: OP Doprava 2014+</w:t>
            </w:r>
          </w:p>
          <w:p w14:paraId="20885FE7" w14:textId="77777777" w:rsidR="00115B57" w:rsidRPr="0002794F" w:rsidRDefault="00115B57" w:rsidP="00DC64B4">
            <w:pPr>
              <w:tabs>
                <w:tab w:val="left" w:pos="2699"/>
              </w:tabs>
              <w:rPr>
                <w:rFonts w:cs="Times New Roman"/>
                <w:b w:val="0"/>
                <w:i/>
                <w:szCs w:val="24"/>
              </w:rPr>
            </w:pPr>
            <w:r>
              <w:rPr>
                <w:rFonts w:cs="Times New Roman"/>
                <w:b w:val="0"/>
                <w:i/>
                <w:szCs w:val="24"/>
              </w:rPr>
              <w:t xml:space="preserve">           OP Doprava 2021+</w:t>
            </w:r>
            <w:r w:rsidRPr="0002794F">
              <w:rPr>
                <w:rFonts w:cs="Times New Roman"/>
                <w:b w:val="0"/>
                <w:i/>
                <w:szCs w:val="24"/>
              </w:rPr>
              <w:tab/>
            </w:r>
          </w:p>
          <w:p w14:paraId="2AD3DA8A" w14:textId="77777777" w:rsidR="00115B57" w:rsidRPr="0002794F" w:rsidRDefault="00115B57" w:rsidP="00DC64B4">
            <w:pPr>
              <w:tabs>
                <w:tab w:val="left" w:pos="2699"/>
              </w:tabs>
              <w:rPr>
                <w:rFonts w:cs="Times New Roman"/>
                <w:b w:val="0"/>
                <w:i/>
                <w:szCs w:val="24"/>
              </w:rPr>
            </w:pPr>
            <w:r w:rsidRPr="0002794F">
              <w:rPr>
                <w:rFonts w:cs="Times New Roman"/>
                <w:b w:val="0"/>
                <w:i/>
                <w:szCs w:val="24"/>
              </w:rPr>
              <w:t xml:space="preserve">          </w:t>
            </w:r>
            <w:r>
              <w:rPr>
                <w:rFonts w:cs="Times New Roman"/>
                <w:b w:val="0"/>
                <w:i/>
                <w:szCs w:val="24"/>
              </w:rPr>
              <w:t xml:space="preserve"> </w:t>
            </w:r>
            <w:r w:rsidRPr="0002794F">
              <w:rPr>
                <w:rFonts w:cs="Times New Roman"/>
                <w:b w:val="0"/>
                <w:i/>
                <w:szCs w:val="24"/>
              </w:rPr>
              <w:t>Komunitární programy 2014+</w:t>
            </w:r>
          </w:p>
          <w:p w14:paraId="1C73ADC3" w14:textId="77777777" w:rsidR="00115B57" w:rsidRPr="0002794F" w:rsidRDefault="00115B57" w:rsidP="00DC64B4">
            <w:pPr>
              <w:tabs>
                <w:tab w:val="left" w:pos="2699"/>
              </w:tabs>
              <w:rPr>
                <w:rFonts w:cs="Times New Roman"/>
                <w:b w:val="0"/>
                <w:i/>
                <w:szCs w:val="24"/>
              </w:rPr>
            </w:pPr>
            <w:r w:rsidRPr="0002794F">
              <w:rPr>
                <w:rFonts w:cs="Times New Roman"/>
                <w:b w:val="0"/>
                <w:i/>
                <w:szCs w:val="24"/>
              </w:rPr>
              <w:t xml:space="preserve">          </w:t>
            </w:r>
            <w:r>
              <w:rPr>
                <w:rFonts w:cs="Times New Roman"/>
                <w:b w:val="0"/>
                <w:i/>
                <w:szCs w:val="24"/>
              </w:rPr>
              <w:t xml:space="preserve"> </w:t>
            </w:r>
            <w:r w:rsidRPr="0002794F">
              <w:rPr>
                <w:rFonts w:cs="Times New Roman"/>
                <w:b w:val="0"/>
                <w:i/>
                <w:szCs w:val="24"/>
              </w:rPr>
              <w:t xml:space="preserve">Komunitární programy 2021+  </w:t>
            </w:r>
          </w:p>
          <w:p w14:paraId="1CDDCC36" w14:textId="2F7B81DA" w:rsidR="00115B57" w:rsidRDefault="00115B57" w:rsidP="00DC64B4">
            <w:pPr>
              <w:tabs>
                <w:tab w:val="left" w:pos="2699"/>
              </w:tabs>
              <w:rPr>
                <w:rFonts w:cs="Times New Roman"/>
                <w:b w:val="0"/>
                <w:i/>
                <w:szCs w:val="24"/>
              </w:rPr>
            </w:pPr>
            <w:r w:rsidRPr="0002794F">
              <w:rPr>
                <w:rFonts w:cs="Times New Roman"/>
                <w:b w:val="0"/>
                <w:i/>
                <w:szCs w:val="24"/>
              </w:rPr>
              <w:t xml:space="preserve">          </w:t>
            </w:r>
            <w:r>
              <w:rPr>
                <w:rFonts w:cs="Times New Roman"/>
                <w:b w:val="0"/>
                <w:i/>
                <w:szCs w:val="24"/>
              </w:rPr>
              <w:t xml:space="preserve"> </w:t>
            </w:r>
            <w:r w:rsidRPr="0002794F">
              <w:rPr>
                <w:rFonts w:cs="Times New Roman"/>
                <w:b w:val="0"/>
                <w:i/>
                <w:szCs w:val="24"/>
              </w:rPr>
              <w:t>Horizont Evropa</w:t>
            </w:r>
            <w:r w:rsidR="002E4704">
              <w:rPr>
                <w:rFonts w:cs="Times New Roman"/>
                <w:b w:val="0"/>
                <w:i/>
                <w:szCs w:val="24"/>
              </w:rPr>
              <w:t xml:space="preserve"> 2021+</w:t>
            </w:r>
          </w:p>
          <w:p w14:paraId="03EFFA34" w14:textId="42229C15" w:rsidR="00115B57" w:rsidRPr="0002794F" w:rsidRDefault="00115B57" w:rsidP="00DC64B4">
            <w:pPr>
              <w:tabs>
                <w:tab w:val="left" w:pos="2699"/>
              </w:tabs>
              <w:rPr>
                <w:rFonts w:cs="Times New Roman"/>
                <w:b w:val="0"/>
                <w:szCs w:val="24"/>
              </w:rPr>
            </w:pPr>
            <w:r>
              <w:rPr>
                <w:rFonts w:cs="Times New Roman"/>
                <w:b w:val="0"/>
                <w:i/>
                <w:szCs w:val="24"/>
              </w:rPr>
              <w:t xml:space="preserve">           BAR</w:t>
            </w:r>
            <w:r w:rsidR="00BC6EF6">
              <w:rPr>
                <w:rFonts w:cs="Times New Roman"/>
                <w:b w:val="0"/>
                <w:i/>
                <w:szCs w:val="24"/>
              </w:rPr>
              <w:t xml:space="preserve"> – rezerva pro </w:t>
            </w:r>
            <w:proofErr w:type="spellStart"/>
            <w:r w:rsidR="00BC6EF6">
              <w:rPr>
                <w:rFonts w:cs="Times New Roman"/>
                <w:b w:val="0"/>
                <w:i/>
                <w:szCs w:val="24"/>
              </w:rPr>
              <w:t>Brexit</w:t>
            </w:r>
            <w:proofErr w:type="spellEnd"/>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tcPr>
          <w:p w14:paraId="285E546A" w14:textId="77777777" w:rsidR="00115B57" w:rsidRPr="00D25B61"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D25B61">
              <w:rPr>
                <w:rFonts w:cs="Times New Roman"/>
                <w:szCs w:val="24"/>
              </w:rPr>
              <w:t>121 283 tis. Kč</w:t>
            </w:r>
          </w:p>
          <w:p w14:paraId="45D930D6"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color w:val="FF0000"/>
                <w:szCs w:val="24"/>
              </w:rPr>
              <w:t xml:space="preserve"> </w:t>
            </w:r>
            <w:r w:rsidRPr="00C47693">
              <w:rPr>
                <w:rFonts w:cs="Times New Roman"/>
                <w:i/>
                <w:szCs w:val="24"/>
              </w:rPr>
              <w:t>28 398 tis. Kč</w:t>
            </w:r>
          </w:p>
          <w:p w14:paraId="383362C6" w14:textId="77777777" w:rsidR="00115B57" w:rsidRPr="00C4769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C47693">
              <w:rPr>
                <w:rFonts w:cs="Times New Roman"/>
                <w:i/>
                <w:szCs w:val="24"/>
              </w:rPr>
              <w:t>57 580 tis. Kč</w:t>
            </w:r>
          </w:p>
          <w:p w14:paraId="26612863" w14:textId="77777777" w:rsidR="00115B57" w:rsidRPr="00C4769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C47693">
              <w:rPr>
                <w:rFonts w:cs="Times New Roman"/>
                <w:i/>
                <w:szCs w:val="24"/>
              </w:rPr>
              <w:t>2 242 tis. Kč</w:t>
            </w:r>
          </w:p>
          <w:p w14:paraId="78572B5D" w14:textId="77777777" w:rsidR="00115B57" w:rsidRPr="00C4769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C47693">
              <w:rPr>
                <w:rFonts w:cs="Times New Roman"/>
                <w:i/>
                <w:szCs w:val="24"/>
              </w:rPr>
              <w:t>18 071 tis. Kč</w:t>
            </w:r>
          </w:p>
          <w:p w14:paraId="432780FA" w14:textId="77777777" w:rsidR="00115B57" w:rsidRPr="00C4769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mallCaps/>
                <w:szCs w:val="24"/>
              </w:rPr>
            </w:pPr>
            <w:r w:rsidRPr="00C47693">
              <w:rPr>
                <w:rFonts w:cs="Times New Roman"/>
                <w:i/>
                <w:szCs w:val="24"/>
              </w:rPr>
              <w:t xml:space="preserve">386 tis. </w:t>
            </w:r>
            <w:r w:rsidRPr="00C47693">
              <w:rPr>
                <w:rFonts w:cs="Times New Roman"/>
                <w:i/>
                <w:smallCaps/>
                <w:szCs w:val="24"/>
              </w:rPr>
              <w:t>Kč</w:t>
            </w:r>
          </w:p>
          <w:p w14:paraId="5D8BC9C4" w14:textId="77777777" w:rsidR="00115B57" w:rsidRPr="00C7580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mallCaps/>
                <w:color w:val="FF0000"/>
                <w:szCs w:val="24"/>
              </w:rPr>
            </w:pPr>
            <w:r w:rsidRPr="00C47693">
              <w:rPr>
                <w:rFonts w:cs="Times New Roman"/>
                <w:i/>
                <w:smallCaps/>
                <w:szCs w:val="24"/>
              </w:rPr>
              <w:t>14 606</w:t>
            </w:r>
            <w:r w:rsidRPr="00C47693">
              <w:rPr>
                <w:rFonts w:cs="Times New Roman"/>
                <w:i/>
                <w:szCs w:val="24"/>
              </w:rPr>
              <w:t xml:space="preserve"> tis. </w:t>
            </w:r>
            <w:r w:rsidRPr="00C47693">
              <w:rPr>
                <w:rFonts w:cs="Times New Roman"/>
                <w:i/>
                <w:smallCaps/>
                <w:szCs w:val="24"/>
              </w:rPr>
              <w:t xml:space="preserve">Kč </w:t>
            </w:r>
          </w:p>
        </w:tc>
      </w:tr>
      <w:tr w:rsidR="00115B57" w:rsidRPr="00852382" w14:paraId="204041BA"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nil"/>
              <w:right w:val="single" w:sz="4" w:space="0" w:color="7F7F7F" w:themeColor="text1" w:themeTint="80"/>
            </w:tcBorders>
            <w:shd w:val="clear" w:color="auto" w:fill="auto"/>
          </w:tcPr>
          <w:p w14:paraId="5B71189F" w14:textId="77777777" w:rsidR="00115B57" w:rsidRPr="00852382" w:rsidRDefault="00115B57" w:rsidP="00DC64B4">
            <w:pPr>
              <w:rPr>
                <w:rFonts w:cs="Times New Roman"/>
                <w:b w:val="0"/>
                <w:color w:val="FF0000"/>
                <w:szCs w:val="24"/>
              </w:rPr>
            </w:pPr>
            <w:r w:rsidRPr="00DF36A2">
              <w:rPr>
                <w:rFonts w:cs="Times New Roman"/>
                <w:b w:val="0"/>
                <w:szCs w:val="24"/>
              </w:rPr>
              <w:t xml:space="preserve">Transfery </w:t>
            </w:r>
            <w:r w:rsidRPr="00DB74BD">
              <w:rPr>
                <w:rFonts w:cs="Times New Roman"/>
                <w:b w:val="0"/>
                <w:szCs w:val="24"/>
              </w:rPr>
              <w:t>příspěvkovým organizacím</w:t>
            </w:r>
          </w:p>
        </w:tc>
        <w:tc>
          <w:tcPr>
            <w:tcW w:w="2193" w:type="dxa"/>
            <w:tcBorders>
              <w:top w:val="single" w:sz="8"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14:paraId="1CCA8440" w14:textId="77777777" w:rsidR="00115B57" w:rsidRPr="00C4769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C47693">
              <w:rPr>
                <w:rFonts w:cs="Times New Roman"/>
                <w:szCs w:val="24"/>
              </w:rPr>
              <w:t>292 721 tis. Kč</w:t>
            </w:r>
          </w:p>
        </w:tc>
      </w:tr>
      <w:tr w:rsidR="00115B57" w:rsidRPr="00852382" w14:paraId="17AA4D59"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5C263211" w14:textId="77777777" w:rsidR="00115B57" w:rsidRPr="00DF36A2" w:rsidRDefault="00115B57" w:rsidP="00DC64B4">
            <w:pPr>
              <w:ind w:left="489" w:hanging="489"/>
              <w:rPr>
                <w:rFonts w:cs="Times New Roman"/>
                <w:b w:val="0"/>
                <w:i/>
                <w:szCs w:val="24"/>
              </w:rPr>
            </w:pPr>
            <w:r w:rsidRPr="00DF36A2">
              <w:rPr>
                <w:rFonts w:cs="Times New Roman"/>
                <w:b w:val="0"/>
                <w:i/>
                <w:szCs w:val="24"/>
              </w:rPr>
              <w:t xml:space="preserve">v </w:t>
            </w:r>
            <w:proofErr w:type="spellStart"/>
            <w:r w:rsidRPr="00DF36A2">
              <w:rPr>
                <w:rFonts w:cs="Times New Roman"/>
                <w:b w:val="0"/>
                <w:i/>
                <w:szCs w:val="24"/>
              </w:rPr>
              <w:t>tom:OP</w:t>
            </w:r>
            <w:proofErr w:type="spellEnd"/>
            <w:r w:rsidRPr="00DF36A2">
              <w:rPr>
                <w:rFonts w:cs="Times New Roman"/>
                <w:b w:val="0"/>
                <w:i/>
                <w:szCs w:val="24"/>
              </w:rPr>
              <w:t xml:space="preserve"> Podnikání a inovace pro </w:t>
            </w:r>
            <w:proofErr w:type="spellStart"/>
            <w:r w:rsidRPr="00DF36A2">
              <w:rPr>
                <w:rFonts w:cs="Times New Roman"/>
                <w:b w:val="0"/>
                <w:i/>
                <w:szCs w:val="24"/>
              </w:rPr>
              <w:t>konk</w:t>
            </w:r>
            <w:proofErr w:type="spellEnd"/>
            <w:r>
              <w:rPr>
                <w:rFonts w:cs="Times New Roman"/>
                <w:b w:val="0"/>
                <w:i/>
                <w:szCs w:val="24"/>
              </w:rPr>
              <w:t>.</w:t>
            </w:r>
            <w:r w:rsidRPr="00DF36A2">
              <w:rPr>
                <w:rFonts w:cs="Times New Roman"/>
                <w:b w:val="0"/>
                <w:i/>
                <w:szCs w:val="24"/>
              </w:rPr>
              <w:t xml:space="preserve"> 2014+</w:t>
            </w:r>
            <w:r>
              <w:rPr>
                <w:rFonts w:cs="Times New Roman"/>
                <w:b w:val="0"/>
                <w:i/>
                <w:szCs w:val="24"/>
              </w:rPr>
              <w:t xml:space="preserve">/127 06 Rozvoj                    a obnova mat. </w:t>
            </w:r>
            <w:proofErr w:type="spellStart"/>
            <w:proofErr w:type="gramStart"/>
            <w:r>
              <w:rPr>
                <w:rFonts w:cs="Times New Roman"/>
                <w:b w:val="0"/>
                <w:i/>
                <w:szCs w:val="24"/>
              </w:rPr>
              <w:t>tech</w:t>
            </w:r>
            <w:proofErr w:type="spellEnd"/>
            <w:r>
              <w:rPr>
                <w:rFonts w:cs="Times New Roman"/>
                <w:b w:val="0"/>
                <w:i/>
                <w:szCs w:val="24"/>
              </w:rPr>
              <w:t>.</w:t>
            </w:r>
            <w:proofErr w:type="gramEnd"/>
            <w:r>
              <w:rPr>
                <w:rFonts w:cs="Times New Roman"/>
                <w:b w:val="0"/>
                <w:i/>
                <w:szCs w:val="24"/>
              </w:rPr>
              <w:t xml:space="preserve"> základny </w:t>
            </w:r>
            <w:proofErr w:type="spellStart"/>
            <w:r>
              <w:rPr>
                <w:rFonts w:cs="Times New Roman"/>
                <w:b w:val="0"/>
                <w:i/>
                <w:szCs w:val="24"/>
              </w:rPr>
              <w:t>syst</w:t>
            </w:r>
            <w:proofErr w:type="spellEnd"/>
            <w:r>
              <w:rPr>
                <w:rFonts w:cs="Times New Roman"/>
                <w:b w:val="0"/>
                <w:i/>
                <w:szCs w:val="24"/>
              </w:rPr>
              <w:t>. říz. MD-PO, SFDI</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405BAA8A" w14:textId="77777777" w:rsidR="00115B57" w:rsidRPr="00C4769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C47693">
              <w:rPr>
                <w:rFonts w:cs="Times New Roman"/>
                <w:i/>
                <w:szCs w:val="24"/>
              </w:rPr>
              <w:t>292 721 tis. Kč</w:t>
            </w:r>
          </w:p>
        </w:tc>
      </w:tr>
      <w:tr w:rsidR="00115B57" w:rsidRPr="00852382" w14:paraId="0EF04EBE"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nil"/>
              <w:right w:val="single" w:sz="4" w:space="0" w:color="7F7F7F" w:themeColor="text1" w:themeTint="80"/>
            </w:tcBorders>
            <w:shd w:val="clear" w:color="auto" w:fill="auto"/>
          </w:tcPr>
          <w:p w14:paraId="7B66014E" w14:textId="6937B97A" w:rsidR="00115B57" w:rsidRPr="00DF36A2" w:rsidRDefault="00B1782C" w:rsidP="00DC64B4">
            <w:pPr>
              <w:ind w:left="489" w:hanging="489"/>
              <w:rPr>
                <w:rFonts w:cs="Times New Roman"/>
                <w:i/>
                <w:szCs w:val="24"/>
              </w:rPr>
            </w:pPr>
            <w:r>
              <w:rPr>
                <w:rFonts w:cs="Times New Roman"/>
                <w:b w:val="0"/>
                <w:szCs w:val="24"/>
              </w:rPr>
              <w:t>T</w:t>
            </w:r>
            <w:r w:rsidR="00115B57" w:rsidRPr="0041517B">
              <w:rPr>
                <w:rFonts w:cs="Times New Roman"/>
                <w:b w:val="0"/>
                <w:szCs w:val="24"/>
              </w:rPr>
              <w:t>ransfery podnikatelům</w:t>
            </w:r>
          </w:p>
        </w:tc>
        <w:tc>
          <w:tcPr>
            <w:tcW w:w="2193" w:type="dxa"/>
            <w:tcBorders>
              <w:top w:val="nil"/>
              <w:left w:val="single" w:sz="4" w:space="0" w:color="7F7F7F" w:themeColor="text1" w:themeTint="80"/>
              <w:bottom w:val="nil"/>
              <w:right w:val="single" w:sz="8" w:space="0" w:color="7F7F7F" w:themeColor="text1" w:themeTint="80"/>
            </w:tcBorders>
            <w:shd w:val="clear" w:color="auto" w:fill="auto"/>
            <w:vAlign w:val="center"/>
          </w:tcPr>
          <w:p w14:paraId="134D1376" w14:textId="77777777" w:rsidR="00115B57" w:rsidRPr="00281A05"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281A05">
              <w:rPr>
                <w:rFonts w:cs="Times New Roman"/>
                <w:szCs w:val="24"/>
              </w:rPr>
              <w:t>817 5</w:t>
            </w:r>
            <w:r>
              <w:rPr>
                <w:rFonts w:cs="Times New Roman"/>
                <w:szCs w:val="24"/>
              </w:rPr>
              <w:t>1</w:t>
            </w:r>
            <w:r w:rsidRPr="00281A05">
              <w:rPr>
                <w:rFonts w:cs="Times New Roman"/>
                <w:szCs w:val="24"/>
              </w:rPr>
              <w:t>0 tis. Kč</w:t>
            </w:r>
          </w:p>
        </w:tc>
      </w:tr>
      <w:tr w:rsidR="00115B57" w:rsidRPr="00852382" w14:paraId="363F4CBD"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34097D55" w14:textId="77777777" w:rsidR="00115B57" w:rsidRDefault="00115B57" w:rsidP="00DC64B4">
            <w:pPr>
              <w:ind w:left="489" w:hanging="489"/>
              <w:rPr>
                <w:rFonts w:cs="Times New Roman"/>
                <w:b w:val="0"/>
                <w:i/>
                <w:szCs w:val="24"/>
              </w:rPr>
            </w:pPr>
            <w:r w:rsidRPr="00C47693">
              <w:rPr>
                <w:rFonts w:cs="Times New Roman"/>
                <w:b w:val="0"/>
                <w:i/>
                <w:szCs w:val="24"/>
              </w:rPr>
              <w:t xml:space="preserve">v tom: </w:t>
            </w:r>
            <w:r>
              <w:rPr>
                <w:rFonts w:cs="Times New Roman"/>
                <w:b w:val="0"/>
                <w:i/>
                <w:szCs w:val="24"/>
              </w:rPr>
              <w:t>OP Doprava 2021+/</w:t>
            </w:r>
            <w:r w:rsidRPr="00C47693">
              <w:rPr>
                <w:rFonts w:cs="Times New Roman"/>
                <w:b w:val="0"/>
                <w:i/>
                <w:szCs w:val="24"/>
              </w:rPr>
              <w:t>ZED</w:t>
            </w:r>
          </w:p>
          <w:p w14:paraId="6B19E318" w14:textId="692D474E" w:rsidR="00115B57" w:rsidRPr="00C47693" w:rsidRDefault="00115B57" w:rsidP="00DC64B4">
            <w:pPr>
              <w:ind w:left="489" w:hanging="489"/>
              <w:rPr>
                <w:rFonts w:cs="Times New Roman"/>
                <w:b w:val="0"/>
                <w:i/>
                <w:szCs w:val="24"/>
              </w:rPr>
            </w:pPr>
            <w:r>
              <w:rPr>
                <w:rFonts w:cs="Times New Roman"/>
                <w:b w:val="0"/>
                <w:i/>
                <w:szCs w:val="24"/>
              </w:rPr>
              <w:t xml:space="preserve">           BAR</w:t>
            </w:r>
            <w:r w:rsidR="00BD2242">
              <w:rPr>
                <w:rFonts w:cs="Times New Roman"/>
                <w:b w:val="0"/>
                <w:i/>
                <w:szCs w:val="24"/>
              </w:rPr>
              <w:t xml:space="preserve"> – rezerva pro </w:t>
            </w:r>
            <w:proofErr w:type="spellStart"/>
            <w:r w:rsidR="00BD2242">
              <w:rPr>
                <w:rFonts w:cs="Times New Roman"/>
                <w:b w:val="0"/>
                <w:i/>
                <w:szCs w:val="24"/>
              </w:rPr>
              <w:t>Brexit</w:t>
            </w:r>
            <w:proofErr w:type="spellEnd"/>
            <w:r w:rsidR="00BD2242">
              <w:rPr>
                <w:rFonts w:cs="Times New Roman"/>
                <w:b w:val="0"/>
                <w:i/>
                <w:szCs w:val="24"/>
              </w:rPr>
              <w:t xml:space="preserve"> </w:t>
            </w:r>
            <w:r>
              <w:rPr>
                <w:rFonts w:cs="Times New Roman"/>
                <w:b w:val="0"/>
                <w:i/>
                <w:szCs w:val="24"/>
              </w:rPr>
              <w:t>/ZED</w:t>
            </w:r>
          </w:p>
        </w:tc>
        <w:tc>
          <w:tcPr>
            <w:tcW w:w="2193"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5B29F8EB" w14:textId="77777777" w:rsidR="00115B57"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300 000 tis. Kč</w:t>
            </w:r>
          </w:p>
          <w:p w14:paraId="743F2A1B" w14:textId="77777777" w:rsidR="00115B57" w:rsidRPr="00C47693"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Pr>
                <w:rFonts w:cs="Times New Roman"/>
                <w:i/>
                <w:szCs w:val="24"/>
              </w:rPr>
              <w:t>517 510 tis. Kč</w:t>
            </w:r>
          </w:p>
        </w:tc>
      </w:tr>
      <w:tr w:rsidR="00115B57" w:rsidRPr="00852382" w14:paraId="6F5099FE"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356FBD1C" w14:textId="77777777" w:rsidR="00115B57" w:rsidRPr="002F5275" w:rsidRDefault="00115B57" w:rsidP="00DC64B4">
            <w:pPr>
              <w:ind w:left="489" w:hanging="489"/>
              <w:rPr>
                <w:rFonts w:cs="Times New Roman"/>
                <w:szCs w:val="24"/>
              </w:rPr>
            </w:pPr>
            <w:r w:rsidRPr="002F5275">
              <w:rPr>
                <w:rFonts w:cs="Times New Roman"/>
                <w:szCs w:val="24"/>
              </w:rPr>
              <w:t xml:space="preserve">Výdaje spojené s kosmickými aktivitami </w:t>
            </w:r>
            <w:r w:rsidRPr="002F5275">
              <w:rPr>
                <w:rFonts w:cs="Times New Roman"/>
                <w:b w:val="0"/>
                <w:szCs w:val="24"/>
              </w:rPr>
              <w:t>(v tom:)</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1AB6BBD5" w14:textId="77777777" w:rsidR="00115B57" w:rsidRPr="007C0AC6"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b/>
                <w:szCs w:val="24"/>
              </w:rPr>
            </w:pPr>
            <w:r w:rsidRPr="007C0AC6">
              <w:rPr>
                <w:rFonts w:cs="Times New Roman"/>
                <w:b/>
                <w:szCs w:val="24"/>
              </w:rPr>
              <w:t>760 tis. Kč</w:t>
            </w:r>
          </w:p>
        </w:tc>
      </w:tr>
      <w:tr w:rsidR="00115B57" w:rsidRPr="00D1575D" w14:paraId="375ED9BB"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5F90B8AB" w14:textId="40282383" w:rsidR="00B1782C" w:rsidRPr="006D204E" w:rsidRDefault="00841077" w:rsidP="00DC64B4">
            <w:pPr>
              <w:ind w:left="489" w:hanging="489"/>
              <w:rPr>
                <w:rFonts w:cs="Times New Roman"/>
                <w:b w:val="0"/>
                <w:szCs w:val="24"/>
              </w:rPr>
            </w:pPr>
            <w:r>
              <w:rPr>
                <w:rFonts w:cs="Times New Roman"/>
                <w:b w:val="0"/>
                <w:szCs w:val="24"/>
              </w:rPr>
              <w:t>Výdaje ú</w:t>
            </w:r>
            <w:r w:rsidR="00B1782C" w:rsidRPr="006D204E">
              <w:rPr>
                <w:rFonts w:cs="Times New Roman"/>
                <w:b w:val="0"/>
                <w:szCs w:val="24"/>
              </w:rPr>
              <w:t>středního orgánu MD</w:t>
            </w:r>
          </w:p>
          <w:p w14:paraId="02308749" w14:textId="106E8A76" w:rsidR="00115B57" w:rsidRPr="00281A05" w:rsidRDefault="00B1782C" w:rsidP="00DC64B4">
            <w:pPr>
              <w:ind w:left="489" w:hanging="489"/>
              <w:rPr>
                <w:rFonts w:cs="Times New Roman"/>
                <w:b w:val="0"/>
                <w:i/>
                <w:szCs w:val="24"/>
              </w:rPr>
            </w:pPr>
            <w:r>
              <w:rPr>
                <w:rFonts w:cs="Times New Roman"/>
                <w:b w:val="0"/>
                <w:i/>
                <w:szCs w:val="24"/>
              </w:rPr>
              <w:t xml:space="preserve">v tom: </w:t>
            </w:r>
            <w:r w:rsidR="00115B57" w:rsidRPr="00281A05">
              <w:rPr>
                <w:rFonts w:cs="Times New Roman"/>
                <w:b w:val="0"/>
                <w:i/>
                <w:szCs w:val="24"/>
              </w:rPr>
              <w:t>Kosmický program Unie</w:t>
            </w:r>
          </w:p>
        </w:tc>
        <w:tc>
          <w:tcPr>
            <w:tcW w:w="2193"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53F47EC2" w14:textId="2556EDA9" w:rsidR="00B1782C" w:rsidRPr="000B69E1" w:rsidRDefault="00B1782C"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0B69E1">
              <w:rPr>
                <w:rFonts w:cs="Times New Roman"/>
                <w:szCs w:val="24"/>
              </w:rPr>
              <w:t>760 tis. Kč</w:t>
            </w:r>
          </w:p>
          <w:p w14:paraId="1AC29F1D" w14:textId="573629F5" w:rsidR="00115B57" w:rsidRPr="00281A05"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i/>
                <w:szCs w:val="24"/>
              </w:rPr>
            </w:pPr>
            <w:r w:rsidRPr="00281A05">
              <w:rPr>
                <w:rFonts w:cs="Times New Roman"/>
                <w:i/>
                <w:szCs w:val="24"/>
              </w:rPr>
              <w:t>760 tis. Kč</w:t>
            </w:r>
          </w:p>
        </w:tc>
      </w:tr>
    </w:tbl>
    <w:p w14:paraId="4CD39C45" w14:textId="77777777" w:rsidR="00115B57" w:rsidRPr="00E52B5E" w:rsidRDefault="00115B57" w:rsidP="00115B57">
      <w:pPr>
        <w:pStyle w:val="Nadpis9"/>
      </w:pPr>
      <w:r w:rsidRPr="00E52B5E">
        <w:t>Výdaje spojené s předsednictvím ČR v Radě EU</w:t>
      </w:r>
    </w:p>
    <w:p w14:paraId="6D1EEBE3" w14:textId="77777777" w:rsidR="00115B57" w:rsidRPr="001235AA" w:rsidRDefault="00115B57" w:rsidP="00115B57">
      <w:pPr>
        <w:pStyle w:val="Styl1"/>
        <w:numPr>
          <w:ilvl w:val="0"/>
          <w:numId w:val="23"/>
        </w:numPr>
        <w:spacing w:before="180" w:after="180"/>
        <w:ind w:left="568" w:hanging="284"/>
      </w:pPr>
      <w:r w:rsidRPr="00E52B5E">
        <w:t xml:space="preserve">financované z prostředků státního </w:t>
      </w:r>
      <w:r w:rsidRPr="001235AA">
        <w:t xml:space="preserve">rozpočtu (3 152 tis. Kč)     </w:t>
      </w:r>
    </w:p>
    <w:tbl>
      <w:tblPr>
        <w:tblStyle w:val="Svtltabulkasmkou1zvraznn1"/>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6857"/>
        <w:gridCol w:w="2193"/>
      </w:tblGrid>
      <w:tr w:rsidR="00115B57" w:rsidRPr="001235AA" w14:paraId="1B39346E" w14:textId="77777777" w:rsidTr="00DC64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857" w:type="dxa"/>
            <w:tcBorders>
              <w:bottom w:val="single" w:sz="8" w:space="0" w:color="7F7F7F" w:themeColor="text1" w:themeTint="80"/>
            </w:tcBorders>
            <w:shd w:val="clear" w:color="auto" w:fill="auto"/>
          </w:tcPr>
          <w:p w14:paraId="564C6816" w14:textId="77777777" w:rsidR="00115B57" w:rsidRPr="00E52B5E" w:rsidRDefault="00115B57" w:rsidP="00DC64B4">
            <w:pPr>
              <w:rPr>
                <w:rFonts w:cs="Times New Roman"/>
                <w:szCs w:val="24"/>
              </w:rPr>
            </w:pPr>
            <w:r w:rsidRPr="00E52B5E">
              <w:rPr>
                <w:rFonts w:cs="Times New Roman"/>
                <w:szCs w:val="24"/>
              </w:rPr>
              <w:t xml:space="preserve">Výdaje spojené s předsednictvím ČR v Radě EU </w:t>
            </w:r>
            <w:r w:rsidRPr="00E52B5E">
              <w:rPr>
                <w:rFonts w:cs="Times New Roman"/>
                <w:b w:val="0"/>
              </w:rPr>
              <w:t>(v tom:)</w:t>
            </w:r>
          </w:p>
        </w:tc>
        <w:tc>
          <w:tcPr>
            <w:tcW w:w="2193" w:type="dxa"/>
            <w:tcBorders>
              <w:bottom w:val="single" w:sz="8" w:space="0" w:color="7F7F7F" w:themeColor="text1" w:themeTint="80"/>
            </w:tcBorders>
            <w:shd w:val="clear" w:color="auto" w:fill="auto"/>
          </w:tcPr>
          <w:p w14:paraId="4C420150" w14:textId="77777777" w:rsidR="00115B57" w:rsidRPr="001235AA" w:rsidRDefault="00115B57" w:rsidP="00DC64B4">
            <w:pPr>
              <w:jc w:val="right"/>
              <w:cnfStyle w:val="100000000000" w:firstRow="1" w:lastRow="0" w:firstColumn="0" w:lastColumn="0" w:oddVBand="0" w:evenVBand="0" w:oddHBand="0" w:evenHBand="0" w:firstRowFirstColumn="0" w:firstRowLastColumn="0" w:lastRowFirstColumn="0" w:lastRowLastColumn="0"/>
              <w:rPr>
                <w:rFonts w:cs="Times New Roman"/>
                <w:szCs w:val="24"/>
              </w:rPr>
            </w:pPr>
            <w:r w:rsidRPr="001235AA">
              <w:rPr>
                <w:rFonts w:cs="Times New Roman"/>
                <w:szCs w:val="24"/>
              </w:rPr>
              <w:t>3 152 tis. Kč</w:t>
            </w:r>
          </w:p>
        </w:tc>
      </w:tr>
      <w:tr w:rsidR="00115B57" w:rsidRPr="001235AA" w14:paraId="4152E888" w14:textId="77777777" w:rsidTr="00DC64B4">
        <w:tc>
          <w:tcPr>
            <w:cnfStyle w:val="001000000000" w:firstRow="0" w:lastRow="0" w:firstColumn="1" w:lastColumn="0" w:oddVBand="0" w:evenVBand="0" w:oddHBand="0" w:evenHBand="0" w:firstRowFirstColumn="0" w:firstRowLastColumn="0" w:lastRowFirstColumn="0" w:lastRowLastColumn="0"/>
            <w:tcW w:w="6857" w:type="dxa"/>
            <w:tcBorders>
              <w:top w:val="single" w:sz="8" w:space="0" w:color="7F7F7F" w:themeColor="text1" w:themeTint="80"/>
              <w:bottom w:val="single" w:sz="8" w:space="0" w:color="7F7F7F" w:themeColor="text1" w:themeTint="80"/>
            </w:tcBorders>
            <w:shd w:val="clear" w:color="auto" w:fill="auto"/>
          </w:tcPr>
          <w:p w14:paraId="7C9D15AE" w14:textId="77777777" w:rsidR="00115B57" w:rsidRPr="00E52B5E" w:rsidRDefault="00115B57" w:rsidP="00DC64B4">
            <w:pPr>
              <w:rPr>
                <w:rFonts w:cs="Times New Roman"/>
                <w:b w:val="0"/>
                <w:szCs w:val="24"/>
              </w:rPr>
            </w:pPr>
            <w:r w:rsidRPr="00E52B5E">
              <w:rPr>
                <w:rFonts w:cs="Times New Roman"/>
                <w:b w:val="0"/>
                <w:szCs w:val="24"/>
              </w:rPr>
              <w:t>Výdaje ústředního orgánu MD</w:t>
            </w:r>
          </w:p>
        </w:tc>
        <w:tc>
          <w:tcPr>
            <w:tcW w:w="2193" w:type="dxa"/>
            <w:tcBorders>
              <w:top w:val="single" w:sz="8" w:space="0" w:color="7F7F7F" w:themeColor="text1" w:themeTint="80"/>
              <w:bottom w:val="single" w:sz="8" w:space="0" w:color="7F7F7F" w:themeColor="text1" w:themeTint="80"/>
            </w:tcBorders>
            <w:shd w:val="clear" w:color="auto" w:fill="auto"/>
            <w:vAlign w:val="center"/>
          </w:tcPr>
          <w:p w14:paraId="3155BD7B" w14:textId="77777777" w:rsidR="00115B57" w:rsidRPr="001235AA" w:rsidRDefault="00115B57" w:rsidP="00DC64B4">
            <w:pPr>
              <w:jc w:val="right"/>
              <w:cnfStyle w:val="000000000000" w:firstRow="0" w:lastRow="0" w:firstColumn="0" w:lastColumn="0" w:oddVBand="0" w:evenVBand="0" w:oddHBand="0" w:evenHBand="0" w:firstRowFirstColumn="0" w:firstRowLastColumn="0" w:lastRowFirstColumn="0" w:lastRowLastColumn="0"/>
              <w:rPr>
                <w:rFonts w:cs="Times New Roman"/>
                <w:szCs w:val="24"/>
              </w:rPr>
            </w:pPr>
            <w:r w:rsidRPr="001235AA">
              <w:rPr>
                <w:rFonts w:cs="Times New Roman"/>
                <w:szCs w:val="24"/>
              </w:rPr>
              <w:t xml:space="preserve">3 152 tis. Kč </w:t>
            </w:r>
          </w:p>
        </w:tc>
      </w:tr>
    </w:tbl>
    <w:p w14:paraId="058E1054" w14:textId="77777777" w:rsidR="005E6B5D" w:rsidRPr="0013706F" w:rsidRDefault="00115B57" w:rsidP="0013706F">
      <w:pPr>
        <w:pStyle w:val="Styl1"/>
      </w:pPr>
      <w:r w:rsidRPr="0013706F">
        <w:t>Uvedené výdaje jsou podrobněji rozepsány v dalším textu.</w:t>
      </w:r>
      <w:bookmarkStart w:id="100" w:name="_Toc115786944"/>
      <w:bookmarkStart w:id="101" w:name="_Toc115787534"/>
      <w:bookmarkStart w:id="102" w:name="_Toc115786945"/>
      <w:bookmarkStart w:id="103" w:name="_Toc115787535"/>
      <w:bookmarkStart w:id="104" w:name="_Toc115786946"/>
      <w:bookmarkStart w:id="105" w:name="_Toc115787536"/>
      <w:bookmarkStart w:id="106" w:name="_Toc115786968"/>
      <w:bookmarkStart w:id="107" w:name="_Toc115787558"/>
      <w:bookmarkStart w:id="108" w:name="_Toc115786969"/>
      <w:bookmarkStart w:id="109" w:name="_Toc115787559"/>
      <w:bookmarkStart w:id="110" w:name="_Toc115786970"/>
      <w:bookmarkStart w:id="111" w:name="_Toc115787560"/>
      <w:bookmarkStart w:id="112" w:name="_Toc115786971"/>
      <w:bookmarkStart w:id="113" w:name="_Toc115787561"/>
      <w:bookmarkStart w:id="114" w:name="_Toc115786990"/>
      <w:bookmarkStart w:id="115" w:name="_Toc115787580"/>
      <w:bookmarkStart w:id="116" w:name="_Toc115787003"/>
      <w:bookmarkStart w:id="117" w:name="_Toc115787593"/>
      <w:bookmarkStart w:id="118" w:name="_Toc115787007"/>
      <w:bookmarkStart w:id="119" w:name="_Toc115787597"/>
      <w:bookmarkStart w:id="120" w:name="_Toc115787008"/>
      <w:bookmarkStart w:id="121" w:name="_Toc115787598"/>
      <w:bookmarkStart w:id="122" w:name="_Toc115787015"/>
      <w:bookmarkStart w:id="123" w:name="_Toc115787605"/>
      <w:bookmarkStart w:id="124" w:name="_Toc115787040"/>
      <w:bookmarkStart w:id="125" w:name="_Toc115787630"/>
      <w:bookmarkStart w:id="126" w:name="_Toc115787041"/>
      <w:bookmarkStart w:id="127" w:name="_Toc115787631"/>
      <w:bookmarkStart w:id="128" w:name="_Toc115787042"/>
      <w:bookmarkStart w:id="129" w:name="_Toc115787632"/>
      <w:bookmarkStart w:id="130" w:name="_Toc115787043"/>
      <w:bookmarkStart w:id="131" w:name="_Toc115787633"/>
      <w:bookmarkStart w:id="132" w:name="_Toc115787100"/>
      <w:bookmarkStart w:id="133" w:name="_Toc115787690"/>
      <w:bookmarkStart w:id="134" w:name="_Toc115787135"/>
      <w:bookmarkStart w:id="135" w:name="_Toc115787725"/>
      <w:bookmarkStart w:id="136" w:name="_Toc115787136"/>
      <w:bookmarkStart w:id="137" w:name="_Toc115787726"/>
      <w:bookmarkStart w:id="138" w:name="_Toc115787143"/>
      <w:bookmarkStart w:id="139" w:name="_Toc115787733"/>
      <w:bookmarkStart w:id="140" w:name="_Toc115787144"/>
      <w:bookmarkStart w:id="141" w:name="_Toc115787734"/>
      <w:bookmarkStart w:id="142" w:name="_Toc115787145"/>
      <w:bookmarkStart w:id="143" w:name="_Toc115787735"/>
      <w:bookmarkStart w:id="144" w:name="_Toc115787146"/>
      <w:bookmarkStart w:id="145" w:name="_Toc115787736"/>
      <w:bookmarkStart w:id="146" w:name="_Toc115787147"/>
      <w:bookmarkStart w:id="147" w:name="_Toc115787737"/>
      <w:bookmarkStart w:id="148" w:name="_Toc462314389"/>
      <w:bookmarkStart w:id="149" w:name="_Toc115787738"/>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p>
    <w:p w14:paraId="5BDE85E7" w14:textId="07E8B5AB" w:rsidR="00F624F2" w:rsidRPr="0088307E" w:rsidRDefault="00F624F2" w:rsidP="005E6B5D">
      <w:pPr>
        <w:pStyle w:val="Nadpis2"/>
      </w:pPr>
      <w:r w:rsidRPr="0088307E">
        <w:t>Běžné výdaje</w:t>
      </w:r>
      <w:bookmarkEnd w:id="148"/>
      <w:bookmarkEnd w:id="149"/>
    </w:p>
    <w:p w14:paraId="02C3E289" w14:textId="64267C13" w:rsidR="006F225C" w:rsidRPr="0088307E" w:rsidRDefault="006F225C" w:rsidP="00F11D45">
      <w:pPr>
        <w:pStyle w:val="Titulek"/>
      </w:pPr>
      <w:bookmarkStart w:id="150" w:name="_Toc241565630"/>
      <w:bookmarkStart w:id="151" w:name="_Toc368665062"/>
      <w:r w:rsidRPr="0088307E">
        <w:t>Tabulka</w:t>
      </w:r>
      <w:r w:rsidR="00F11D45" w:rsidRPr="0088307E">
        <w:t xml:space="preserve"> č.</w:t>
      </w:r>
      <w:r w:rsidRPr="0088307E">
        <w:t xml:space="preserve"> </w:t>
      </w:r>
      <w:fldSimple w:instr=" SEQ Tabulka \* ARABIC ">
        <w:r w:rsidR="00F80947">
          <w:rPr>
            <w:noProof/>
          </w:rPr>
          <w:t>8</w:t>
        </w:r>
      </w:fldSimple>
      <w:r w:rsidR="00F11D45" w:rsidRPr="0088307E">
        <w:t xml:space="preserve"> Běžné výdaje celkem (v tis. Kč)</w:t>
      </w:r>
    </w:p>
    <w:p w14:paraId="357C073C" w14:textId="019DD0B2" w:rsidR="00E0328C" w:rsidRPr="00E8518E" w:rsidRDefault="00857587" w:rsidP="00857587">
      <w:pPr>
        <w:rPr>
          <w:color w:val="FF0000"/>
        </w:rPr>
      </w:pPr>
      <w:bookmarkStart w:id="152" w:name="_Toc462314391"/>
      <w:bookmarkEnd w:id="150"/>
      <w:bookmarkEnd w:id="151"/>
      <w:r w:rsidRPr="00E8518E">
        <w:rPr>
          <w:color w:val="FF0000"/>
        </w:rPr>
        <w:t xml:space="preserve">    </w:t>
      </w:r>
    </w:p>
    <w:tbl>
      <w:tblPr>
        <w:tblStyle w:val="Svtltabulkasmkou1zvraznn1"/>
        <w:tblW w:w="950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52"/>
        <w:gridCol w:w="1418"/>
        <w:gridCol w:w="1417"/>
        <w:gridCol w:w="1418"/>
        <w:gridCol w:w="997"/>
      </w:tblGrid>
      <w:tr w:rsidR="00E0328C" w:rsidRPr="00C7761A" w14:paraId="73F54669" w14:textId="77777777" w:rsidTr="00D25B00">
        <w:tc>
          <w:tcPr>
            <w:tcW w:w="425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22E6734" w14:textId="77777777" w:rsidR="00E0328C" w:rsidRPr="00C7761A" w:rsidRDefault="00E0328C" w:rsidP="00D25B00">
            <w:pPr>
              <w:jc w:val="center"/>
              <w:rPr>
                <w:b/>
              </w:rPr>
            </w:pPr>
            <w:r w:rsidRPr="00C7761A">
              <w:t xml:space="preserve">   </w:t>
            </w:r>
            <w:r w:rsidRPr="00C7761A">
              <w:rPr>
                <w:b/>
              </w:rPr>
              <w:t>Ukazatel</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93A30FF" w14:textId="77777777" w:rsidR="00E0328C" w:rsidRPr="00C7761A" w:rsidRDefault="00E0328C" w:rsidP="00D25B00">
            <w:pPr>
              <w:ind w:right="10"/>
              <w:jc w:val="center"/>
              <w:rPr>
                <w:b/>
              </w:rPr>
            </w:pPr>
            <w:r w:rsidRPr="00C7761A">
              <w:rPr>
                <w:b/>
              </w:rPr>
              <w:t>Skutečnost</w:t>
            </w:r>
          </w:p>
          <w:p w14:paraId="48769142" w14:textId="77777777" w:rsidR="00E0328C" w:rsidRPr="00C7761A" w:rsidRDefault="00E0328C" w:rsidP="00D25B00">
            <w:pPr>
              <w:ind w:right="10"/>
              <w:jc w:val="center"/>
              <w:rPr>
                <w:b/>
              </w:rPr>
            </w:pPr>
            <w:r w:rsidRPr="00C7761A">
              <w:rPr>
                <w:b/>
              </w:rPr>
              <w:t>2021</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7AF7D1A" w14:textId="77777777" w:rsidR="00E0328C" w:rsidRPr="00C7761A" w:rsidRDefault="00E0328C" w:rsidP="00D25B00">
            <w:pPr>
              <w:jc w:val="center"/>
              <w:rPr>
                <w:b/>
              </w:rPr>
            </w:pPr>
            <w:r w:rsidRPr="00C7761A">
              <w:rPr>
                <w:b/>
              </w:rPr>
              <w:t>Schválený</w:t>
            </w:r>
          </w:p>
          <w:p w14:paraId="725F060A" w14:textId="77777777" w:rsidR="00E0328C" w:rsidRPr="00C7761A" w:rsidRDefault="00E0328C" w:rsidP="00D25B00">
            <w:pPr>
              <w:jc w:val="center"/>
              <w:rPr>
                <w:b/>
              </w:rPr>
            </w:pPr>
            <w:r w:rsidRPr="00C7761A">
              <w:rPr>
                <w:b/>
              </w:rPr>
              <w:t>rozpočet</w:t>
            </w:r>
          </w:p>
          <w:p w14:paraId="4277A54B" w14:textId="77777777" w:rsidR="00E0328C" w:rsidRPr="00C7761A" w:rsidRDefault="00E0328C" w:rsidP="00D25B00">
            <w:pPr>
              <w:jc w:val="center"/>
              <w:rPr>
                <w:b/>
              </w:rPr>
            </w:pPr>
            <w:r w:rsidRPr="00C7761A">
              <w:rPr>
                <w:b/>
              </w:rPr>
              <w:t>2022</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0D0B3C" w14:textId="77777777" w:rsidR="00E0328C" w:rsidRPr="00C7761A" w:rsidRDefault="00E0328C" w:rsidP="00D25B00">
            <w:pPr>
              <w:jc w:val="center"/>
              <w:rPr>
                <w:b/>
              </w:rPr>
            </w:pPr>
            <w:r w:rsidRPr="00C7761A">
              <w:rPr>
                <w:b/>
              </w:rPr>
              <w:t>Návrh</w:t>
            </w:r>
          </w:p>
          <w:p w14:paraId="2674C03C" w14:textId="77777777" w:rsidR="00E0328C" w:rsidRPr="00C7761A" w:rsidRDefault="00E0328C" w:rsidP="00D25B00">
            <w:pPr>
              <w:jc w:val="center"/>
              <w:rPr>
                <w:b/>
              </w:rPr>
            </w:pPr>
            <w:r w:rsidRPr="00C7761A">
              <w:rPr>
                <w:b/>
              </w:rPr>
              <w:t>rozpočtu</w:t>
            </w:r>
          </w:p>
          <w:p w14:paraId="67FF838E" w14:textId="77777777" w:rsidR="00E0328C" w:rsidRPr="00C7761A" w:rsidRDefault="00E0328C" w:rsidP="00D25B00">
            <w:pPr>
              <w:jc w:val="center"/>
              <w:rPr>
                <w:b/>
              </w:rPr>
            </w:pPr>
            <w:r w:rsidRPr="00C7761A">
              <w:rPr>
                <w:b/>
              </w:rPr>
              <w:t>2023</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066D38C" w14:textId="77777777" w:rsidR="00E0328C" w:rsidRPr="00C7761A" w:rsidRDefault="00E0328C" w:rsidP="00D25B00">
            <w:pPr>
              <w:jc w:val="center"/>
              <w:rPr>
                <w:b/>
              </w:rPr>
            </w:pPr>
            <w:r w:rsidRPr="00C7761A">
              <w:rPr>
                <w:b/>
              </w:rPr>
              <w:t>Index</w:t>
            </w:r>
          </w:p>
          <w:p w14:paraId="13CE9075" w14:textId="77777777" w:rsidR="00E0328C" w:rsidRPr="00C7761A" w:rsidRDefault="00E0328C" w:rsidP="00D25B00">
            <w:pPr>
              <w:jc w:val="center"/>
              <w:rPr>
                <w:b/>
              </w:rPr>
            </w:pPr>
            <w:r w:rsidRPr="00C7761A">
              <w:rPr>
                <w:b/>
              </w:rPr>
              <w:t>2023/</w:t>
            </w:r>
          </w:p>
          <w:p w14:paraId="76888FDF" w14:textId="77777777" w:rsidR="00E0328C" w:rsidRPr="00C7761A" w:rsidRDefault="00E0328C" w:rsidP="00D25B00">
            <w:pPr>
              <w:jc w:val="center"/>
              <w:rPr>
                <w:b/>
              </w:rPr>
            </w:pPr>
            <w:r w:rsidRPr="00C7761A">
              <w:rPr>
                <w:b/>
              </w:rPr>
              <w:t>2022</w:t>
            </w:r>
          </w:p>
          <w:p w14:paraId="70046721" w14:textId="77777777" w:rsidR="00E0328C" w:rsidRPr="00C7761A" w:rsidRDefault="00E0328C" w:rsidP="00D25B00">
            <w:pPr>
              <w:jc w:val="center"/>
              <w:rPr>
                <w:b/>
              </w:rPr>
            </w:pPr>
            <w:r w:rsidRPr="00C7761A">
              <w:rPr>
                <w:b/>
              </w:rPr>
              <w:t>(v %)</w:t>
            </w:r>
          </w:p>
        </w:tc>
      </w:tr>
      <w:tr w:rsidR="00E0328C" w:rsidRPr="00C7761A" w14:paraId="7758DD59" w14:textId="77777777" w:rsidTr="00D25B00">
        <w:tc>
          <w:tcPr>
            <w:tcW w:w="4252" w:type="dxa"/>
            <w:tcBorders>
              <w:top w:val="single" w:sz="4" w:space="0" w:color="7F7F7F" w:themeColor="text1" w:themeTint="80"/>
              <w:bottom w:val="single" w:sz="8" w:space="0" w:color="7F7F7F" w:themeColor="text1" w:themeTint="80"/>
            </w:tcBorders>
            <w:shd w:val="clear" w:color="auto" w:fill="auto"/>
          </w:tcPr>
          <w:p w14:paraId="239B19DD" w14:textId="77777777" w:rsidR="00E0328C" w:rsidRPr="00C7761A" w:rsidRDefault="00E0328C" w:rsidP="00D25B00">
            <w:pPr>
              <w:jc w:val="center"/>
            </w:pPr>
            <w:r w:rsidRPr="00C7761A">
              <w:t>a</w:t>
            </w:r>
          </w:p>
        </w:tc>
        <w:tc>
          <w:tcPr>
            <w:tcW w:w="1418" w:type="dxa"/>
            <w:tcBorders>
              <w:top w:val="single" w:sz="4" w:space="0" w:color="7F7F7F" w:themeColor="text1" w:themeTint="80"/>
              <w:bottom w:val="single" w:sz="8" w:space="0" w:color="7F7F7F" w:themeColor="text1" w:themeTint="80"/>
            </w:tcBorders>
            <w:shd w:val="clear" w:color="auto" w:fill="auto"/>
          </w:tcPr>
          <w:p w14:paraId="103C0689" w14:textId="77777777" w:rsidR="00E0328C" w:rsidRPr="00C7761A" w:rsidRDefault="00E0328C" w:rsidP="00D25B00">
            <w:pPr>
              <w:ind w:right="10"/>
              <w:jc w:val="center"/>
            </w:pPr>
            <w:r w:rsidRPr="00C7761A">
              <w:t>1</w:t>
            </w:r>
          </w:p>
        </w:tc>
        <w:tc>
          <w:tcPr>
            <w:tcW w:w="1417" w:type="dxa"/>
            <w:tcBorders>
              <w:top w:val="single" w:sz="4" w:space="0" w:color="7F7F7F" w:themeColor="text1" w:themeTint="80"/>
              <w:bottom w:val="single" w:sz="8" w:space="0" w:color="7F7F7F" w:themeColor="text1" w:themeTint="80"/>
            </w:tcBorders>
            <w:shd w:val="clear" w:color="auto" w:fill="auto"/>
          </w:tcPr>
          <w:p w14:paraId="69D361AD" w14:textId="77777777" w:rsidR="00E0328C" w:rsidRPr="00C7761A" w:rsidRDefault="00E0328C" w:rsidP="00D25B00">
            <w:pPr>
              <w:jc w:val="center"/>
            </w:pPr>
            <w:r w:rsidRPr="00C7761A">
              <w:t>2</w:t>
            </w:r>
          </w:p>
        </w:tc>
        <w:tc>
          <w:tcPr>
            <w:tcW w:w="1418" w:type="dxa"/>
            <w:tcBorders>
              <w:top w:val="single" w:sz="4" w:space="0" w:color="7F7F7F" w:themeColor="text1" w:themeTint="80"/>
              <w:bottom w:val="single" w:sz="8" w:space="0" w:color="7F7F7F" w:themeColor="text1" w:themeTint="80"/>
            </w:tcBorders>
            <w:shd w:val="clear" w:color="auto" w:fill="auto"/>
          </w:tcPr>
          <w:p w14:paraId="6D57149E" w14:textId="77777777" w:rsidR="00E0328C" w:rsidRPr="00C7761A" w:rsidRDefault="00E0328C" w:rsidP="00D25B00">
            <w:pPr>
              <w:jc w:val="center"/>
            </w:pPr>
            <w:r w:rsidRPr="00C7761A">
              <w:t>3</w:t>
            </w:r>
          </w:p>
        </w:tc>
        <w:tc>
          <w:tcPr>
            <w:tcW w:w="997" w:type="dxa"/>
            <w:tcBorders>
              <w:top w:val="single" w:sz="4" w:space="0" w:color="7F7F7F" w:themeColor="text1" w:themeTint="80"/>
              <w:bottom w:val="single" w:sz="8" w:space="0" w:color="7F7F7F" w:themeColor="text1" w:themeTint="80"/>
            </w:tcBorders>
            <w:shd w:val="clear" w:color="auto" w:fill="auto"/>
          </w:tcPr>
          <w:p w14:paraId="40BEEB62" w14:textId="77777777" w:rsidR="00E0328C" w:rsidRPr="00C7761A" w:rsidRDefault="00E0328C" w:rsidP="00D25B00">
            <w:pPr>
              <w:jc w:val="center"/>
            </w:pPr>
            <w:r w:rsidRPr="00C7761A">
              <w:t>4</w:t>
            </w:r>
          </w:p>
        </w:tc>
      </w:tr>
      <w:tr w:rsidR="00E0328C" w:rsidRPr="004760E8" w14:paraId="5FD4D197" w14:textId="77777777" w:rsidTr="00D25B00">
        <w:trPr>
          <w:trHeight w:hRule="exact" w:val="737"/>
        </w:trPr>
        <w:tc>
          <w:tcPr>
            <w:tcW w:w="4252" w:type="dxa"/>
            <w:tcBorders>
              <w:top w:val="single" w:sz="8" w:space="0" w:color="7F7F7F" w:themeColor="text1" w:themeTint="80"/>
              <w:bottom w:val="nil"/>
            </w:tcBorders>
            <w:shd w:val="clear" w:color="auto" w:fill="auto"/>
          </w:tcPr>
          <w:p w14:paraId="27309BDD" w14:textId="77777777" w:rsidR="00E0328C" w:rsidRPr="004760E8" w:rsidRDefault="00E0328C" w:rsidP="00D25B00">
            <w:pPr>
              <w:rPr>
                <w:iCs/>
                <w:color w:val="FF0000"/>
                <w:sz w:val="20"/>
                <w:szCs w:val="20"/>
              </w:rPr>
            </w:pPr>
            <w:r w:rsidRPr="00AB780C">
              <w:rPr>
                <w:b/>
                <w:iCs/>
                <w:sz w:val="20"/>
                <w:szCs w:val="20"/>
              </w:rPr>
              <w:t xml:space="preserve">Běžné výdaje organizačních složek státu bez </w:t>
            </w:r>
            <w:proofErr w:type="spellStart"/>
            <w:r w:rsidRPr="00AB780C">
              <w:rPr>
                <w:b/>
                <w:iCs/>
                <w:sz w:val="20"/>
                <w:szCs w:val="20"/>
              </w:rPr>
              <w:t>podsesk</w:t>
            </w:r>
            <w:proofErr w:type="spellEnd"/>
            <w:r w:rsidRPr="00AB780C">
              <w:rPr>
                <w:b/>
                <w:iCs/>
                <w:sz w:val="20"/>
                <w:szCs w:val="20"/>
              </w:rPr>
              <w:t>. pol.  521, 522, 531, 532, 533, 551, 553, 554, 561 a pol. 5193  v tom:</w:t>
            </w:r>
          </w:p>
        </w:tc>
        <w:tc>
          <w:tcPr>
            <w:tcW w:w="1418" w:type="dxa"/>
            <w:tcBorders>
              <w:top w:val="single" w:sz="8" w:space="0" w:color="7F7F7F" w:themeColor="text1" w:themeTint="80"/>
              <w:bottom w:val="nil"/>
            </w:tcBorders>
            <w:shd w:val="clear" w:color="auto" w:fill="auto"/>
          </w:tcPr>
          <w:p w14:paraId="0ED842EE" w14:textId="77777777" w:rsidR="00E0328C" w:rsidRPr="004760E8" w:rsidRDefault="00E0328C" w:rsidP="00D25B00">
            <w:pPr>
              <w:jc w:val="right"/>
              <w:rPr>
                <w:b/>
                <w:color w:val="FF0000"/>
                <w:sz w:val="20"/>
                <w:szCs w:val="20"/>
              </w:rPr>
            </w:pPr>
          </w:p>
          <w:p w14:paraId="198C6F8B" w14:textId="77777777" w:rsidR="00E0328C" w:rsidRPr="004760E8" w:rsidRDefault="00E0328C" w:rsidP="00D25B00">
            <w:pPr>
              <w:jc w:val="right"/>
              <w:rPr>
                <w:b/>
                <w:color w:val="FF0000"/>
                <w:sz w:val="20"/>
                <w:szCs w:val="20"/>
              </w:rPr>
            </w:pPr>
          </w:p>
          <w:p w14:paraId="3B9FDB1F" w14:textId="77777777" w:rsidR="00E0328C" w:rsidRPr="004760E8" w:rsidRDefault="00E0328C" w:rsidP="00D25B00">
            <w:pPr>
              <w:jc w:val="right"/>
              <w:rPr>
                <w:b/>
                <w:color w:val="FF0000"/>
                <w:sz w:val="20"/>
                <w:szCs w:val="20"/>
              </w:rPr>
            </w:pPr>
            <w:r w:rsidRPr="00C7761A">
              <w:rPr>
                <w:b/>
                <w:sz w:val="20"/>
                <w:szCs w:val="20"/>
              </w:rPr>
              <w:t>5 365 135</w:t>
            </w:r>
          </w:p>
        </w:tc>
        <w:tc>
          <w:tcPr>
            <w:tcW w:w="1417" w:type="dxa"/>
            <w:tcBorders>
              <w:top w:val="single" w:sz="8" w:space="0" w:color="7F7F7F" w:themeColor="text1" w:themeTint="80"/>
              <w:bottom w:val="nil"/>
            </w:tcBorders>
            <w:shd w:val="clear" w:color="auto" w:fill="auto"/>
            <w:vAlign w:val="bottom"/>
          </w:tcPr>
          <w:p w14:paraId="7EA613DE" w14:textId="77777777" w:rsidR="00E0328C" w:rsidRPr="00111430" w:rsidRDefault="00E0328C" w:rsidP="00D25B00">
            <w:pPr>
              <w:spacing w:before="163"/>
              <w:jc w:val="right"/>
              <w:rPr>
                <w:b/>
                <w:sz w:val="20"/>
                <w:szCs w:val="20"/>
              </w:rPr>
            </w:pPr>
            <w:r w:rsidRPr="00111430">
              <w:rPr>
                <w:b/>
                <w:sz w:val="20"/>
                <w:szCs w:val="20"/>
              </w:rPr>
              <w:t>2 593 731</w:t>
            </w:r>
          </w:p>
        </w:tc>
        <w:tc>
          <w:tcPr>
            <w:tcW w:w="1418" w:type="dxa"/>
            <w:tcBorders>
              <w:top w:val="single" w:sz="8" w:space="0" w:color="7F7F7F" w:themeColor="text1" w:themeTint="80"/>
              <w:bottom w:val="nil"/>
            </w:tcBorders>
            <w:shd w:val="clear" w:color="auto" w:fill="auto"/>
            <w:vAlign w:val="bottom"/>
          </w:tcPr>
          <w:p w14:paraId="44552329" w14:textId="77777777" w:rsidR="00E0328C" w:rsidRPr="00AE1F63" w:rsidRDefault="00E0328C" w:rsidP="00D25B00">
            <w:pPr>
              <w:spacing w:before="163"/>
              <w:jc w:val="right"/>
              <w:rPr>
                <w:b/>
                <w:sz w:val="20"/>
                <w:szCs w:val="20"/>
              </w:rPr>
            </w:pPr>
            <w:r w:rsidRPr="00AE1F63">
              <w:rPr>
                <w:b/>
                <w:sz w:val="20"/>
                <w:szCs w:val="20"/>
              </w:rPr>
              <w:t>6 648 107</w:t>
            </w:r>
          </w:p>
        </w:tc>
        <w:tc>
          <w:tcPr>
            <w:tcW w:w="997" w:type="dxa"/>
            <w:tcBorders>
              <w:top w:val="single" w:sz="8" w:space="0" w:color="7F7F7F" w:themeColor="text1" w:themeTint="80"/>
              <w:bottom w:val="nil"/>
            </w:tcBorders>
            <w:shd w:val="clear" w:color="auto" w:fill="auto"/>
            <w:vAlign w:val="bottom"/>
          </w:tcPr>
          <w:p w14:paraId="1132AAF2" w14:textId="77777777" w:rsidR="00E0328C" w:rsidRPr="00AE1F63" w:rsidRDefault="00E0328C" w:rsidP="00D25B00">
            <w:pPr>
              <w:spacing w:before="163"/>
              <w:jc w:val="right"/>
              <w:rPr>
                <w:b/>
                <w:sz w:val="20"/>
                <w:szCs w:val="20"/>
              </w:rPr>
            </w:pPr>
            <w:r w:rsidRPr="00AE1F63">
              <w:rPr>
                <w:b/>
                <w:sz w:val="20"/>
                <w:szCs w:val="20"/>
              </w:rPr>
              <w:t>256,31</w:t>
            </w:r>
          </w:p>
        </w:tc>
      </w:tr>
      <w:tr w:rsidR="00E0328C" w:rsidRPr="004760E8" w14:paraId="3585082F" w14:textId="77777777" w:rsidTr="00D25B00">
        <w:trPr>
          <w:trHeight w:val="20"/>
        </w:trPr>
        <w:tc>
          <w:tcPr>
            <w:tcW w:w="4252" w:type="dxa"/>
            <w:tcBorders>
              <w:top w:val="nil"/>
              <w:bottom w:val="nil"/>
            </w:tcBorders>
            <w:shd w:val="clear" w:color="auto" w:fill="auto"/>
          </w:tcPr>
          <w:p w14:paraId="0279793B" w14:textId="77777777" w:rsidR="00E0328C" w:rsidRPr="00C7761A" w:rsidRDefault="00E0328C" w:rsidP="00D25B00">
            <w:pPr>
              <w:rPr>
                <w:sz w:val="20"/>
                <w:szCs w:val="20"/>
              </w:rPr>
            </w:pPr>
            <w:r w:rsidRPr="00C7761A">
              <w:rPr>
                <w:sz w:val="20"/>
                <w:szCs w:val="20"/>
              </w:rPr>
              <w:t>platy zaměstnanců a ostatní platby</w:t>
            </w:r>
          </w:p>
          <w:p w14:paraId="092C8B14" w14:textId="77777777" w:rsidR="00E0328C" w:rsidRPr="00C7761A" w:rsidRDefault="00E0328C" w:rsidP="00D25B00">
            <w:pPr>
              <w:tabs>
                <w:tab w:val="left" w:pos="564"/>
              </w:tabs>
              <w:rPr>
                <w:sz w:val="20"/>
                <w:szCs w:val="20"/>
              </w:rPr>
            </w:pPr>
            <w:r w:rsidRPr="00C7761A">
              <w:rPr>
                <w:sz w:val="20"/>
                <w:szCs w:val="20"/>
              </w:rPr>
              <w:t>za provedenou práci</w:t>
            </w:r>
          </w:p>
          <w:p w14:paraId="0CE02C0D" w14:textId="77777777" w:rsidR="00E0328C" w:rsidRPr="004760E8" w:rsidRDefault="00E0328C" w:rsidP="00D25B00">
            <w:pPr>
              <w:rPr>
                <w:color w:val="FF0000"/>
                <w:sz w:val="20"/>
                <w:szCs w:val="20"/>
              </w:rPr>
            </w:pPr>
            <w:r w:rsidRPr="00C7761A">
              <w:rPr>
                <w:sz w:val="20"/>
                <w:szCs w:val="20"/>
              </w:rPr>
              <w:t xml:space="preserve">     z toho: prostředky EU</w:t>
            </w:r>
          </w:p>
        </w:tc>
        <w:tc>
          <w:tcPr>
            <w:tcW w:w="1418" w:type="dxa"/>
            <w:tcBorders>
              <w:top w:val="nil"/>
              <w:bottom w:val="nil"/>
            </w:tcBorders>
            <w:shd w:val="clear" w:color="auto" w:fill="auto"/>
          </w:tcPr>
          <w:p w14:paraId="0F06B885" w14:textId="77777777" w:rsidR="00E0328C" w:rsidRPr="004760E8" w:rsidRDefault="00E0328C" w:rsidP="00D25B00">
            <w:pPr>
              <w:jc w:val="right"/>
              <w:rPr>
                <w:color w:val="FF0000"/>
                <w:sz w:val="20"/>
                <w:szCs w:val="20"/>
              </w:rPr>
            </w:pPr>
          </w:p>
          <w:p w14:paraId="0FE18DAE" w14:textId="77777777" w:rsidR="00E0328C" w:rsidRPr="00C7761A" w:rsidRDefault="00E0328C" w:rsidP="00D25B00">
            <w:pPr>
              <w:jc w:val="right"/>
              <w:rPr>
                <w:sz w:val="20"/>
                <w:szCs w:val="20"/>
              </w:rPr>
            </w:pPr>
            <w:r w:rsidRPr="00C7761A">
              <w:rPr>
                <w:sz w:val="20"/>
                <w:szCs w:val="20"/>
              </w:rPr>
              <w:t>549 661</w:t>
            </w:r>
          </w:p>
          <w:p w14:paraId="5B05041B" w14:textId="77777777" w:rsidR="00E0328C" w:rsidRPr="004760E8" w:rsidRDefault="00E0328C" w:rsidP="00D25B00">
            <w:pPr>
              <w:jc w:val="right"/>
              <w:rPr>
                <w:color w:val="FF0000"/>
                <w:sz w:val="20"/>
                <w:szCs w:val="20"/>
              </w:rPr>
            </w:pPr>
            <w:r w:rsidRPr="00C7761A">
              <w:rPr>
                <w:sz w:val="20"/>
                <w:szCs w:val="20"/>
              </w:rPr>
              <w:t>53 537</w:t>
            </w:r>
          </w:p>
        </w:tc>
        <w:tc>
          <w:tcPr>
            <w:tcW w:w="1417" w:type="dxa"/>
            <w:tcBorders>
              <w:top w:val="nil"/>
              <w:bottom w:val="nil"/>
            </w:tcBorders>
            <w:shd w:val="clear" w:color="auto" w:fill="auto"/>
            <w:vAlign w:val="center"/>
          </w:tcPr>
          <w:p w14:paraId="6A7B6CFA" w14:textId="77777777" w:rsidR="00E0328C" w:rsidRPr="00111430" w:rsidRDefault="00E0328C" w:rsidP="00D25B00">
            <w:pPr>
              <w:jc w:val="right"/>
              <w:rPr>
                <w:sz w:val="20"/>
                <w:szCs w:val="20"/>
              </w:rPr>
            </w:pPr>
          </w:p>
          <w:p w14:paraId="1C10A59D" w14:textId="77777777" w:rsidR="00E0328C" w:rsidRPr="00111430" w:rsidRDefault="00E0328C" w:rsidP="00D25B00">
            <w:pPr>
              <w:jc w:val="right"/>
              <w:rPr>
                <w:sz w:val="20"/>
                <w:szCs w:val="20"/>
              </w:rPr>
            </w:pPr>
            <w:r w:rsidRPr="00111430">
              <w:rPr>
                <w:sz w:val="20"/>
                <w:szCs w:val="20"/>
              </w:rPr>
              <w:t xml:space="preserve">545 719 </w:t>
            </w:r>
          </w:p>
          <w:p w14:paraId="45AE3600" w14:textId="77777777" w:rsidR="00E0328C" w:rsidRPr="00111430" w:rsidRDefault="00E0328C" w:rsidP="00D25B00">
            <w:pPr>
              <w:jc w:val="right"/>
              <w:rPr>
                <w:sz w:val="20"/>
                <w:szCs w:val="20"/>
              </w:rPr>
            </w:pPr>
            <w:r w:rsidRPr="00111430">
              <w:rPr>
                <w:sz w:val="20"/>
                <w:szCs w:val="20"/>
              </w:rPr>
              <w:t>51 347</w:t>
            </w:r>
          </w:p>
        </w:tc>
        <w:tc>
          <w:tcPr>
            <w:tcW w:w="1418" w:type="dxa"/>
            <w:tcBorders>
              <w:top w:val="nil"/>
              <w:bottom w:val="nil"/>
            </w:tcBorders>
            <w:shd w:val="clear" w:color="auto" w:fill="auto"/>
            <w:vAlign w:val="center"/>
          </w:tcPr>
          <w:p w14:paraId="475A8028" w14:textId="77777777" w:rsidR="00E0328C" w:rsidRPr="00AE1F63" w:rsidRDefault="00E0328C" w:rsidP="00D25B00">
            <w:pPr>
              <w:jc w:val="right"/>
              <w:rPr>
                <w:sz w:val="20"/>
                <w:szCs w:val="20"/>
              </w:rPr>
            </w:pPr>
            <w:r w:rsidRPr="00AE1F63">
              <w:rPr>
                <w:sz w:val="20"/>
                <w:szCs w:val="20"/>
              </w:rPr>
              <w:t xml:space="preserve">                                        594 106  </w:t>
            </w:r>
          </w:p>
          <w:p w14:paraId="75F3566B" w14:textId="77777777" w:rsidR="00E0328C" w:rsidRPr="00AE1F63" w:rsidRDefault="00E0328C" w:rsidP="00D25B00">
            <w:pPr>
              <w:jc w:val="right"/>
              <w:rPr>
                <w:sz w:val="20"/>
                <w:szCs w:val="20"/>
              </w:rPr>
            </w:pPr>
            <w:r w:rsidRPr="00AE1F63">
              <w:rPr>
                <w:sz w:val="20"/>
                <w:szCs w:val="20"/>
              </w:rPr>
              <w:t>68 850</w:t>
            </w:r>
          </w:p>
        </w:tc>
        <w:tc>
          <w:tcPr>
            <w:tcW w:w="997" w:type="dxa"/>
            <w:tcBorders>
              <w:top w:val="nil"/>
              <w:bottom w:val="nil"/>
            </w:tcBorders>
            <w:shd w:val="clear" w:color="auto" w:fill="auto"/>
            <w:vAlign w:val="center"/>
          </w:tcPr>
          <w:p w14:paraId="1347498D" w14:textId="77777777" w:rsidR="00E0328C" w:rsidRPr="00AE1F63" w:rsidRDefault="00E0328C" w:rsidP="00D25B00">
            <w:pPr>
              <w:jc w:val="right"/>
              <w:rPr>
                <w:sz w:val="20"/>
                <w:szCs w:val="20"/>
              </w:rPr>
            </w:pPr>
          </w:p>
          <w:p w14:paraId="30DD514F" w14:textId="77777777" w:rsidR="00E0328C" w:rsidRPr="00AE1F63" w:rsidRDefault="00E0328C" w:rsidP="00D25B00">
            <w:pPr>
              <w:jc w:val="right"/>
              <w:rPr>
                <w:sz w:val="20"/>
                <w:szCs w:val="20"/>
              </w:rPr>
            </w:pPr>
            <w:r w:rsidRPr="00AE1F63">
              <w:rPr>
                <w:sz w:val="20"/>
                <w:szCs w:val="20"/>
              </w:rPr>
              <w:t xml:space="preserve">108,87     134,09    </w:t>
            </w:r>
          </w:p>
        </w:tc>
      </w:tr>
      <w:tr w:rsidR="00E0328C" w:rsidRPr="004760E8" w14:paraId="6E59EEDF" w14:textId="77777777" w:rsidTr="00D25B00">
        <w:tc>
          <w:tcPr>
            <w:tcW w:w="4252" w:type="dxa"/>
            <w:tcBorders>
              <w:top w:val="nil"/>
              <w:bottom w:val="nil"/>
            </w:tcBorders>
            <w:shd w:val="clear" w:color="auto" w:fill="auto"/>
          </w:tcPr>
          <w:p w14:paraId="4B97CDAA" w14:textId="77777777" w:rsidR="00E0328C" w:rsidRPr="00C7761A" w:rsidRDefault="00E0328C" w:rsidP="00D25B00">
            <w:pPr>
              <w:rPr>
                <w:sz w:val="20"/>
                <w:szCs w:val="20"/>
              </w:rPr>
            </w:pPr>
            <w:r w:rsidRPr="00C7761A">
              <w:rPr>
                <w:sz w:val="20"/>
                <w:szCs w:val="20"/>
              </w:rPr>
              <w:t>povinné pojistné placené zaměstnavatelem</w:t>
            </w:r>
          </w:p>
          <w:p w14:paraId="19B9BD64" w14:textId="77777777" w:rsidR="00E0328C" w:rsidRPr="004760E8" w:rsidRDefault="00E0328C" w:rsidP="00D25B00">
            <w:pPr>
              <w:rPr>
                <w:color w:val="FF0000"/>
                <w:sz w:val="20"/>
                <w:szCs w:val="20"/>
              </w:rPr>
            </w:pPr>
            <w:r w:rsidRPr="00C7761A">
              <w:rPr>
                <w:sz w:val="20"/>
                <w:szCs w:val="20"/>
              </w:rPr>
              <w:t xml:space="preserve">     z toho: prostředky EU</w:t>
            </w:r>
          </w:p>
        </w:tc>
        <w:tc>
          <w:tcPr>
            <w:tcW w:w="1418" w:type="dxa"/>
            <w:tcBorders>
              <w:top w:val="nil"/>
              <w:bottom w:val="nil"/>
            </w:tcBorders>
            <w:shd w:val="clear" w:color="auto" w:fill="auto"/>
          </w:tcPr>
          <w:p w14:paraId="05A35583" w14:textId="77777777" w:rsidR="00E0328C" w:rsidRPr="00C7761A" w:rsidRDefault="00E0328C" w:rsidP="00D25B00">
            <w:pPr>
              <w:jc w:val="right"/>
              <w:rPr>
                <w:sz w:val="20"/>
                <w:szCs w:val="20"/>
              </w:rPr>
            </w:pPr>
            <w:r w:rsidRPr="00C7761A">
              <w:rPr>
                <w:sz w:val="20"/>
                <w:szCs w:val="20"/>
              </w:rPr>
              <w:t>184 011</w:t>
            </w:r>
          </w:p>
          <w:p w14:paraId="66142E32" w14:textId="77777777" w:rsidR="00E0328C" w:rsidRPr="00C7761A" w:rsidRDefault="00E0328C" w:rsidP="00D25B00">
            <w:pPr>
              <w:jc w:val="right"/>
              <w:rPr>
                <w:sz w:val="20"/>
                <w:szCs w:val="20"/>
              </w:rPr>
            </w:pPr>
            <w:r>
              <w:rPr>
                <w:sz w:val="20"/>
                <w:szCs w:val="20"/>
              </w:rPr>
              <w:t>17 933</w:t>
            </w:r>
          </w:p>
        </w:tc>
        <w:tc>
          <w:tcPr>
            <w:tcW w:w="1417" w:type="dxa"/>
            <w:tcBorders>
              <w:top w:val="nil"/>
              <w:bottom w:val="nil"/>
            </w:tcBorders>
            <w:shd w:val="clear" w:color="auto" w:fill="auto"/>
            <w:vAlign w:val="center"/>
          </w:tcPr>
          <w:p w14:paraId="2F3D296E" w14:textId="77777777" w:rsidR="00E0328C" w:rsidRPr="00111430" w:rsidRDefault="00E0328C" w:rsidP="00D25B00">
            <w:pPr>
              <w:jc w:val="right"/>
              <w:rPr>
                <w:sz w:val="20"/>
                <w:szCs w:val="20"/>
              </w:rPr>
            </w:pPr>
            <w:r w:rsidRPr="00111430">
              <w:rPr>
                <w:sz w:val="20"/>
                <w:szCs w:val="20"/>
              </w:rPr>
              <w:t>184 453</w:t>
            </w:r>
          </w:p>
          <w:p w14:paraId="586B1EB3" w14:textId="77777777" w:rsidR="00E0328C" w:rsidRPr="00111430" w:rsidRDefault="00E0328C" w:rsidP="00D25B00">
            <w:pPr>
              <w:jc w:val="right"/>
              <w:rPr>
                <w:sz w:val="20"/>
                <w:szCs w:val="20"/>
              </w:rPr>
            </w:pPr>
            <w:r w:rsidRPr="00111430">
              <w:rPr>
                <w:sz w:val="20"/>
                <w:szCs w:val="20"/>
              </w:rPr>
              <w:t>17 355</w:t>
            </w:r>
          </w:p>
        </w:tc>
        <w:tc>
          <w:tcPr>
            <w:tcW w:w="1418" w:type="dxa"/>
            <w:tcBorders>
              <w:top w:val="nil"/>
              <w:bottom w:val="nil"/>
            </w:tcBorders>
            <w:shd w:val="clear" w:color="auto" w:fill="auto"/>
            <w:vAlign w:val="center"/>
          </w:tcPr>
          <w:p w14:paraId="2085ACA5" w14:textId="77777777" w:rsidR="00E0328C" w:rsidRPr="00AE1F63" w:rsidRDefault="00E0328C" w:rsidP="00D25B00">
            <w:pPr>
              <w:jc w:val="right"/>
              <w:rPr>
                <w:sz w:val="20"/>
                <w:szCs w:val="20"/>
              </w:rPr>
            </w:pPr>
            <w:r w:rsidRPr="00AE1F63">
              <w:rPr>
                <w:sz w:val="20"/>
                <w:szCs w:val="20"/>
              </w:rPr>
              <w:t>200 808</w:t>
            </w:r>
          </w:p>
          <w:p w14:paraId="433CF3D5" w14:textId="77777777" w:rsidR="00E0328C" w:rsidRPr="00AE1F63" w:rsidRDefault="00E0328C" w:rsidP="00D25B00">
            <w:pPr>
              <w:jc w:val="right"/>
              <w:rPr>
                <w:sz w:val="20"/>
                <w:szCs w:val="20"/>
              </w:rPr>
            </w:pPr>
            <w:r w:rsidRPr="00AE1F63">
              <w:rPr>
                <w:sz w:val="20"/>
                <w:szCs w:val="20"/>
              </w:rPr>
              <w:t>23 271</w:t>
            </w:r>
          </w:p>
        </w:tc>
        <w:tc>
          <w:tcPr>
            <w:tcW w:w="997" w:type="dxa"/>
            <w:tcBorders>
              <w:top w:val="nil"/>
              <w:bottom w:val="nil"/>
            </w:tcBorders>
            <w:shd w:val="clear" w:color="auto" w:fill="auto"/>
            <w:vAlign w:val="center"/>
          </w:tcPr>
          <w:p w14:paraId="14630D92" w14:textId="77777777" w:rsidR="00E0328C" w:rsidRPr="00AE1F63" w:rsidRDefault="00E0328C" w:rsidP="00D25B00">
            <w:pPr>
              <w:jc w:val="right"/>
              <w:rPr>
                <w:sz w:val="20"/>
                <w:szCs w:val="20"/>
              </w:rPr>
            </w:pPr>
            <w:r w:rsidRPr="00AE1F63">
              <w:rPr>
                <w:sz w:val="20"/>
                <w:szCs w:val="20"/>
              </w:rPr>
              <w:t>108,87</w:t>
            </w:r>
          </w:p>
          <w:p w14:paraId="370C4FB0" w14:textId="77777777" w:rsidR="00E0328C" w:rsidRPr="00AE1F63" w:rsidRDefault="00E0328C" w:rsidP="00D25B00">
            <w:pPr>
              <w:jc w:val="right"/>
              <w:rPr>
                <w:sz w:val="20"/>
                <w:szCs w:val="20"/>
              </w:rPr>
            </w:pPr>
            <w:r w:rsidRPr="00AE1F63">
              <w:rPr>
                <w:sz w:val="20"/>
                <w:szCs w:val="20"/>
              </w:rPr>
              <w:t>134,09</w:t>
            </w:r>
          </w:p>
        </w:tc>
      </w:tr>
      <w:tr w:rsidR="00E0328C" w:rsidRPr="004760E8" w14:paraId="7C9E605D" w14:textId="77777777" w:rsidTr="00D25B00">
        <w:tc>
          <w:tcPr>
            <w:tcW w:w="4252" w:type="dxa"/>
            <w:tcBorders>
              <w:top w:val="nil"/>
              <w:bottom w:val="nil"/>
            </w:tcBorders>
            <w:shd w:val="clear" w:color="auto" w:fill="auto"/>
          </w:tcPr>
          <w:p w14:paraId="0B2DDC59" w14:textId="77777777" w:rsidR="00E0328C" w:rsidRPr="00C7761A" w:rsidRDefault="00E0328C" w:rsidP="00D25B00">
            <w:pPr>
              <w:rPr>
                <w:sz w:val="20"/>
                <w:szCs w:val="20"/>
              </w:rPr>
            </w:pPr>
            <w:r w:rsidRPr="00C7761A">
              <w:rPr>
                <w:sz w:val="20"/>
                <w:szCs w:val="20"/>
              </w:rPr>
              <w:t>příděl FKSP</w:t>
            </w:r>
          </w:p>
          <w:p w14:paraId="796AF535" w14:textId="77777777" w:rsidR="00E0328C" w:rsidRPr="004760E8" w:rsidRDefault="00E0328C" w:rsidP="00D25B00">
            <w:pPr>
              <w:rPr>
                <w:color w:val="FF0000"/>
                <w:sz w:val="20"/>
                <w:szCs w:val="20"/>
              </w:rPr>
            </w:pPr>
            <w:r w:rsidRPr="00C7761A">
              <w:rPr>
                <w:sz w:val="20"/>
                <w:szCs w:val="20"/>
              </w:rPr>
              <w:t xml:space="preserve">      z toho: prostředky EU</w:t>
            </w:r>
          </w:p>
        </w:tc>
        <w:tc>
          <w:tcPr>
            <w:tcW w:w="1418" w:type="dxa"/>
            <w:tcBorders>
              <w:top w:val="nil"/>
              <w:bottom w:val="nil"/>
            </w:tcBorders>
            <w:shd w:val="clear" w:color="auto" w:fill="auto"/>
          </w:tcPr>
          <w:p w14:paraId="174DD8E9" w14:textId="77777777" w:rsidR="00E0328C" w:rsidRPr="00C7761A" w:rsidRDefault="00E0328C" w:rsidP="00D25B00">
            <w:pPr>
              <w:jc w:val="right"/>
              <w:rPr>
                <w:sz w:val="20"/>
                <w:szCs w:val="20"/>
              </w:rPr>
            </w:pPr>
            <w:r w:rsidRPr="00C7761A">
              <w:rPr>
                <w:sz w:val="20"/>
                <w:szCs w:val="20"/>
              </w:rPr>
              <w:t>10 691</w:t>
            </w:r>
          </w:p>
          <w:p w14:paraId="2087106E" w14:textId="77777777" w:rsidR="00E0328C" w:rsidRPr="004760E8" w:rsidRDefault="00E0328C" w:rsidP="00D25B00">
            <w:pPr>
              <w:jc w:val="right"/>
              <w:rPr>
                <w:color w:val="FF0000"/>
                <w:sz w:val="20"/>
                <w:szCs w:val="20"/>
              </w:rPr>
            </w:pPr>
            <w:r w:rsidRPr="00C7761A">
              <w:rPr>
                <w:sz w:val="20"/>
                <w:szCs w:val="20"/>
              </w:rPr>
              <w:t>1 001</w:t>
            </w:r>
          </w:p>
        </w:tc>
        <w:tc>
          <w:tcPr>
            <w:tcW w:w="1417" w:type="dxa"/>
            <w:tcBorders>
              <w:top w:val="nil"/>
              <w:bottom w:val="nil"/>
            </w:tcBorders>
            <w:shd w:val="clear" w:color="auto" w:fill="auto"/>
            <w:vAlign w:val="center"/>
          </w:tcPr>
          <w:p w14:paraId="788DFEC2" w14:textId="77777777" w:rsidR="00E0328C" w:rsidRPr="00111430" w:rsidRDefault="00E0328C" w:rsidP="00D25B00">
            <w:pPr>
              <w:jc w:val="right"/>
              <w:rPr>
                <w:sz w:val="20"/>
                <w:szCs w:val="20"/>
              </w:rPr>
            </w:pPr>
            <w:r w:rsidRPr="00111430">
              <w:rPr>
                <w:sz w:val="20"/>
                <w:szCs w:val="20"/>
              </w:rPr>
              <w:t>10 806</w:t>
            </w:r>
          </w:p>
          <w:p w14:paraId="7A735E85" w14:textId="77777777" w:rsidR="00E0328C" w:rsidRPr="00111430" w:rsidRDefault="00E0328C" w:rsidP="00D25B00">
            <w:pPr>
              <w:jc w:val="right"/>
              <w:rPr>
                <w:sz w:val="20"/>
                <w:szCs w:val="20"/>
              </w:rPr>
            </w:pPr>
            <w:r w:rsidRPr="00111430">
              <w:rPr>
                <w:sz w:val="20"/>
                <w:szCs w:val="20"/>
              </w:rPr>
              <w:t>1 021</w:t>
            </w:r>
          </w:p>
        </w:tc>
        <w:tc>
          <w:tcPr>
            <w:tcW w:w="1418" w:type="dxa"/>
            <w:tcBorders>
              <w:top w:val="nil"/>
              <w:bottom w:val="nil"/>
            </w:tcBorders>
            <w:shd w:val="clear" w:color="auto" w:fill="auto"/>
            <w:vAlign w:val="center"/>
          </w:tcPr>
          <w:p w14:paraId="36FE12DF" w14:textId="77777777" w:rsidR="00E0328C" w:rsidRPr="00AE1F63" w:rsidRDefault="00E0328C" w:rsidP="00D25B00">
            <w:pPr>
              <w:jc w:val="right"/>
              <w:rPr>
                <w:sz w:val="20"/>
                <w:szCs w:val="20"/>
              </w:rPr>
            </w:pPr>
            <w:r w:rsidRPr="00AE1F63">
              <w:rPr>
                <w:sz w:val="20"/>
                <w:szCs w:val="20"/>
              </w:rPr>
              <w:t>11 577</w:t>
            </w:r>
          </w:p>
          <w:p w14:paraId="4C26C6E8" w14:textId="77777777" w:rsidR="00E0328C" w:rsidRPr="00AE1F63" w:rsidRDefault="00E0328C" w:rsidP="00D25B00">
            <w:pPr>
              <w:jc w:val="right"/>
              <w:rPr>
                <w:sz w:val="20"/>
                <w:szCs w:val="20"/>
              </w:rPr>
            </w:pPr>
            <w:r w:rsidRPr="00AE1F63">
              <w:rPr>
                <w:sz w:val="20"/>
                <w:szCs w:val="20"/>
              </w:rPr>
              <w:t>1 239</w:t>
            </w:r>
          </w:p>
        </w:tc>
        <w:tc>
          <w:tcPr>
            <w:tcW w:w="997" w:type="dxa"/>
            <w:tcBorders>
              <w:top w:val="nil"/>
              <w:bottom w:val="nil"/>
            </w:tcBorders>
            <w:shd w:val="clear" w:color="auto" w:fill="auto"/>
            <w:vAlign w:val="center"/>
          </w:tcPr>
          <w:p w14:paraId="06A9A094" w14:textId="77777777" w:rsidR="00E0328C" w:rsidRPr="00AE1F63" w:rsidRDefault="00E0328C" w:rsidP="00D25B00">
            <w:pPr>
              <w:jc w:val="right"/>
              <w:rPr>
                <w:sz w:val="20"/>
                <w:szCs w:val="20"/>
              </w:rPr>
            </w:pPr>
            <w:r w:rsidRPr="00AE1F63">
              <w:rPr>
                <w:sz w:val="20"/>
                <w:szCs w:val="20"/>
              </w:rPr>
              <w:t>107,13</w:t>
            </w:r>
          </w:p>
          <w:p w14:paraId="34820FA1" w14:textId="77777777" w:rsidR="00E0328C" w:rsidRPr="00AE1F63" w:rsidRDefault="00E0328C" w:rsidP="00D25B00">
            <w:pPr>
              <w:jc w:val="right"/>
              <w:rPr>
                <w:sz w:val="20"/>
                <w:szCs w:val="20"/>
              </w:rPr>
            </w:pPr>
            <w:r w:rsidRPr="00AE1F63">
              <w:rPr>
                <w:sz w:val="20"/>
                <w:szCs w:val="20"/>
              </w:rPr>
              <w:t>121,35</w:t>
            </w:r>
          </w:p>
        </w:tc>
      </w:tr>
      <w:tr w:rsidR="00E0328C" w:rsidRPr="004760E8" w14:paraId="265EF219" w14:textId="77777777" w:rsidTr="00D25B00">
        <w:tc>
          <w:tcPr>
            <w:tcW w:w="4252" w:type="dxa"/>
            <w:tcBorders>
              <w:top w:val="nil"/>
              <w:bottom w:val="nil"/>
            </w:tcBorders>
            <w:shd w:val="clear" w:color="auto" w:fill="auto"/>
          </w:tcPr>
          <w:p w14:paraId="62E3B78F" w14:textId="77777777" w:rsidR="00E0328C" w:rsidRPr="004760E8" w:rsidRDefault="00E0328C" w:rsidP="00D25B00">
            <w:pPr>
              <w:rPr>
                <w:color w:val="FF0000"/>
                <w:sz w:val="20"/>
                <w:szCs w:val="20"/>
              </w:rPr>
            </w:pPr>
            <w:r w:rsidRPr="00AB780C">
              <w:rPr>
                <w:sz w:val="20"/>
                <w:szCs w:val="20"/>
              </w:rPr>
              <w:t>ostatní neinvestiční výdaje</w:t>
            </w:r>
          </w:p>
        </w:tc>
        <w:tc>
          <w:tcPr>
            <w:tcW w:w="1418" w:type="dxa"/>
            <w:tcBorders>
              <w:top w:val="nil"/>
              <w:bottom w:val="nil"/>
            </w:tcBorders>
            <w:shd w:val="clear" w:color="auto" w:fill="auto"/>
          </w:tcPr>
          <w:p w14:paraId="5505D8D1" w14:textId="77777777" w:rsidR="00E0328C" w:rsidRPr="004760E8" w:rsidRDefault="00E0328C" w:rsidP="00D25B00">
            <w:pPr>
              <w:jc w:val="right"/>
              <w:rPr>
                <w:color w:val="FF0000"/>
                <w:sz w:val="20"/>
                <w:szCs w:val="20"/>
              </w:rPr>
            </w:pPr>
            <w:r w:rsidRPr="00AB780C">
              <w:rPr>
                <w:sz w:val="20"/>
                <w:szCs w:val="20"/>
              </w:rPr>
              <w:t xml:space="preserve">4 620 773 </w:t>
            </w:r>
          </w:p>
        </w:tc>
        <w:tc>
          <w:tcPr>
            <w:tcW w:w="1417" w:type="dxa"/>
            <w:tcBorders>
              <w:top w:val="nil"/>
              <w:bottom w:val="nil"/>
            </w:tcBorders>
            <w:shd w:val="clear" w:color="auto" w:fill="auto"/>
            <w:vAlign w:val="center"/>
          </w:tcPr>
          <w:p w14:paraId="5C5BAB08" w14:textId="77777777" w:rsidR="00E0328C" w:rsidRPr="00111430" w:rsidRDefault="00E0328C" w:rsidP="00D25B00">
            <w:pPr>
              <w:jc w:val="right"/>
              <w:rPr>
                <w:sz w:val="20"/>
                <w:szCs w:val="20"/>
              </w:rPr>
            </w:pPr>
            <w:r w:rsidRPr="00111430">
              <w:rPr>
                <w:sz w:val="20"/>
                <w:szCs w:val="20"/>
              </w:rPr>
              <w:t>1 852 753</w:t>
            </w:r>
          </w:p>
        </w:tc>
        <w:tc>
          <w:tcPr>
            <w:tcW w:w="1418" w:type="dxa"/>
            <w:tcBorders>
              <w:top w:val="nil"/>
              <w:bottom w:val="nil"/>
            </w:tcBorders>
            <w:shd w:val="clear" w:color="auto" w:fill="auto"/>
            <w:vAlign w:val="center"/>
          </w:tcPr>
          <w:p w14:paraId="43BD3B55" w14:textId="77777777" w:rsidR="00E0328C" w:rsidRPr="00AE1F63" w:rsidRDefault="00E0328C" w:rsidP="00D25B00">
            <w:pPr>
              <w:jc w:val="right"/>
              <w:rPr>
                <w:sz w:val="20"/>
                <w:szCs w:val="20"/>
              </w:rPr>
            </w:pPr>
            <w:r w:rsidRPr="00AE1F63">
              <w:rPr>
                <w:sz w:val="20"/>
                <w:szCs w:val="20"/>
              </w:rPr>
              <w:t>5 841 616</w:t>
            </w:r>
          </w:p>
        </w:tc>
        <w:tc>
          <w:tcPr>
            <w:tcW w:w="997" w:type="dxa"/>
            <w:tcBorders>
              <w:top w:val="nil"/>
              <w:bottom w:val="nil"/>
            </w:tcBorders>
            <w:shd w:val="clear" w:color="auto" w:fill="auto"/>
            <w:vAlign w:val="center"/>
          </w:tcPr>
          <w:p w14:paraId="4D99F529" w14:textId="77777777" w:rsidR="00E0328C" w:rsidRPr="00AE1F63" w:rsidRDefault="00E0328C" w:rsidP="00D25B00">
            <w:pPr>
              <w:jc w:val="right"/>
              <w:rPr>
                <w:sz w:val="20"/>
                <w:szCs w:val="20"/>
              </w:rPr>
            </w:pPr>
            <w:r w:rsidRPr="00AE1F63">
              <w:rPr>
                <w:sz w:val="20"/>
                <w:szCs w:val="20"/>
              </w:rPr>
              <w:t xml:space="preserve">315,29          </w:t>
            </w:r>
          </w:p>
        </w:tc>
      </w:tr>
      <w:tr w:rsidR="00E0328C" w:rsidRPr="004760E8" w14:paraId="46CE257E" w14:textId="77777777" w:rsidTr="00D25B00">
        <w:tc>
          <w:tcPr>
            <w:tcW w:w="4252" w:type="dxa"/>
            <w:tcBorders>
              <w:top w:val="nil"/>
              <w:bottom w:val="nil"/>
            </w:tcBorders>
            <w:shd w:val="clear" w:color="auto" w:fill="auto"/>
          </w:tcPr>
          <w:p w14:paraId="237A7882" w14:textId="77777777" w:rsidR="00E0328C" w:rsidRPr="00C0068D" w:rsidRDefault="00E0328C" w:rsidP="00D25B00">
            <w:pPr>
              <w:tabs>
                <w:tab w:val="left" w:pos="197"/>
                <w:tab w:val="left" w:pos="340"/>
                <w:tab w:val="left" w:pos="656"/>
              </w:tabs>
              <w:rPr>
                <w:sz w:val="20"/>
                <w:szCs w:val="20"/>
              </w:rPr>
            </w:pPr>
            <w:r w:rsidRPr="00C0068D">
              <w:rPr>
                <w:sz w:val="20"/>
                <w:szCs w:val="20"/>
              </w:rPr>
              <w:t xml:space="preserve">      z toho: kompenzace slev jízdného</w:t>
            </w:r>
          </w:p>
        </w:tc>
        <w:tc>
          <w:tcPr>
            <w:tcW w:w="1418" w:type="dxa"/>
            <w:tcBorders>
              <w:top w:val="nil"/>
              <w:bottom w:val="nil"/>
            </w:tcBorders>
            <w:shd w:val="clear" w:color="auto" w:fill="auto"/>
            <w:vAlign w:val="center"/>
          </w:tcPr>
          <w:p w14:paraId="2C6DDB62" w14:textId="77777777" w:rsidR="00E0328C" w:rsidRPr="00C0068D" w:rsidRDefault="00E0328C" w:rsidP="00D25B00">
            <w:pPr>
              <w:ind w:right="10"/>
              <w:jc w:val="right"/>
              <w:rPr>
                <w:sz w:val="20"/>
                <w:szCs w:val="20"/>
              </w:rPr>
            </w:pPr>
            <w:r w:rsidRPr="00C0068D">
              <w:rPr>
                <w:sz w:val="20"/>
                <w:szCs w:val="20"/>
              </w:rPr>
              <w:t xml:space="preserve">3 856 739 </w:t>
            </w:r>
          </w:p>
        </w:tc>
        <w:tc>
          <w:tcPr>
            <w:tcW w:w="1417" w:type="dxa"/>
            <w:tcBorders>
              <w:top w:val="nil"/>
              <w:bottom w:val="nil"/>
            </w:tcBorders>
            <w:shd w:val="clear" w:color="auto" w:fill="auto"/>
            <w:vAlign w:val="center"/>
          </w:tcPr>
          <w:p w14:paraId="0D86155F" w14:textId="77777777" w:rsidR="00E0328C" w:rsidRPr="00111430" w:rsidRDefault="00E0328C" w:rsidP="00D25B00">
            <w:pPr>
              <w:jc w:val="right"/>
              <w:rPr>
                <w:sz w:val="20"/>
                <w:szCs w:val="20"/>
              </w:rPr>
            </w:pPr>
            <w:r w:rsidRPr="00111430">
              <w:rPr>
                <w:sz w:val="20"/>
                <w:szCs w:val="20"/>
              </w:rPr>
              <w:t>1 040 000</w:t>
            </w:r>
          </w:p>
        </w:tc>
        <w:tc>
          <w:tcPr>
            <w:tcW w:w="1418" w:type="dxa"/>
            <w:tcBorders>
              <w:top w:val="nil"/>
              <w:bottom w:val="nil"/>
            </w:tcBorders>
            <w:shd w:val="clear" w:color="auto" w:fill="auto"/>
            <w:vAlign w:val="center"/>
          </w:tcPr>
          <w:p w14:paraId="6BEE9E06" w14:textId="77777777" w:rsidR="00E0328C" w:rsidRPr="00AE1F63" w:rsidRDefault="00E0328C" w:rsidP="00D25B00">
            <w:pPr>
              <w:jc w:val="right"/>
              <w:rPr>
                <w:sz w:val="20"/>
                <w:szCs w:val="20"/>
              </w:rPr>
            </w:pPr>
            <w:r w:rsidRPr="00AE1F63">
              <w:rPr>
                <w:sz w:val="20"/>
                <w:szCs w:val="20"/>
              </w:rPr>
              <w:t>5 000 000</w:t>
            </w:r>
          </w:p>
        </w:tc>
        <w:tc>
          <w:tcPr>
            <w:tcW w:w="997" w:type="dxa"/>
            <w:tcBorders>
              <w:top w:val="nil"/>
              <w:bottom w:val="nil"/>
            </w:tcBorders>
            <w:shd w:val="clear" w:color="auto" w:fill="auto"/>
            <w:vAlign w:val="center"/>
          </w:tcPr>
          <w:p w14:paraId="3C313514" w14:textId="77777777" w:rsidR="00E0328C" w:rsidRPr="00AE1F63" w:rsidRDefault="00E0328C" w:rsidP="00D25B00">
            <w:pPr>
              <w:jc w:val="right"/>
              <w:rPr>
                <w:sz w:val="20"/>
                <w:szCs w:val="20"/>
              </w:rPr>
            </w:pPr>
            <w:r w:rsidRPr="00AE1F63">
              <w:rPr>
                <w:sz w:val="20"/>
                <w:szCs w:val="20"/>
              </w:rPr>
              <w:t>480,77</w:t>
            </w:r>
          </w:p>
        </w:tc>
      </w:tr>
      <w:tr w:rsidR="00E0328C" w:rsidRPr="004760E8" w14:paraId="36CEEC90" w14:textId="77777777" w:rsidTr="00D25B00">
        <w:tc>
          <w:tcPr>
            <w:tcW w:w="4252" w:type="dxa"/>
            <w:tcBorders>
              <w:top w:val="nil"/>
              <w:bottom w:val="nil"/>
            </w:tcBorders>
            <w:shd w:val="clear" w:color="auto" w:fill="auto"/>
          </w:tcPr>
          <w:p w14:paraId="6D813BD2" w14:textId="77777777" w:rsidR="00E0328C" w:rsidRPr="00C0068D" w:rsidRDefault="00E0328C" w:rsidP="00D25B00">
            <w:pPr>
              <w:tabs>
                <w:tab w:val="left" w:pos="340"/>
                <w:tab w:val="left" w:pos="656"/>
              </w:tabs>
              <w:ind w:left="599"/>
              <w:rPr>
                <w:sz w:val="20"/>
                <w:szCs w:val="20"/>
              </w:rPr>
            </w:pPr>
            <w:r w:rsidRPr="00C0068D">
              <w:rPr>
                <w:sz w:val="20"/>
                <w:szCs w:val="20"/>
              </w:rPr>
              <w:t>dopravně správní agendy (pol. 5139)</w:t>
            </w:r>
          </w:p>
        </w:tc>
        <w:tc>
          <w:tcPr>
            <w:tcW w:w="1418" w:type="dxa"/>
            <w:tcBorders>
              <w:top w:val="nil"/>
              <w:bottom w:val="nil"/>
            </w:tcBorders>
            <w:shd w:val="clear" w:color="auto" w:fill="auto"/>
            <w:vAlign w:val="center"/>
          </w:tcPr>
          <w:p w14:paraId="11E0DA75" w14:textId="77777777" w:rsidR="00E0328C" w:rsidRPr="00C0068D" w:rsidRDefault="00E0328C" w:rsidP="00D25B00">
            <w:pPr>
              <w:ind w:right="10"/>
              <w:jc w:val="right"/>
              <w:rPr>
                <w:sz w:val="20"/>
                <w:szCs w:val="20"/>
              </w:rPr>
            </w:pPr>
            <w:r w:rsidRPr="00C0068D">
              <w:rPr>
                <w:sz w:val="20"/>
                <w:szCs w:val="20"/>
              </w:rPr>
              <w:t>188 790</w:t>
            </w:r>
          </w:p>
        </w:tc>
        <w:tc>
          <w:tcPr>
            <w:tcW w:w="1417" w:type="dxa"/>
            <w:tcBorders>
              <w:top w:val="nil"/>
              <w:bottom w:val="nil"/>
            </w:tcBorders>
            <w:shd w:val="clear" w:color="auto" w:fill="auto"/>
            <w:vAlign w:val="center"/>
          </w:tcPr>
          <w:p w14:paraId="7A297505" w14:textId="77777777" w:rsidR="00E0328C" w:rsidRPr="00111430" w:rsidRDefault="00E0328C" w:rsidP="00D25B00">
            <w:pPr>
              <w:jc w:val="right"/>
              <w:rPr>
                <w:sz w:val="20"/>
                <w:szCs w:val="20"/>
              </w:rPr>
            </w:pPr>
            <w:r w:rsidRPr="00111430">
              <w:rPr>
                <w:sz w:val="20"/>
                <w:szCs w:val="20"/>
              </w:rPr>
              <w:t>224 000</w:t>
            </w:r>
          </w:p>
        </w:tc>
        <w:tc>
          <w:tcPr>
            <w:tcW w:w="1418" w:type="dxa"/>
            <w:tcBorders>
              <w:top w:val="nil"/>
              <w:bottom w:val="nil"/>
            </w:tcBorders>
            <w:shd w:val="clear" w:color="auto" w:fill="auto"/>
            <w:vAlign w:val="center"/>
          </w:tcPr>
          <w:p w14:paraId="237B3BB3" w14:textId="77777777" w:rsidR="00E0328C" w:rsidRPr="00AE1F63" w:rsidRDefault="00E0328C" w:rsidP="00D25B00">
            <w:pPr>
              <w:jc w:val="right"/>
              <w:rPr>
                <w:sz w:val="20"/>
                <w:szCs w:val="20"/>
              </w:rPr>
            </w:pPr>
            <w:r w:rsidRPr="00AE1F63">
              <w:rPr>
                <w:sz w:val="20"/>
                <w:szCs w:val="20"/>
              </w:rPr>
              <w:t>224 000</w:t>
            </w:r>
          </w:p>
        </w:tc>
        <w:tc>
          <w:tcPr>
            <w:tcW w:w="997" w:type="dxa"/>
            <w:tcBorders>
              <w:top w:val="nil"/>
              <w:bottom w:val="nil"/>
            </w:tcBorders>
            <w:shd w:val="clear" w:color="auto" w:fill="auto"/>
            <w:vAlign w:val="center"/>
          </w:tcPr>
          <w:p w14:paraId="49AE17AC" w14:textId="77777777" w:rsidR="00E0328C" w:rsidRPr="00AE1F63" w:rsidRDefault="00E0328C" w:rsidP="00D25B00">
            <w:pPr>
              <w:jc w:val="right"/>
              <w:rPr>
                <w:sz w:val="20"/>
                <w:szCs w:val="20"/>
              </w:rPr>
            </w:pPr>
            <w:r w:rsidRPr="00AE1F63">
              <w:rPr>
                <w:sz w:val="20"/>
                <w:szCs w:val="20"/>
              </w:rPr>
              <w:t>100,00</w:t>
            </w:r>
          </w:p>
        </w:tc>
      </w:tr>
      <w:tr w:rsidR="00E0328C" w:rsidRPr="004760E8" w14:paraId="1FAA8ED1" w14:textId="77777777" w:rsidTr="00D25B00">
        <w:tc>
          <w:tcPr>
            <w:tcW w:w="4252" w:type="dxa"/>
            <w:tcBorders>
              <w:top w:val="nil"/>
              <w:bottom w:val="nil"/>
            </w:tcBorders>
            <w:shd w:val="clear" w:color="auto" w:fill="auto"/>
          </w:tcPr>
          <w:p w14:paraId="3B562A4D" w14:textId="77777777" w:rsidR="00E0328C" w:rsidRPr="00C0068D" w:rsidRDefault="00E0328C" w:rsidP="00D25B00">
            <w:pPr>
              <w:rPr>
                <w:sz w:val="20"/>
                <w:szCs w:val="20"/>
              </w:rPr>
            </w:pPr>
            <w:r w:rsidRPr="00C0068D">
              <w:rPr>
                <w:sz w:val="20"/>
                <w:szCs w:val="20"/>
              </w:rPr>
              <w:t xml:space="preserve">                  programové financování (EDS/SMVS)</w:t>
            </w:r>
          </w:p>
        </w:tc>
        <w:tc>
          <w:tcPr>
            <w:tcW w:w="1418" w:type="dxa"/>
            <w:tcBorders>
              <w:top w:val="nil"/>
              <w:bottom w:val="nil"/>
            </w:tcBorders>
            <w:shd w:val="clear" w:color="auto" w:fill="auto"/>
            <w:vAlign w:val="center"/>
          </w:tcPr>
          <w:p w14:paraId="73A1AB94" w14:textId="77777777" w:rsidR="00E0328C" w:rsidRPr="00C0068D" w:rsidRDefault="00E0328C" w:rsidP="00D25B00">
            <w:pPr>
              <w:ind w:right="10"/>
              <w:jc w:val="right"/>
              <w:rPr>
                <w:sz w:val="20"/>
                <w:szCs w:val="20"/>
              </w:rPr>
            </w:pPr>
            <w:r w:rsidRPr="00C0068D">
              <w:rPr>
                <w:sz w:val="20"/>
                <w:szCs w:val="20"/>
              </w:rPr>
              <w:t>119 113</w:t>
            </w:r>
          </w:p>
        </w:tc>
        <w:tc>
          <w:tcPr>
            <w:tcW w:w="1417" w:type="dxa"/>
            <w:tcBorders>
              <w:top w:val="nil"/>
              <w:bottom w:val="nil"/>
            </w:tcBorders>
            <w:shd w:val="clear" w:color="auto" w:fill="auto"/>
            <w:vAlign w:val="center"/>
          </w:tcPr>
          <w:p w14:paraId="1C404447" w14:textId="77777777" w:rsidR="00E0328C" w:rsidRPr="00111430" w:rsidRDefault="00E0328C" w:rsidP="00D25B00">
            <w:pPr>
              <w:jc w:val="right"/>
              <w:rPr>
                <w:sz w:val="20"/>
                <w:szCs w:val="20"/>
              </w:rPr>
            </w:pPr>
            <w:r w:rsidRPr="00111430">
              <w:rPr>
                <w:sz w:val="20"/>
                <w:szCs w:val="20"/>
              </w:rPr>
              <w:t>87 383</w:t>
            </w:r>
          </w:p>
        </w:tc>
        <w:tc>
          <w:tcPr>
            <w:tcW w:w="1418" w:type="dxa"/>
            <w:tcBorders>
              <w:top w:val="nil"/>
              <w:bottom w:val="nil"/>
            </w:tcBorders>
            <w:shd w:val="clear" w:color="auto" w:fill="auto"/>
            <w:vAlign w:val="center"/>
          </w:tcPr>
          <w:p w14:paraId="688826D7" w14:textId="77777777" w:rsidR="00E0328C" w:rsidRPr="00AE1F63" w:rsidRDefault="00E0328C" w:rsidP="00D25B00">
            <w:pPr>
              <w:jc w:val="right"/>
              <w:rPr>
                <w:sz w:val="20"/>
                <w:szCs w:val="20"/>
              </w:rPr>
            </w:pPr>
            <w:r w:rsidRPr="00AE1F63">
              <w:rPr>
                <w:sz w:val="20"/>
                <w:szCs w:val="20"/>
              </w:rPr>
              <w:t>99 864</w:t>
            </w:r>
          </w:p>
        </w:tc>
        <w:tc>
          <w:tcPr>
            <w:tcW w:w="997" w:type="dxa"/>
            <w:tcBorders>
              <w:top w:val="nil"/>
              <w:bottom w:val="nil"/>
            </w:tcBorders>
            <w:shd w:val="clear" w:color="auto" w:fill="auto"/>
            <w:vAlign w:val="center"/>
          </w:tcPr>
          <w:p w14:paraId="4A46F825" w14:textId="77777777" w:rsidR="00E0328C" w:rsidRPr="00AE1F63" w:rsidRDefault="00E0328C" w:rsidP="00D25B00">
            <w:pPr>
              <w:jc w:val="right"/>
              <w:rPr>
                <w:sz w:val="20"/>
                <w:szCs w:val="20"/>
              </w:rPr>
            </w:pPr>
            <w:r w:rsidRPr="00AE1F63">
              <w:rPr>
                <w:sz w:val="20"/>
                <w:szCs w:val="20"/>
              </w:rPr>
              <w:t>114,28</w:t>
            </w:r>
          </w:p>
        </w:tc>
      </w:tr>
      <w:tr w:rsidR="00E0328C" w:rsidRPr="004760E8" w14:paraId="43EFB89F" w14:textId="77777777" w:rsidTr="00D25B00">
        <w:trPr>
          <w:trHeight w:val="230"/>
        </w:trPr>
        <w:tc>
          <w:tcPr>
            <w:tcW w:w="4252" w:type="dxa"/>
            <w:tcBorders>
              <w:top w:val="nil"/>
              <w:bottom w:val="single" w:sz="8" w:space="0" w:color="7F7F7F" w:themeColor="text1" w:themeTint="80"/>
            </w:tcBorders>
            <w:shd w:val="clear" w:color="auto" w:fill="auto"/>
          </w:tcPr>
          <w:p w14:paraId="6D35A690" w14:textId="77777777" w:rsidR="00E0328C" w:rsidRPr="00C0068D" w:rsidRDefault="00E0328C" w:rsidP="00D25B00">
            <w:pPr>
              <w:rPr>
                <w:sz w:val="20"/>
                <w:szCs w:val="20"/>
              </w:rPr>
            </w:pPr>
            <w:r w:rsidRPr="00C0068D">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3E43DCD2" w14:textId="77777777" w:rsidR="00E0328C" w:rsidRPr="00C0068D" w:rsidRDefault="00E0328C" w:rsidP="00D25B00">
            <w:pPr>
              <w:ind w:right="10"/>
              <w:jc w:val="right"/>
              <w:rPr>
                <w:sz w:val="20"/>
                <w:szCs w:val="20"/>
              </w:rPr>
            </w:pPr>
            <w:r>
              <w:rPr>
                <w:sz w:val="20"/>
                <w:szCs w:val="20"/>
              </w:rPr>
              <w:t>7 111</w:t>
            </w:r>
          </w:p>
        </w:tc>
        <w:tc>
          <w:tcPr>
            <w:tcW w:w="1417" w:type="dxa"/>
            <w:tcBorders>
              <w:top w:val="nil"/>
              <w:bottom w:val="single" w:sz="8" w:space="0" w:color="7F7F7F" w:themeColor="text1" w:themeTint="80"/>
            </w:tcBorders>
            <w:shd w:val="clear" w:color="auto" w:fill="auto"/>
          </w:tcPr>
          <w:p w14:paraId="4C7B3D87" w14:textId="77777777" w:rsidR="00E0328C" w:rsidRPr="00111430" w:rsidRDefault="00E0328C" w:rsidP="00D25B00">
            <w:pPr>
              <w:jc w:val="right"/>
              <w:rPr>
                <w:sz w:val="20"/>
                <w:szCs w:val="20"/>
              </w:rPr>
            </w:pPr>
            <w:r w:rsidRPr="00111430">
              <w:rPr>
                <w:sz w:val="20"/>
                <w:szCs w:val="20"/>
              </w:rPr>
              <w:t xml:space="preserve">             1 916</w:t>
            </w:r>
          </w:p>
        </w:tc>
        <w:tc>
          <w:tcPr>
            <w:tcW w:w="1418" w:type="dxa"/>
            <w:tcBorders>
              <w:top w:val="nil"/>
              <w:bottom w:val="single" w:sz="8" w:space="0" w:color="7F7F7F" w:themeColor="text1" w:themeTint="80"/>
            </w:tcBorders>
            <w:shd w:val="clear" w:color="auto" w:fill="auto"/>
          </w:tcPr>
          <w:p w14:paraId="2EF44AB2" w14:textId="77777777" w:rsidR="00E0328C" w:rsidRPr="00AE1F63" w:rsidRDefault="00E0328C" w:rsidP="00D25B00">
            <w:pPr>
              <w:jc w:val="right"/>
              <w:rPr>
                <w:sz w:val="20"/>
                <w:szCs w:val="20"/>
              </w:rPr>
            </w:pPr>
            <w:r w:rsidRPr="00AE1F63">
              <w:rPr>
                <w:sz w:val="20"/>
                <w:szCs w:val="20"/>
              </w:rPr>
              <w:t xml:space="preserve">28 684           </w:t>
            </w:r>
          </w:p>
        </w:tc>
        <w:tc>
          <w:tcPr>
            <w:tcW w:w="997" w:type="dxa"/>
            <w:tcBorders>
              <w:top w:val="nil"/>
              <w:bottom w:val="single" w:sz="8" w:space="0" w:color="7F7F7F" w:themeColor="text1" w:themeTint="80"/>
            </w:tcBorders>
            <w:shd w:val="clear" w:color="auto" w:fill="auto"/>
          </w:tcPr>
          <w:p w14:paraId="6CE262A8" w14:textId="77777777" w:rsidR="00E0328C" w:rsidRPr="00AE1F63" w:rsidRDefault="00E0328C" w:rsidP="00D25B00">
            <w:pPr>
              <w:jc w:val="right"/>
              <w:rPr>
                <w:sz w:val="20"/>
                <w:szCs w:val="20"/>
              </w:rPr>
            </w:pPr>
            <w:r w:rsidRPr="00AE1F63">
              <w:rPr>
                <w:sz w:val="20"/>
                <w:szCs w:val="20"/>
              </w:rPr>
              <w:t>1497,08</w:t>
            </w:r>
          </w:p>
        </w:tc>
      </w:tr>
      <w:tr w:rsidR="00E0328C" w:rsidRPr="004760E8" w14:paraId="317BEA7D" w14:textId="77777777" w:rsidTr="00D25B00">
        <w:tc>
          <w:tcPr>
            <w:tcW w:w="4252" w:type="dxa"/>
            <w:tcBorders>
              <w:top w:val="single" w:sz="8" w:space="0" w:color="7F7F7F" w:themeColor="text1" w:themeTint="80"/>
              <w:bottom w:val="nil"/>
            </w:tcBorders>
            <w:shd w:val="clear" w:color="auto" w:fill="auto"/>
          </w:tcPr>
          <w:p w14:paraId="5E8A93B0" w14:textId="77777777" w:rsidR="00E0328C" w:rsidRPr="008631E1" w:rsidRDefault="00E0328C" w:rsidP="00D25B00">
            <w:pPr>
              <w:tabs>
                <w:tab w:val="left" w:pos="564"/>
              </w:tabs>
              <w:jc w:val="left"/>
              <w:rPr>
                <w:b/>
                <w:sz w:val="20"/>
                <w:szCs w:val="20"/>
              </w:rPr>
            </w:pPr>
            <w:r w:rsidRPr="008631E1">
              <w:rPr>
                <w:b/>
                <w:sz w:val="20"/>
                <w:szCs w:val="20"/>
              </w:rPr>
              <w:t xml:space="preserve">Neinvestiční transfery příspěvkovým                      a podobným organizacím </w:t>
            </w:r>
            <w:r w:rsidRPr="008631E1">
              <w:rPr>
                <w:sz w:val="20"/>
                <w:szCs w:val="20"/>
              </w:rPr>
              <w:t>(</w:t>
            </w:r>
            <w:proofErr w:type="spellStart"/>
            <w:r w:rsidRPr="008631E1">
              <w:rPr>
                <w:sz w:val="20"/>
                <w:szCs w:val="20"/>
              </w:rPr>
              <w:t>podsesk</w:t>
            </w:r>
            <w:proofErr w:type="spellEnd"/>
            <w:r w:rsidRPr="008631E1">
              <w:rPr>
                <w:sz w:val="20"/>
                <w:szCs w:val="20"/>
              </w:rPr>
              <w:t xml:space="preserve"> pol. 533)</w:t>
            </w:r>
          </w:p>
        </w:tc>
        <w:tc>
          <w:tcPr>
            <w:tcW w:w="1418" w:type="dxa"/>
            <w:tcBorders>
              <w:top w:val="single" w:sz="8" w:space="0" w:color="7F7F7F" w:themeColor="text1" w:themeTint="80"/>
              <w:bottom w:val="nil"/>
            </w:tcBorders>
            <w:shd w:val="clear" w:color="auto" w:fill="auto"/>
            <w:vAlign w:val="bottom"/>
          </w:tcPr>
          <w:p w14:paraId="05509E4F" w14:textId="77777777" w:rsidR="00E0328C" w:rsidRPr="004760E8" w:rsidRDefault="00E0328C" w:rsidP="00D25B00">
            <w:pPr>
              <w:ind w:right="10"/>
              <w:jc w:val="right"/>
              <w:rPr>
                <w:b/>
                <w:color w:val="FF0000"/>
                <w:sz w:val="20"/>
                <w:szCs w:val="20"/>
              </w:rPr>
            </w:pPr>
            <w:r w:rsidRPr="008631E1">
              <w:rPr>
                <w:b/>
                <w:sz w:val="20"/>
                <w:szCs w:val="20"/>
              </w:rPr>
              <w:t>174 042</w:t>
            </w:r>
          </w:p>
        </w:tc>
        <w:tc>
          <w:tcPr>
            <w:tcW w:w="1417" w:type="dxa"/>
            <w:tcBorders>
              <w:top w:val="single" w:sz="8" w:space="0" w:color="7F7F7F" w:themeColor="text1" w:themeTint="80"/>
              <w:bottom w:val="nil"/>
            </w:tcBorders>
            <w:shd w:val="clear" w:color="auto" w:fill="auto"/>
            <w:vAlign w:val="bottom"/>
          </w:tcPr>
          <w:p w14:paraId="00D5E83D" w14:textId="77777777" w:rsidR="00E0328C" w:rsidRPr="00111430" w:rsidRDefault="00E0328C" w:rsidP="00D25B00">
            <w:pPr>
              <w:jc w:val="right"/>
              <w:rPr>
                <w:b/>
                <w:sz w:val="20"/>
                <w:szCs w:val="20"/>
              </w:rPr>
            </w:pPr>
            <w:r w:rsidRPr="00111430">
              <w:rPr>
                <w:b/>
                <w:sz w:val="20"/>
                <w:szCs w:val="20"/>
              </w:rPr>
              <w:t>284 945</w:t>
            </w:r>
          </w:p>
        </w:tc>
        <w:tc>
          <w:tcPr>
            <w:tcW w:w="1418" w:type="dxa"/>
            <w:tcBorders>
              <w:top w:val="single" w:sz="8" w:space="0" w:color="7F7F7F" w:themeColor="text1" w:themeTint="80"/>
              <w:bottom w:val="nil"/>
            </w:tcBorders>
            <w:shd w:val="clear" w:color="auto" w:fill="auto"/>
            <w:vAlign w:val="bottom"/>
          </w:tcPr>
          <w:p w14:paraId="293B0DBB" w14:textId="77777777" w:rsidR="00E0328C" w:rsidRPr="00AE1F63" w:rsidRDefault="00E0328C" w:rsidP="00D25B00">
            <w:pPr>
              <w:jc w:val="right"/>
              <w:rPr>
                <w:b/>
                <w:sz w:val="20"/>
                <w:szCs w:val="20"/>
              </w:rPr>
            </w:pPr>
            <w:r w:rsidRPr="00AE1F63">
              <w:rPr>
                <w:b/>
                <w:sz w:val="20"/>
                <w:szCs w:val="20"/>
              </w:rPr>
              <w:t>260 766</w:t>
            </w:r>
          </w:p>
        </w:tc>
        <w:tc>
          <w:tcPr>
            <w:tcW w:w="997" w:type="dxa"/>
            <w:tcBorders>
              <w:top w:val="single" w:sz="8" w:space="0" w:color="7F7F7F" w:themeColor="text1" w:themeTint="80"/>
              <w:bottom w:val="nil"/>
            </w:tcBorders>
            <w:shd w:val="clear" w:color="auto" w:fill="auto"/>
            <w:vAlign w:val="bottom"/>
          </w:tcPr>
          <w:p w14:paraId="598A80CC" w14:textId="77777777" w:rsidR="00E0328C" w:rsidRPr="00AE1F63" w:rsidRDefault="00E0328C" w:rsidP="00D25B00">
            <w:pPr>
              <w:jc w:val="right"/>
              <w:rPr>
                <w:b/>
                <w:sz w:val="20"/>
                <w:szCs w:val="20"/>
              </w:rPr>
            </w:pPr>
            <w:r w:rsidRPr="00AE1F63">
              <w:rPr>
                <w:b/>
                <w:sz w:val="20"/>
                <w:szCs w:val="20"/>
              </w:rPr>
              <w:t>91,51</w:t>
            </w:r>
          </w:p>
        </w:tc>
      </w:tr>
      <w:tr w:rsidR="00E0328C" w:rsidRPr="004760E8" w14:paraId="4D4E86A0" w14:textId="77777777" w:rsidTr="00D25B00">
        <w:tc>
          <w:tcPr>
            <w:tcW w:w="4252" w:type="dxa"/>
            <w:tcBorders>
              <w:top w:val="nil"/>
              <w:bottom w:val="single" w:sz="8" w:space="0" w:color="7F7F7F" w:themeColor="text1" w:themeTint="80"/>
            </w:tcBorders>
            <w:shd w:val="clear" w:color="auto" w:fill="auto"/>
          </w:tcPr>
          <w:p w14:paraId="79DF8D6E" w14:textId="77777777" w:rsidR="00E0328C" w:rsidRPr="008631E1" w:rsidRDefault="00E0328C" w:rsidP="00D25B00">
            <w:pPr>
              <w:tabs>
                <w:tab w:val="left" w:pos="564"/>
              </w:tabs>
              <w:rPr>
                <w:sz w:val="20"/>
                <w:szCs w:val="20"/>
              </w:rPr>
            </w:pPr>
            <w:r w:rsidRPr="008631E1">
              <w:rPr>
                <w:sz w:val="20"/>
                <w:szCs w:val="20"/>
              </w:rPr>
              <w:t xml:space="preserve">      z toho: dopravně správní agendy</w:t>
            </w:r>
          </w:p>
          <w:p w14:paraId="1041B4DE" w14:textId="77777777" w:rsidR="00E0328C" w:rsidRPr="008631E1" w:rsidRDefault="00E0328C" w:rsidP="00D25B00">
            <w:pPr>
              <w:tabs>
                <w:tab w:val="left" w:pos="564"/>
              </w:tabs>
              <w:rPr>
                <w:sz w:val="20"/>
                <w:szCs w:val="20"/>
              </w:rPr>
            </w:pPr>
            <w:r w:rsidRPr="008631E1">
              <w:rPr>
                <w:sz w:val="20"/>
                <w:szCs w:val="20"/>
              </w:rPr>
              <w:t xml:space="preserve">                  výzkum, vývoj a inovace</w:t>
            </w:r>
          </w:p>
          <w:p w14:paraId="43C45E86" w14:textId="77777777" w:rsidR="00E0328C" w:rsidRPr="008631E1" w:rsidRDefault="00E0328C" w:rsidP="00D25B00">
            <w:pPr>
              <w:rPr>
                <w:sz w:val="20"/>
                <w:szCs w:val="20"/>
              </w:rPr>
            </w:pPr>
            <w:r w:rsidRPr="008631E1">
              <w:rPr>
                <w:sz w:val="20"/>
                <w:szCs w:val="20"/>
              </w:rPr>
              <w:t xml:space="preserve">                  programové financování (EDS/SMVS)</w:t>
            </w:r>
          </w:p>
          <w:p w14:paraId="5F6B0528" w14:textId="77777777" w:rsidR="00E0328C" w:rsidRPr="008631E1" w:rsidRDefault="00E0328C" w:rsidP="00D25B00">
            <w:pPr>
              <w:rPr>
                <w:sz w:val="20"/>
                <w:szCs w:val="20"/>
              </w:rPr>
            </w:pPr>
            <w:r w:rsidRPr="008631E1">
              <w:rPr>
                <w:sz w:val="20"/>
                <w:szCs w:val="20"/>
              </w:rPr>
              <w:t xml:space="preserve">                  prostředky EU</w:t>
            </w:r>
          </w:p>
        </w:tc>
        <w:tc>
          <w:tcPr>
            <w:tcW w:w="1418" w:type="dxa"/>
            <w:tcBorders>
              <w:top w:val="nil"/>
              <w:bottom w:val="single" w:sz="8" w:space="0" w:color="7F7F7F" w:themeColor="text1" w:themeTint="80"/>
            </w:tcBorders>
            <w:shd w:val="clear" w:color="auto" w:fill="auto"/>
            <w:vAlign w:val="bottom"/>
          </w:tcPr>
          <w:p w14:paraId="27B1BE80" w14:textId="77777777" w:rsidR="00E0328C" w:rsidRPr="00AF4E10" w:rsidRDefault="00E0328C" w:rsidP="00D25B00">
            <w:pPr>
              <w:ind w:right="10"/>
              <w:jc w:val="right"/>
              <w:rPr>
                <w:sz w:val="20"/>
                <w:szCs w:val="20"/>
              </w:rPr>
            </w:pPr>
            <w:r w:rsidRPr="00AF4E10">
              <w:rPr>
                <w:sz w:val="20"/>
                <w:szCs w:val="20"/>
              </w:rPr>
              <w:t>45 000</w:t>
            </w:r>
          </w:p>
          <w:p w14:paraId="68E60EB6" w14:textId="77777777" w:rsidR="00E0328C" w:rsidRPr="008631E1" w:rsidRDefault="00E0328C" w:rsidP="00D25B00">
            <w:pPr>
              <w:ind w:right="10"/>
              <w:jc w:val="right"/>
              <w:rPr>
                <w:sz w:val="20"/>
                <w:szCs w:val="20"/>
              </w:rPr>
            </w:pPr>
            <w:r w:rsidRPr="008631E1">
              <w:rPr>
                <w:sz w:val="20"/>
                <w:szCs w:val="20"/>
              </w:rPr>
              <w:t>53 000</w:t>
            </w:r>
          </w:p>
          <w:p w14:paraId="5CCF50A1" w14:textId="77777777" w:rsidR="00E0328C" w:rsidRPr="008631E1" w:rsidRDefault="00E0328C" w:rsidP="00D25B00">
            <w:pPr>
              <w:ind w:right="10"/>
              <w:jc w:val="right"/>
              <w:rPr>
                <w:sz w:val="20"/>
                <w:szCs w:val="20"/>
              </w:rPr>
            </w:pPr>
            <w:r w:rsidRPr="008631E1">
              <w:rPr>
                <w:sz w:val="20"/>
                <w:szCs w:val="20"/>
              </w:rPr>
              <w:t>4 832</w:t>
            </w:r>
          </w:p>
          <w:p w14:paraId="18551BA3" w14:textId="77777777" w:rsidR="00E0328C" w:rsidRPr="004760E8" w:rsidRDefault="00E0328C" w:rsidP="00D25B00">
            <w:pPr>
              <w:ind w:right="10"/>
              <w:jc w:val="right"/>
              <w:rPr>
                <w:color w:val="FF0000"/>
                <w:sz w:val="20"/>
                <w:szCs w:val="20"/>
              </w:rPr>
            </w:pPr>
            <w:r w:rsidRPr="004760E8">
              <w:rPr>
                <w:color w:val="FF0000"/>
                <w:sz w:val="20"/>
                <w:szCs w:val="20"/>
              </w:rPr>
              <w:t xml:space="preserve">              </w:t>
            </w:r>
            <w:r w:rsidRPr="008631E1">
              <w:rPr>
                <w:sz w:val="20"/>
                <w:szCs w:val="20"/>
              </w:rPr>
              <w:t xml:space="preserve">2 725     </w:t>
            </w:r>
          </w:p>
        </w:tc>
        <w:tc>
          <w:tcPr>
            <w:tcW w:w="1417" w:type="dxa"/>
            <w:tcBorders>
              <w:top w:val="nil"/>
              <w:bottom w:val="single" w:sz="8" w:space="0" w:color="7F7F7F" w:themeColor="text1" w:themeTint="80"/>
            </w:tcBorders>
            <w:shd w:val="clear" w:color="auto" w:fill="auto"/>
            <w:vAlign w:val="center"/>
          </w:tcPr>
          <w:p w14:paraId="14120C51" w14:textId="77777777" w:rsidR="00E0328C" w:rsidRPr="00111430" w:rsidRDefault="00E0328C" w:rsidP="00D25B00">
            <w:pPr>
              <w:jc w:val="right"/>
              <w:rPr>
                <w:sz w:val="20"/>
                <w:szCs w:val="20"/>
              </w:rPr>
            </w:pPr>
            <w:r w:rsidRPr="00111430">
              <w:rPr>
                <w:sz w:val="20"/>
                <w:szCs w:val="20"/>
              </w:rPr>
              <w:t>55 364</w:t>
            </w:r>
          </w:p>
          <w:p w14:paraId="136F3993" w14:textId="77777777" w:rsidR="00E0328C" w:rsidRPr="00111430" w:rsidRDefault="00E0328C" w:rsidP="00D25B00">
            <w:pPr>
              <w:jc w:val="right"/>
              <w:rPr>
                <w:sz w:val="20"/>
                <w:szCs w:val="20"/>
              </w:rPr>
            </w:pPr>
            <w:r w:rsidRPr="00111430">
              <w:rPr>
                <w:sz w:val="20"/>
                <w:szCs w:val="20"/>
              </w:rPr>
              <w:t>81 060</w:t>
            </w:r>
          </w:p>
          <w:p w14:paraId="2D006E15" w14:textId="77777777" w:rsidR="00E0328C" w:rsidRPr="00111430" w:rsidRDefault="00E0328C" w:rsidP="00D25B00">
            <w:pPr>
              <w:jc w:val="right"/>
              <w:rPr>
                <w:sz w:val="20"/>
                <w:szCs w:val="20"/>
              </w:rPr>
            </w:pPr>
            <w:r w:rsidRPr="00111430">
              <w:rPr>
                <w:sz w:val="20"/>
                <w:szCs w:val="20"/>
              </w:rPr>
              <w:t>571</w:t>
            </w:r>
          </w:p>
          <w:p w14:paraId="048BDF85" w14:textId="77777777" w:rsidR="00E0328C" w:rsidRPr="00111430" w:rsidRDefault="00E0328C" w:rsidP="00D25B00">
            <w:pPr>
              <w:jc w:val="right"/>
              <w:rPr>
                <w:sz w:val="20"/>
                <w:szCs w:val="20"/>
              </w:rPr>
            </w:pPr>
            <w:r w:rsidRPr="00111430">
              <w:rPr>
                <w:sz w:val="20"/>
                <w:szCs w:val="20"/>
              </w:rPr>
              <w:t>2 571</w:t>
            </w:r>
          </w:p>
        </w:tc>
        <w:tc>
          <w:tcPr>
            <w:tcW w:w="1418" w:type="dxa"/>
            <w:tcBorders>
              <w:top w:val="nil"/>
              <w:bottom w:val="single" w:sz="8" w:space="0" w:color="7F7F7F" w:themeColor="text1" w:themeTint="80"/>
            </w:tcBorders>
            <w:shd w:val="clear" w:color="auto" w:fill="auto"/>
            <w:vAlign w:val="center"/>
          </w:tcPr>
          <w:p w14:paraId="050A9429" w14:textId="77777777" w:rsidR="00E0328C" w:rsidRPr="00AE1F63" w:rsidRDefault="00E0328C" w:rsidP="00D25B00">
            <w:pPr>
              <w:jc w:val="right"/>
              <w:rPr>
                <w:sz w:val="20"/>
                <w:szCs w:val="20"/>
              </w:rPr>
            </w:pPr>
            <w:r w:rsidRPr="00AE1F63">
              <w:rPr>
                <w:sz w:val="20"/>
                <w:szCs w:val="20"/>
              </w:rPr>
              <w:t>58 041</w:t>
            </w:r>
          </w:p>
          <w:p w14:paraId="01E2AE22" w14:textId="77777777" w:rsidR="00E0328C" w:rsidRPr="00AE1F63" w:rsidRDefault="00E0328C" w:rsidP="00D25B00">
            <w:pPr>
              <w:jc w:val="right"/>
              <w:rPr>
                <w:sz w:val="20"/>
                <w:szCs w:val="20"/>
              </w:rPr>
            </w:pPr>
            <w:r w:rsidRPr="00AE1F63">
              <w:rPr>
                <w:sz w:val="20"/>
                <w:szCs w:val="20"/>
              </w:rPr>
              <w:t>67 663</w:t>
            </w:r>
          </w:p>
          <w:p w14:paraId="703EFB88" w14:textId="77777777" w:rsidR="00E0328C" w:rsidRPr="00AE1F63" w:rsidRDefault="00E0328C" w:rsidP="00D25B00">
            <w:pPr>
              <w:jc w:val="right"/>
              <w:rPr>
                <w:sz w:val="20"/>
                <w:szCs w:val="20"/>
              </w:rPr>
            </w:pPr>
            <w:r w:rsidRPr="00AE1F63">
              <w:rPr>
                <w:sz w:val="20"/>
                <w:szCs w:val="20"/>
              </w:rPr>
              <w:t>480</w:t>
            </w:r>
          </w:p>
          <w:p w14:paraId="3B447E8E" w14:textId="77777777" w:rsidR="00E0328C" w:rsidRPr="00AE1F63" w:rsidRDefault="00E0328C" w:rsidP="00D25B00">
            <w:pPr>
              <w:jc w:val="right"/>
              <w:rPr>
                <w:sz w:val="20"/>
                <w:szCs w:val="20"/>
              </w:rPr>
            </w:pPr>
            <w:r w:rsidRPr="00AE1F63">
              <w:rPr>
                <w:sz w:val="20"/>
                <w:szCs w:val="20"/>
              </w:rPr>
              <w:t>480</w:t>
            </w:r>
          </w:p>
        </w:tc>
        <w:tc>
          <w:tcPr>
            <w:tcW w:w="997" w:type="dxa"/>
            <w:tcBorders>
              <w:top w:val="nil"/>
              <w:bottom w:val="single" w:sz="8" w:space="0" w:color="7F7F7F" w:themeColor="text1" w:themeTint="80"/>
            </w:tcBorders>
            <w:shd w:val="clear" w:color="auto" w:fill="auto"/>
            <w:vAlign w:val="center"/>
          </w:tcPr>
          <w:p w14:paraId="4DB7D897" w14:textId="77777777" w:rsidR="00E0328C" w:rsidRPr="00AE1F63" w:rsidRDefault="00E0328C" w:rsidP="00D25B00">
            <w:pPr>
              <w:jc w:val="right"/>
              <w:rPr>
                <w:sz w:val="20"/>
                <w:szCs w:val="20"/>
              </w:rPr>
            </w:pPr>
            <w:r w:rsidRPr="00AE1F63">
              <w:rPr>
                <w:sz w:val="20"/>
                <w:szCs w:val="20"/>
              </w:rPr>
              <w:t>104,84</w:t>
            </w:r>
          </w:p>
          <w:p w14:paraId="20FCEBE1" w14:textId="77777777" w:rsidR="00E0328C" w:rsidRPr="00AE1F63" w:rsidRDefault="00E0328C" w:rsidP="00D25B00">
            <w:pPr>
              <w:jc w:val="right"/>
              <w:rPr>
                <w:sz w:val="20"/>
                <w:szCs w:val="20"/>
              </w:rPr>
            </w:pPr>
            <w:r w:rsidRPr="00AE1F63">
              <w:rPr>
                <w:sz w:val="20"/>
                <w:szCs w:val="20"/>
              </w:rPr>
              <w:t>83,47</w:t>
            </w:r>
          </w:p>
          <w:p w14:paraId="21F1D41B" w14:textId="77777777" w:rsidR="00E0328C" w:rsidRPr="00AE1F63" w:rsidRDefault="00E0328C" w:rsidP="00D25B00">
            <w:pPr>
              <w:jc w:val="right"/>
              <w:rPr>
                <w:sz w:val="20"/>
                <w:szCs w:val="20"/>
              </w:rPr>
            </w:pPr>
            <w:r w:rsidRPr="00AE1F63">
              <w:rPr>
                <w:sz w:val="20"/>
                <w:szCs w:val="20"/>
              </w:rPr>
              <w:t>84,06</w:t>
            </w:r>
          </w:p>
          <w:p w14:paraId="5562E095" w14:textId="77777777" w:rsidR="00E0328C" w:rsidRPr="00AE1F63" w:rsidRDefault="00E0328C" w:rsidP="00D25B00">
            <w:pPr>
              <w:jc w:val="right"/>
              <w:rPr>
                <w:sz w:val="20"/>
                <w:szCs w:val="20"/>
              </w:rPr>
            </w:pPr>
            <w:r w:rsidRPr="00AE1F63">
              <w:rPr>
                <w:sz w:val="20"/>
                <w:szCs w:val="20"/>
              </w:rPr>
              <w:t>18,67</w:t>
            </w:r>
          </w:p>
        </w:tc>
      </w:tr>
      <w:tr w:rsidR="00E0328C" w:rsidRPr="004760E8" w14:paraId="4FBED654" w14:textId="77777777" w:rsidTr="00D25B00">
        <w:trPr>
          <w:trHeight w:val="450"/>
        </w:trPr>
        <w:tc>
          <w:tcPr>
            <w:tcW w:w="4252" w:type="dxa"/>
            <w:tcBorders>
              <w:top w:val="single" w:sz="8" w:space="0" w:color="7F7F7F" w:themeColor="text1" w:themeTint="80"/>
              <w:bottom w:val="nil"/>
            </w:tcBorders>
            <w:shd w:val="clear" w:color="auto" w:fill="auto"/>
          </w:tcPr>
          <w:p w14:paraId="588F8170" w14:textId="77777777" w:rsidR="00E0328C" w:rsidRPr="009803F0" w:rsidRDefault="00E0328C" w:rsidP="00D25B00">
            <w:pPr>
              <w:jc w:val="left"/>
              <w:rPr>
                <w:b/>
                <w:sz w:val="20"/>
                <w:szCs w:val="20"/>
              </w:rPr>
            </w:pPr>
            <w:r w:rsidRPr="009803F0">
              <w:rPr>
                <w:b/>
                <w:sz w:val="20"/>
                <w:szCs w:val="20"/>
              </w:rPr>
              <w:t xml:space="preserve">Neinvestiční dotace neziskovým a podobným organizacím </w:t>
            </w:r>
            <w:r w:rsidRPr="009803F0">
              <w:rPr>
                <w:sz w:val="20"/>
                <w:szCs w:val="20"/>
              </w:rPr>
              <w:t>(</w:t>
            </w:r>
            <w:proofErr w:type="spellStart"/>
            <w:r w:rsidRPr="009803F0">
              <w:rPr>
                <w:sz w:val="20"/>
                <w:szCs w:val="20"/>
              </w:rPr>
              <w:t>podsesk</w:t>
            </w:r>
            <w:proofErr w:type="spellEnd"/>
            <w:r w:rsidRPr="009803F0">
              <w:rPr>
                <w:sz w:val="20"/>
                <w:szCs w:val="20"/>
              </w:rPr>
              <w:t>. pol. 522)</w:t>
            </w:r>
          </w:p>
        </w:tc>
        <w:tc>
          <w:tcPr>
            <w:tcW w:w="1418" w:type="dxa"/>
            <w:tcBorders>
              <w:top w:val="single" w:sz="8" w:space="0" w:color="7F7F7F" w:themeColor="text1" w:themeTint="80"/>
              <w:bottom w:val="nil"/>
            </w:tcBorders>
            <w:shd w:val="clear" w:color="auto" w:fill="auto"/>
            <w:vAlign w:val="bottom"/>
          </w:tcPr>
          <w:p w14:paraId="14659350" w14:textId="77777777" w:rsidR="00E0328C" w:rsidRPr="009803F0" w:rsidRDefault="00E0328C" w:rsidP="00D25B00">
            <w:pPr>
              <w:jc w:val="right"/>
              <w:rPr>
                <w:b/>
                <w:sz w:val="20"/>
                <w:szCs w:val="20"/>
              </w:rPr>
            </w:pPr>
            <w:r w:rsidRPr="009803F0">
              <w:rPr>
                <w:b/>
                <w:sz w:val="20"/>
                <w:szCs w:val="20"/>
              </w:rPr>
              <w:t>10 533</w:t>
            </w:r>
          </w:p>
        </w:tc>
        <w:tc>
          <w:tcPr>
            <w:tcW w:w="1417" w:type="dxa"/>
            <w:tcBorders>
              <w:top w:val="single" w:sz="8" w:space="0" w:color="7F7F7F" w:themeColor="text1" w:themeTint="80"/>
              <w:bottom w:val="nil"/>
            </w:tcBorders>
            <w:shd w:val="clear" w:color="auto" w:fill="auto"/>
            <w:vAlign w:val="bottom"/>
          </w:tcPr>
          <w:p w14:paraId="17D10D93" w14:textId="77777777" w:rsidR="00E0328C" w:rsidRPr="00111430" w:rsidRDefault="00E0328C" w:rsidP="00D25B00">
            <w:pPr>
              <w:jc w:val="right"/>
              <w:rPr>
                <w:b/>
                <w:sz w:val="20"/>
                <w:szCs w:val="20"/>
              </w:rPr>
            </w:pPr>
            <w:r w:rsidRPr="00111430">
              <w:rPr>
                <w:b/>
                <w:sz w:val="20"/>
                <w:szCs w:val="20"/>
              </w:rPr>
              <w:t>10 460</w:t>
            </w:r>
          </w:p>
        </w:tc>
        <w:tc>
          <w:tcPr>
            <w:tcW w:w="1418" w:type="dxa"/>
            <w:tcBorders>
              <w:top w:val="single" w:sz="8" w:space="0" w:color="7F7F7F" w:themeColor="text1" w:themeTint="80"/>
              <w:bottom w:val="nil"/>
            </w:tcBorders>
            <w:shd w:val="clear" w:color="auto" w:fill="auto"/>
            <w:vAlign w:val="bottom"/>
          </w:tcPr>
          <w:p w14:paraId="4A028C01" w14:textId="77777777" w:rsidR="00E0328C" w:rsidRPr="00AE1F63" w:rsidRDefault="00E0328C" w:rsidP="00D25B00">
            <w:pPr>
              <w:jc w:val="right"/>
              <w:rPr>
                <w:b/>
                <w:sz w:val="20"/>
                <w:szCs w:val="20"/>
              </w:rPr>
            </w:pPr>
            <w:r w:rsidRPr="00AE1F63">
              <w:rPr>
                <w:b/>
                <w:sz w:val="20"/>
                <w:szCs w:val="20"/>
              </w:rPr>
              <w:t>10 933</w:t>
            </w:r>
          </w:p>
        </w:tc>
        <w:tc>
          <w:tcPr>
            <w:tcW w:w="997" w:type="dxa"/>
            <w:tcBorders>
              <w:top w:val="single" w:sz="8" w:space="0" w:color="7F7F7F" w:themeColor="text1" w:themeTint="80"/>
              <w:bottom w:val="nil"/>
            </w:tcBorders>
            <w:shd w:val="clear" w:color="auto" w:fill="auto"/>
            <w:vAlign w:val="bottom"/>
          </w:tcPr>
          <w:p w14:paraId="5EC1E6C4" w14:textId="77777777" w:rsidR="00E0328C" w:rsidRPr="00AE1F63" w:rsidRDefault="00E0328C" w:rsidP="00D25B00">
            <w:pPr>
              <w:jc w:val="right"/>
              <w:rPr>
                <w:b/>
                <w:sz w:val="20"/>
                <w:szCs w:val="20"/>
              </w:rPr>
            </w:pPr>
            <w:r w:rsidRPr="00AE1F63">
              <w:rPr>
                <w:b/>
                <w:sz w:val="20"/>
                <w:szCs w:val="20"/>
              </w:rPr>
              <w:t>104,52</w:t>
            </w:r>
          </w:p>
        </w:tc>
      </w:tr>
      <w:tr w:rsidR="00E0328C" w:rsidRPr="004760E8" w14:paraId="0A9E4569" w14:textId="77777777" w:rsidTr="00D25B00">
        <w:trPr>
          <w:trHeight w:val="398"/>
        </w:trPr>
        <w:tc>
          <w:tcPr>
            <w:tcW w:w="4252" w:type="dxa"/>
            <w:tcBorders>
              <w:top w:val="nil"/>
              <w:bottom w:val="single" w:sz="8" w:space="0" w:color="7F7F7F" w:themeColor="text1" w:themeTint="80"/>
            </w:tcBorders>
            <w:shd w:val="clear" w:color="auto" w:fill="auto"/>
          </w:tcPr>
          <w:p w14:paraId="67312849" w14:textId="77777777" w:rsidR="00E0328C" w:rsidRPr="009803F0" w:rsidRDefault="00E0328C" w:rsidP="00D25B00">
            <w:pPr>
              <w:rPr>
                <w:sz w:val="20"/>
                <w:szCs w:val="20"/>
              </w:rPr>
            </w:pPr>
            <w:r w:rsidRPr="009803F0">
              <w:rPr>
                <w:sz w:val="20"/>
                <w:szCs w:val="20"/>
              </w:rPr>
              <w:t xml:space="preserve">      z toho: programové financování (EDS/SMVS)</w:t>
            </w:r>
          </w:p>
          <w:p w14:paraId="63E35534" w14:textId="77777777" w:rsidR="00E0328C" w:rsidRPr="009803F0" w:rsidRDefault="00E0328C" w:rsidP="00D25B00">
            <w:pPr>
              <w:rPr>
                <w:sz w:val="20"/>
                <w:szCs w:val="20"/>
              </w:rPr>
            </w:pPr>
            <w:r w:rsidRPr="009803F0">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2348A02E" w14:textId="77777777" w:rsidR="00E0328C" w:rsidRPr="009803F0" w:rsidRDefault="00E0328C" w:rsidP="00D25B00">
            <w:pPr>
              <w:jc w:val="right"/>
              <w:rPr>
                <w:sz w:val="20"/>
                <w:szCs w:val="20"/>
              </w:rPr>
            </w:pPr>
            <w:r w:rsidRPr="009803F0">
              <w:rPr>
                <w:sz w:val="20"/>
                <w:szCs w:val="20"/>
              </w:rPr>
              <w:t>1 244</w:t>
            </w:r>
          </w:p>
          <w:p w14:paraId="3435DAF4" w14:textId="77777777" w:rsidR="00E0328C" w:rsidRPr="009803F0" w:rsidRDefault="00E0328C" w:rsidP="00D25B00">
            <w:pPr>
              <w:jc w:val="right"/>
              <w:rPr>
                <w:sz w:val="20"/>
                <w:szCs w:val="20"/>
              </w:rPr>
            </w:pPr>
            <w:r w:rsidRPr="009803F0">
              <w:rPr>
                <w:sz w:val="20"/>
                <w:szCs w:val="20"/>
              </w:rPr>
              <w:t>0</w:t>
            </w:r>
          </w:p>
        </w:tc>
        <w:tc>
          <w:tcPr>
            <w:tcW w:w="1417" w:type="dxa"/>
            <w:tcBorders>
              <w:top w:val="nil"/>
              <w:bottom w:val="single" w:sz="8" w:space="0" w:color="7F7F7F" w:themeColor="text1" w:themeTint="80"/>
            </w:tcBorders>
            <w:shd w:val="clear" w:color="auto" w:fill="auto"/>
            <w:vAlign w:val="center"/>
          </w:tcPr>
          <w:p w14:paraId="111D9F1B" w14:textId="77777777" w:rsidR="00E0328C" w:rsidRPr="00111430" w:rsidRDefault="00E0328C" w:rsidP="00D25B00">
            <w:pPr>
              <w:jc w:val="right"/>
              <w:rPr>
                <w:sz w:val="20"/>
                <w:szCs w:val="20"/>
              </w:rPr>
            </w:pPr>
            <w:r w:rsidRPr="00111430">
              <w:rPr>
                <w:sz w:val="20"/>
                <w:szCs w:val="20"/>
              </w:rPr>
              <w:t>0</w:t>
            </w:r>
          </w:p>
          <w:p w14:paraId="386D87D4" w14:textId="77777777" w:rsidR="00E0328C" w:rsidRPr="00111430" w:rsidRDefault="00E0328C" w:rsidP="00D25B00">
            <w:pPr>
              <w:jc w:val="right"/>
              <w:rPr>
                <w:sz w:val="20"/>
                <w:szCs w:val="20"/>
              </w:rPr>
            </w:pPr>
            <w:r w:rsidRPr="00111430">
              <w:rPr>
                <w:sz w:val="20"/>
                <w:szCs w:val="20"/>
              </w:rPr>
              <w:t>0</w:t>
            </w:r>
          </w:p>
        </w:tc>
        <w:tc>
          <w:tcPr>
            <w:tcW w:w="1418" w:type="dxa"/>
            <w:tcBorders>
              <w:top w:val="nil"/>
              <w:bottom w:val="single" w:sz="8" w:space="0" w:color="7F7F7F" w:themeColor="text1" w:themeTint="80"/>
            </w:tcBorders>
            <w:shd w:val="clear" w:color="auto" w:fill="auto"/>
            <w:vAlign w:val="center"/>
          </w:tcPr>
          <w:p w14:paraId="5D00B29F" w14:textId="77777777" w:rsidR="00E0328C" w:rsidRPr="00AE1F63" w:rsidRDefault="00E0328C" w:rsidP="00D25B00">
            <w:pPr>
              <w:jc w:val="right"/>
              <w:rPr>
                <w:sz w:val="20"/>
                <w:szCs w:val="20"/>
              </w:rPr>
            </w:pPr>
            <w:r w:rsidRPr="00AE1F63">
              <w:rPr>
                <w:sz w:val="20"/>
                <w:szCs w:val="20"/>
              </w:rPr>
              <w:t>0</w:t>
            </w:r>
          </w:p>
          <w:p w14:paraId="7ED15919" w14:textId="77777777" w:rsidR="00E0328C" w:rsidRPr="00AE1F63" w:rsidRDefault="00E0328C" w:rsidP="00D25B00">
            <w:pPr>
              <w:jc w:val="right"/>
              <w:rPr>
                <w:sz w:val="20"/>
                <w:szCs w:val="20"/>
              </w:rPr>
            </w:pPr>
            <w:r w:rsidRPr="00AE1F63">
              <w:rPr>
                <w:sz w:val="20"/>
                <w:szCs w:val="20"/>
              </w:rPr>
              <w:t>0</w:t>
            </w:r>
          </w:p>
        </w:tc>
        <w:tc>
          <w:tcPr>
            <w:tcW w:w="997" w:type="dxa"/>
            <w:tcBorders>
              <w:top w:val="nil"/>
              <w:bottom w:val="single" w:sz="8" w:space="0" w:color="7F7F7F" w:themeColor="text1" w:themeTint="80"/>
            </w:tcBorders>
            <w:shd w:val="clear" w:color="auto" w:fill="auto"/>
            <w:vAlign w:val="center"/>
          </w:tcPr>
          <w:p w14:paraId="4053FE08" w14:textId="77777777" w:rsidR="00E0328C" w:rsidRPr="00AE1F63" w:rsidRDefault="00E0328C" w:rsidP="00D25B00">
            <w:pPr>
              <w:jc w:val="right"/>
              <w:rPr>
                <w:sz w:val="20"/>
                <w:szCs w:val="20"/>
              </w:rPr>
            </w:pPr>
            <w:r w:rsidRPr="00AE1F63">
              <w:rPr>
                <w:sz w:val="20"/>
                <w:szCs w:val="20"/>
              </w:rPr>
              <w:t>x</w:t>
            </w:r>
          </w:p>
          <w:p w14:paraId="71454CC0" w14:textId="77777777" w:rsidR="00E0328C" w:rsidRPr="00AE1F63" w:rsidRDefault="00E0328C" w:rsidP="00D25B00">
            <w:pPr>
              <w:jc w:val="right"/>
              <w:rPr>
                <w:b/>
                <w:sz w:val="20"/>
                <w:szCs w:val="20"/>
              </w:rPr>
            </w:pPr>
            <w:r w:rsidRPr="00AE1F63">
              <w:rPr>
                <w:sz w:val="20"/>
                <w:szCs w:val="20"/>
              </w:rPr>
              <w:t>x</w:t>
            </w:r>
          </w:p>
        </w:tc>
      </w:tr>
      <w:tr w:rsidR="00E0328C" w:rsidRPr="004760E8" w14:paraId="22280472" w14:textId="77777777" w:rsidTr="00D25B00">
        <w:trPr>
          <w:trHeight w:val="431"/>
        </w:trPr>
        <w:tc>
          <w:tcPr>
            <w:tcW w:w="4252" w:type="dxa"/>
            <w:tcBorders>
              <w:top w:val="single" w:sz="8" w:space="0" w:color="7F7F7F" w:themeColor="text1" w:themeTint="80"/>
              <w:bottom w:val="nil"/>
            </w:tcBorders>
            <w:shd w:val="clear" w:color="auto" w:fill="auto"/>
          </w:tcPr>
          <w:p w14:paraId="74D970BC" w14:textId="77777777" w:rsidR="00E0328C" w:rsidRPr="00AC519B" w:rsidRDefault="00E0328C" w:rsidP="00D25B00">
            <w:pPr>
              <w:jc w:val="left"/>
              <w:rPr>
                <w:b/>
                <w:sz w:val="20"/>
                <w:szCs w:val="20"/>
              </w:rPr>
            </w:pPr>
            <w:r w:rsidRPr="00AC519B">
              <w:rPr>
                <w:b/>
                <w:sz w:val="20"/>
                <w:szCs w:val="20"/>
              </w:rPr>
              <w:t xml:space="preserve">Neinvestiční transfery veřejným rozpočtům územní úrovně </w:t>
            </w:r>
            <w:r w:rsidRPr="00AC519B">
              <w:rPr>
                <w:sz w:val="20"/>
                <w:szCs w:val="20"/>
              </w:rPr>
              <w:t>(</w:t>
            </w:r>
            <w:proofErr w:type="spellStart"/>
            <w:r w:rsidRPr="00AC519B">
              <w:rPr>
                <w:sz w:val="20"/>
                <w:szCs w:val="20"/>
              </w:rPr>
              <w:t>podsesk</w:t>
            </w:r>
            <w:proofErr w:type="spellEnd"/>
            <w:r w:rsidRPr="00AC519B">
              <w:rPr>
                <w:sz w:val="20"/>
                <w:szCs w:val="20"/>
              </w:rPr>
              <w:t>. pol. 532)</w:t>
            </w:r>
          </w:p>
        </w:tc>
        <w:tc>
          <w:tcPr>
            <w:tcW w:w="1418" w:type="dxa"/>
            <w:tcBorders>
              <w:top w:val="single" w:sz="8" w:space="0" w:color="7F7F7F" w:themeColor="text1" w:themeTint="80"/>
              <w:bottom w:val="nil"/>
            </w:tcBorders>
            <w:shd w:val="clear" w:color="auto" w:fill="auto"/>
            <w:vAlign w:val="bottom"/>
          </w:tcPr>
          <w:p w14:paraId="54C6C0DA" w14:textId="77777777" w:rsidR="00E0328C" w:rsidRPr="00AC519B" w:rsidRDefault="00E0328C" w:rsidP="00D25B00">
            <w:pPr>
              <w:ind w:right="10"/>
              <w:jc w:val="right"/>
              <w:rPr>
                <w:sz w:val="20"/>
                <w:szCs w:val="20"/>
              </w:rPr>
            </w:pPr>
            <w:r w:rsidRPr="00AC519B">
              <w:rPr>
                <w:b/>
                <w:sz w:val="20"/>
                <w:szCs w:val="20"/>
              </w:rPr>
              <w:t>3 405 751</w:t>
            </w:r>
          </w:p>
        </w:tc>
        <w:tc>
          <w:tcPr>
            <w:tcW w:w="1417" w:type="dxa"/>
            <w:tcBorders>
              <w:top w:val="single" w:sz="8" w:space="0" w:color="7F7F7F" w:themeColor="text1" w:themeTint="80"/>
              <w:bottom w:val="nil"/>
            </w:tcBorders>
            <w:shd w:val="clear" w:color="auto" w:fill="auto"/>
            <w:vAlign w:val="bottom"/>
          </w:tcPr>
          <w:p w14:paraId="67E13C0A" w14:textId="77777777" w:rsidR="00E0328C" w:rsidRPr="00111430" w:rsidRDefault="00E0328C" w:rsidP="00D25B00">
            <w:pPr>
              <w:jc w:val="right"/>
              <w:rPr>
                <w:sz w:val="20"/>
                <w:szCs w:val="20"/>
              </w:rPr>
            </w:pPr>
            <w:r w:rsidRPr="00111430">
              <w:rPr>
                <w:b/>
                <w:sz w:val="20"/>
                <w:szCs w:val="20"/>
              </w:rPr>
              <w:t xml:space="preserve">3 484 211 </w:t>
            </w:r>
          </w:p>
        </w:tc>
        <w:tc>
          <w:tcPr>
            <w:tcW w:w="1418" w:type="dxa"/>
            <w:tcBorders>
              <w:top w:val="single" w:sz="8" w:space="0" w:color="7F7F7F" w:themeColor="text1" w:themeTint="80"/>
              <w:bottom w:val="nil"/>
            </w:tcBorders>
            <w:shd w:val="clear" w:color="auto" w:fill="auto"/>
            <w:vAlign w:val="bottom"/>
          </w:tcPr>
          <w:p w14:paraId="46C94B76" w14:textId="77777777" w:rsidR="00E0328C" w:rsidRPr="00AE1F63" w:rsidRDefault="00E0328C" w:rsidP="00D25B00">
            <w:pPr>
              <w:jc w:val="right"/>
              <w:rPr>
                <w:sz w:val="20"/>
                <w:szCs w:val="20"/>
              </w:rPr>
            </w:pPr>
            <w:r w:rsidRPr="00AE1F63">
              <w:rPr>
                <w:b/>
                <w:sz w:val="20"/>
                <w:szCs w:val="20"/>
              </w:rPr>
              <w:t xml:space="preserve">3 608 251 </w:t>
            </w:r>
          </w:p>
        </w:tc>
        <w:tc>
          <w:tcPr>
            <w:tcW w:w="997" w:type="dxa"/>
            <w:tcBorders>
              <w:top w:val="single" w:sz="8" w:space="0" w:color="7F7F7F" w:themeColor="text1" w:themeTint="80"/>
              <w:bottom w:val="nil"/>
            </w:tcBorders>
            <w:shd w:val="clear" w:color="auto" w:fill="auto"/>
            <w:vAlign w:val="bottom"/>
          </w:tcPr>
          <w:p w14:paraId="3360C310" w14:textId="77777777" w:rsidR="00E0328C" w:rsidRPr="00AE1F63" w:rsidRDefault="00E0328C" w:rsidP="00D25B00">
            <w:pPr>
              <w:jc w:val="right"/>
              <w:rPr>
                <w:sz w:val="20"/>
                <w:szCs w:val="20"/>
              </w:rPr>
            </w:pPr>
            <w:r w:rsidRPr="00AE1F63">
              <w:rPr>
                <w:b/>
                <w:sz w:val="20"/>
                <w:szCs w:val="20"/>
              </w:rPr>
              <w:t>103,56</w:t>
            </w:r>
          </w:p>
        </w:tc>
      </w:tr>
      <w:tr w:rsidR="00E0328C" w:rsidRPr="004760E8" w14:paraId="3C10E9FD" w14:textId="77777777" w:rsidTr="00D25B00">
        <w:tc>
          <w:tcPr>
            <w:tcW w:w="4252" w:type="dxa"/>
            <w:tcBorders>
              <w:top w:val="nil"/>
              <w:bottom w:val="single" w:sz="8" w:space="0" w:color="7F7F7F" w:themeColor="text1" w:themeTint="80"/>
            </w:tcBorders>
            <w:shd w:val="clear" w:color="auto" w:fill="auto"/>
          </w:tcPr>
          <w:p w14:paraId="743F55C3" w14:textId="77777777" w:rsidR="00E0328C" w:rsidRPr="00AC519B" w:rsidRDefault="00E0328C" w:rsidP="00D25B00">
            <w:pPr>
              <w:tabs>
                <w:tab w:val="left" w:pos="367"/>
              </w:tabs>
              <w:rPr>
                <w:sz w:val="20"/>
                <w:szCs w:val="20"/>
              </w:rPr>
            </w:pPr>
            <w:r w:rsidRPr="00AC519B">
              <w:rPr>
                <w:sz w:val="20"/>
                <w:szCs w:val="20"/>
              </w:rPr>
              <w:t xml:space="preserve">      z toho: programové financování (EDS/SMVS)</w:t>
            </w:r>
          </w:p>
          <w:p w14:paraId="3CCA1D90" w14:textId="77777777" w:rsidR="00E0328C" w:rsidRPr="00AC519B" w:rsidRDefault="00E0328C" w:rsidP="00D25B00">
            <w:pPr>
              <w:tabs>
                <w:tab w:val="left" w:pos="367"/>
              </w:tabs>
              <w:rPr>
                <w:sz w:val="20"/>
                <w:szCs w:val="20"/>
              </w:rPr>
            </w:pPr>
            <w:r w:rsidRPr="00AC519B">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30DD03BE" w14:textId="77777777" w:rsidR="00E0328C" w:rsidRPr="00AC519B" w:rsidRDefault="00E0328C" w:rsidP="00D25B00">
            <w:pPr>
              <w:ind w:right="10"/>
              <w:jc w:val="right"/>
              <w:rPr>
                <w:sz w:val="20"/>
                <w:szCs w:val="20"/>
              </w:rPr>
            </w:pPr>
            <w:r w:rsidRPr="00AC519B">
              <w:rPr>
                <w:sz w:val="20"/>
                <w:szCs w:val="20"/>
              </w:rPr>
              <w:t>0</w:t>
            </w:r>
          </w:p>
          <w:p w14:paraId="29E54F1D" w14:textId="77777777" w:rsidR="00E0328C" w:rsidRPr="00AC519B" w:rsidRDefault="00E0328C" w:rsidP="00D25B00">
            <w:pPr>
              <w:ind w:right="10"/>
              <w:jc w:val="right"/>
              <w:rPr>
                <w:sz w:val="20"/>
                <w:szCs w:val="20"/>
              </w:rPr>
            </w:pPr>
            <w:r w:rsidRPr="00AC519B">
              <w:rPr>
                <w:sz w:val="20"/>
                <w:szCs w:val="20"/>
              </w:rPr>
              <w:t>0</w:t>
            </w:r>
          </w:p>
        </w:tc>
        <w:tc>
          <w:tcPr>
            <w:tcW w:w="1417" w:type="dxa"/>
            <w:tcBorders>
              <w:top w:val="nil"/>
              <w:bottom w:val="single" w:sz="8" w:space="0" w:color="7F7F7F" w:themeColor="text1" w:themeTint="80"/>
            </w:tcBorders>
            <w:shd w:val="clear" w:color="auto" w:fill="auto"/>
            <w:vAlign w:val="center"/>
          </w:tcPr>
          <w:p w14:paraId="5D18E320" w14:textId="77777777" w:rsidR="00E0328C" w:rsidRPr="00111430" w:rsidRDefault="00E0328C" w:rsidP="00D25B00">
            <w:pPr>
              <w:jc w:val="right"/>
              <w:rPr>
                <w:sz w:val="20"/>
                <w:szCs w:val="20"/>
              </w:rPr>
            </w:pPr>
            <w:r w:rsidRPr="00111430">
              <w:rPr>
                <w:sz w:val="20"/>
                <w:szCs w:val="20"/>
              </w:rPr>
              <w:t>0</w:t>
            </w:r>
          </w:p>
          <w:p w14:paraId="1ECE296E" w14:textId="77777777" w:rsidR="00E0328C" w:rsidRPr="00111430" w:rsidRDefault="00E0328C" w:rsidP="00D25B00">
            <w:pPr>
              <w:jc w:val="right"/>
              <w:rPr>
                <w:sz w:val="20"/>
                <w:szCs w:val="20"/>
              </w:rPr>
            </w:pPr>
            <w:r w:rsidRPr="00111430">
              <w:rPr>
                <w:sz w:val="20"/>
                <w:szCs w:val="20"/>
              </w:rPr>
              <w:t>0</w:t>
            </w:r>
          </w:p>
        </w:tc>
        <w:tc>
          <w:tcPr>
            <w:tcW w:w="1418" w:type="dxa"/>
            <w:tcBorders>
              <w:top w:val="nil"/>
              <w:bottom w:val="single" w:sz="8" w:space="0" w:color="7F7F7F" w:themeColor="text1" w:themeTint="80"/>
            </w:tcBorders>
            <w:shd w:val="clear" w:color="auto" w:fill="auto"/>
            <w:vAlign w:val="center"/>
          </w:tcPr>
          <w:p w14:paraId="66181C87" w14:textId="77777777" w:rsidR="00E0328C" w:rsidRPr="00AE1F63" w:rsidRDefault="00E0328C" w:rsidP="00D25B00">
            <w:pPr>
              <w:jc w:val="right"/>
              <w:rPr>
                <w:sz w:val="20"/>
                <w:szCs w:val="20"/>
              </w:rPr>
            </w:pPr>
            <w:r w:rsidRPr="00AE1F63">
              <w:rPr>
                <w:sz w:val="20"/>
                <w:szCs w:val="20"/>
              </w:rPr>
              <w:t>0</w:t>
            </w:r>
          </w:p>
          <w:p w14:paraId="460B5064" w14:textId="77777777" w:rsidR="00E0328C" w:rsidRPr="00AE1F63" w:rsidRDefault="00E0328C" w:rsidP="00D25B00">
            <w:pPr>
              <w:jc w:val="right"/>
              <w:rPr>
                <w:sz w:val="20"/>
                <w:szCs w:val="20"/>
              </w:rPr>
            </w:pPr>
            <w:r w:rsidRPr="00AE1F63">
              <w:rPr>
                <w:sz w:val="20"/>
                <w:szCs w:val="20"/>
              </w:rPr>
              <w:t>0</w:t>
            </w:r>
          </w:p>
        </w:tc>
        <w:tc>
          <w:tcPr>
            <w:tcW w:w="997" w:type="dxa"/>
            <w:tcBorders>
              <w:top w:val="nil"/>
              <w:bottom w:val="single" w:sz="8" w:space="0" w:color="7F7F7F" w:themeColor="text1" w:themeTint="80"/>
            </w:tcBorders>
            <w:shd w:val="clear" w:color="auto" w:fill="auto"/>
            <w:vAlign w:val="center"/>
          </w:tcPr>
          <w:p w14:paraId="3B17F501" w14:textId="77777777" w:rsidR="00E0328C" w:rsidRPr="00AE1F63" w:rsidRDefault="00E0328C" w:rsidP="00D25B00">
            <w:pPr>
              <w:jc w:val="right"/>
              <w:rPr>
                <w:b/>
                <w:sz w:val="20"/>
                <w:szCs w:val="20"/>
              </w:rPr>
            </w:pPr>
            <w:r w:rsidRPr="00AE1F63">
              <w:rPr>
                <w:sz w:val="20"/>
                <w:szCs w:val="20"/>
              </w:rPr>
              <w:t>x</w:t>
            </w:r>
          </w:p>
          <w:p w14:paraId="211EF7B0" w14:textId="77777777" w:rsidR="00E0328C" w:rsidRPr="00AE1F63" w:rsidRDefault="00E0328C" w:rsidP="00D25B00">
            <w:pPr>
              <w:jc w:val="right"/>
              <w:rPr>
                <w:sz w:val="20"/>
                <w:szCs w:val="20"/>
              </w:rPr>
            </w:pPr>
            <w:r w:rsidRPr="00AE1F63">
              <w:rPr>
                <w:sz w:val="20"/>
                <w:szCs w:val="20"/>
              </w:rPr>
              <w:t>x</w:t>
            </w:r>
          </w:p>
        </w:tc>
      </w:tr>
      <w:tr w:rsidR="00E0328C" w:rsidRPr="00010181" w14:paraId="30C1348F" w14:textId="77777777" w:rsidTr="00D25B00">
        <w:trPr>
          <w:trHeight w:val="403"/>
        </w:trPr>
        <w:tc>
          <w:tcPr>
            <w:tcW w:w="4252" w:type="dxa"/>
            <w:tcBorders>
              <w:top w:val="single" w:sz="8" w:space="0" w:color="7F7F7F" w:themeColor="text1" w:themeTint="80"/>
              <w:bottom w:val="nil"/>
            </w:tcBorders>
            <w:shd w:val="clear" w:color="auto" w:fill="auto"/>
          </w:tcPr>
          <w:p w14:paraId="6FED5A96" w14:textId="77777777" w:rsidR="00E0328C" w:rsidRPr="00886638" w:rsidRDefault="00E0328C" w:rsidP="00D25B00">
            <w:pPr>
              <w:rPr>
                <w:b/>
                <w:sz w:val="20"/>
                <w:szCs w:val="20"/>
              </w:rPr>
            </w:pPr>
            <w:r w:rsidRPr="00886638">
              <w:rPr>
                <w:b/>
                <w:sz w:val="20"/>
                <w:szCs w:val="20"/>
              </w:rPr>
              <w:t xml:space="preserve">Neinvestiční dotace podnikatelským subjektům </w:t>
            </w:r>
            <w:r w:rsidRPr="00886638">
              <w:rPr>
                <w:sz w:val="20"/>
                <w:szCs w:val="20"/>
              </w:rPr>
              <w:t>(</w:t>
            </w:r>
            <w:proofErr w:type="spellStart"/>
            <w:r w:rsidRPr="00886638">
              <w:rPr>
                <w:sz w:val="20"/>
                <w:szCs w:val="20"/>
              </w:rPr>
              <w:t>podsesk</w:t>
            </w:r>
            <w:proofErr w:type="spellEnd"/>
            <w:r w:rsidRPr="00886638">
              <w:rPr>
                <w:sz w:val="20"/>
                <w:szCs w:val="20"/>
              </w:rPr>
              <w:t>. pol. 521, pol. 5193)</w:t>
            </w:r>
          </w:p>
        </w:tc>
        <w:tc>
          <w:tcPr>
            <w:tcW w:w="1418" w:type="dxa"/>
            <w:tcBorders>
              <w:top w:val="single" w:sz="8" w:space="0" w:color="7F7F7F" w:themeColor="text1" w:themeTint="80"/>
              <w:bottom w:val="nil"/>
            </w:tcBorders>
            <w:shd w:val="clear" w:color="auto" w:fill="auto"/>
            <w:vAlign w:val="bottom"/>
          </w:tcPr>
          <w:p w14:paraId="7FB917DC" w14:textId="77777777" w:rsidR="00E0328C" w:rsidRPr="004760E8" w:rsidRDefault="00E0328C" w:rsidP="00D25B00">
            <w:pPr>
              <w:ind w:right="10"/>
              <w:jc w:val="right"/>
              <w:rPr>
                <w:b/>
                <w:color w:val="FF0000"/>
                <w:sz w:val="20"/>
                <w:szCs w:val="20"/>
              </w:rPr>
            </w:pPr>
          </w:p>
          <w:p w14:paraId="7AD55E5C" w14:textId="77777777" w:rsidR="00E0328C" w:rsidRPr="004760E8" w:rsidRDefault="00E0328C" w:rsidP="00D25B00">
            <w:pPr>
              <w:ind w:right="10"/>
              <w:jc w:val="right"/>
              <w:rPr>
                <w:b/>
                <w:color w:val="FF0000"/>
                <w:sz w:val="20"/>
                <w:szCs w:val="20"/>
              </w:rPr>
            </w:pPr>
            <w:r w:rsidRPr="005B3FB7">
              <w:rPr>
                <w:b/>
                <w:sz w:val="20"/>
                <w:szCs w:val="20"/>
              </w:rPr>
              <w:t>6 646 624</w:t>
            </w:r>
          </w:p>
        </w:tc>
        <w:tc>
          <w:tcPr>
            <w:tcW w:w="1417" w:type="dxa"/>
            <w:tcBorders>
              <w:top w:val="single" w:sz="8" w:space="0" w:color="7F7F7F" w:themeColor="text1" w:themeTint="80"/>
              <w:bottom w:val="nil"/>
            </w:tcBorders>
            <w:shd w:val="clear" w:color="auto" w:fill="auto"/>
            <w:vAlign w:val="bottom"/>
          </w:tcPr>
          <w:p w14:paraId="6691F0F9" w14:textId="77777777" w:rsidR="00E0328C" w:rsidRPr="00111430" w:rsidRDefault="00E0328C" w:rsidP="00D25B00">
            <w:pPr>
              <w:jc w:val="right"/>
              <w:rPr>
                <w:b/>
                <w:sz w:val="20"/>
                <w:szCs w:val="20"/>
              </w:rPr>
            </w:pPr>
          </w:p>
          <w:p w14:paraId="07D65C8C" w14:textId="77777777" w:rsidR="00E0328C" w:rsidRPr="00111430" w:rsidRDefault="00E0328C" w:rsidP="00D25B00">
            <w:pPr>
              <w:jc w:val="right"/>
              <w:rPr>
                <w:b/>
                <w:sz w:val="20"/>
                <w:szCs w:val="20"/>
              </w:rPr>
            </w:pPr>
            <w:r w:rsidRPr="00111430">
              <w:rPr>
                <w:b/>
                <w:sz w:val="20"/>
                <w:szCs w:val="20"/>
              </w:rPr>
              <w:t xml:space="preserve">5 695 410 </w:t>
            </w:r>
          </w:p>
        </w:tc>
        <w:tc>
          <w:tcPr>
            <w:tcW w:w="1418" w:type="dxa"/>
            <w:tcBorders>
              <w:top w:val="single" w:sz="8" w:space="0" w:color="7F7F7F" w:themeColor="text1" w:themeTint="80"/>
              <w:bottom w:val="nil"/>
            </w:tcBorders>
            <w:shd w:val="clear" w:color="auto" w:fill="auto"/>
            <w:vAlign w:val="bottom"/>
          </w:tcPr>
          <w:p w14:paraId="45A92367" w14:textId="77777777" w:rsidR="00E0328C" w:rsidRPr="00AE1F63" w:rsidRDefault="00E0328C" w:rsidP="00D25B00">
            <w:pPr>
              <w:jc w:val="right"/>
              <w:rPr>
                <w:b/>
                <w:sz w:val="20"/>
                <w:szCs w:val="20"/>
              </w:rPr>
            </w:pPr>
          </w:p>
          <w:p w14:paraId="04BFF745" w14:textId="77777777" w:rsidR="00E0328C" w:rsidRPr="00AE1F63" w:rsidRDefault="00E0328C" w:rsidP="00D25B00">
            <w:pPr>
              <w:jc w:val="right"/>
              <w:rPr>
                <w:b/>
                <w:sz w:val="20"/>
                <w:szCs w:val="20"/>
              </w:rPr>
            </w:pPr>
            <w:r w:rsidRPr="00AE1F63">
              <w:rPr>
                <w:b/>
                <w:sz w:val="20"/>
                <w:szCs w:val="20"/>
              </w:rPr>
              <w:t xml:space="preserve">7 848 565 </w:t>
            </w:r>
          </w:p>
        </w:tc>
        <w:tc>
          <w:tcPr>
            <w:tcW w:w="997" w:type="dxa"/>
            <w:tcBorders>
              <w:top w:val="single" w:sz="8" w:space="0" w:color="7F7F7F" w:themeColor="text1" w:themeTint="80"/>
              <w:bottom w:val="nil"/>
            </w:tcBorders>
            <w:shd w:val="clear" w:color="auto" w:fill="auto"/>
            <w:vAlign w:val="bottom"/>
          </w:tcPr>
          <w:p w14:paraId="537DC52B" w14:textId="77777777" w:rsidR="00E0328C" w:rsidRPr="00AE1F63" w:rsidRDefault="00E0328C" w:rsidP="00D25B00">
            <w:pPr>
              <w:jc w:val="right"/>
              <w:rPr>
                <w:b/>
                <w:sz w:val="20"/>
                <w:szCs w:val="20"/>
              </w:rPr>
            </w:pPr>
          </w:p>
          <w:p w14:paraId="1B01D7D1" w14:textId="77777777" w:rsidR="00E0328C" w:rsidRPr="00AE1F63" w:rsidRDefault="00E0328C" w:rsidP="00D25B00">
            <w:pPr>
              <w:jc w:val="right"/>
              <w:rPr>
                <w:b/>
                <w:sz w:val="20"/>
                <w:szCs w:val="20"/>
              </w:rPr>
            </w:pPr>
            <w:r w:rsidRPr="00AE1F63">
              <w:rPr>
                <w:b/>
                <w:sz w:val="20"/>
                <w:szCs w:val="20"/>
              </w:rPr>
              <w:t>137,81</w:t>
            </w:r>
          </w:p>
        </w:tc>
      </w:tr>
      <w:tr w:rsidR="00E0328C" w:rsidRPr="004760E8" w14:paraId="22B3A3E0" w14:textId="77777777" w:rsidTr="00D25B00">
        <w:tc>
          <w:tcPr>
            <w:tcW w:w="4252" w:type="dxa"/>
            <w:tcBorders>
              <w:top w:val="nil"/>
              <w:bottom w:val="single" w:sz="8" w:space="0" w:color="7F7F7F" w:themeColor="text1" w:themeTint="80"/>
            </w:tcBorders>
            <w:shd w:val="clear" w:color="auto" w:fill="auto"/>
          </w:tcPr>
          <w:p w14:paraId="7F0A1E4C" w14:textId="77777777" w:rsidR="00E0328C" w:rsidRPr="00886638" w:rsidRDefault="00E0328C" w:rsidP="00D25B00">
            <w:pPr>
              <w:rPr>
                <w:sz w:val="20"/>
                <w:szCs w:val="20"/>
              </w:rPr>
            </w:pPr>
            <w:r w:rsidRPr="00886638">
              <w:rPr>
                <w:sz w:val="20"/>
                <w:szCs w:val="20"/>
              </w:rPr>
              <w:t xml:space="preserve">      z toho: programové financování (EDS/SMVS)</w:t>
            </w:r>
          </w:p>
          <w:p w14:paraId="42394D55" w14:textId="77777777" w:rsidR="00E0328C" w:rsidRPr="00886638" w:rsidRDefault="00E0328C" w:rsidP="00D25B00">
            <w:pPr>
              <w:rPr>
                <w:sz w:val="20"/>
                <w:szCs w:val="20"/>
              </w:rPr>
            </w:pPr>
            <w:r w:rsidRPr="00886638">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2B589C4F" w14:textId="77777777" w:rsidR="00E0328C" w:rsidRPr="005B3FB7" w:rsidRDefault="00E0328C" w:rsidP="00D25B00">
            <w:pPr>
              <w:ind w:right="10"/>
              <w:jc w:val="right"/>
              <w:rPr>
                <w:sz w:val="20"/>
                <w:szCs w:val="20"/>
              </w:rPr>
            </w:pPr>
            <w:r w:rsidRPr="005B3FB7">
              <w:rPr>
                <w:sz w:val="20"/>
                <w:szCs w:val="20"/>
              </w:rPr>
              <w:t>5 803</w:t>
            </w:r>
          </w:p>
          <w:p w14:paraId="017141CB" w14:textId="77777777" w:rsidR="00E0328C" w:rsidRPr="004760E8" w:rsidRDefault="00E0328C" w:rsidP="00D25B00">
            <w:pPr>
              <w:ind w:right="10"/>
              <w:jc w:val="right"/>
              <w:rPr>
                <w:b/>
                <w:color w:val="FF0000"/>
                <w:sz w:val="20"/>
                <w:szCs w:val="20"/>
              </w:rPr>
            </w:pPr>
            <w:r w:rsidRPr="005B3FB7">
              <w:rPr>
                <w:sz w:val="20"/>
                <w:szCs w:val="20"/>
              </w:rPr>
              <w:t xml:space="preserve">20 841     </w:t>
            </w:r>
          </w:p>
        </w:tc>
        <w:tc>
          <w:tcPr>
            <w:tcW w:w="1417" w:type="dxa"/>
            <w:tcBorders>
              <w:top w:val="nil"/>
              <w:bottom w:val="single" w:sz="8" w:space="0" w:color="7F7F7F" w:themeColor="text1" w:themeTint="80"/>
            </w:tcBorders>
            <w:shd w:val="clear" w:color="auto" w:fill="auto"/>
            <w:vAlign w:val="center"/>
          </w:tcPr>
          <w:p w14:paraId="70F5B9F9" w14:textId="77777777" w:rsidR="00E0328C" w:rsidRPr="00111430" w:rsidRDefault="00E0328C" w:rsidP="00D25B00">
            <w:pPr>
              <w:jc w:val="right"/>
              <w:rPr>
                <w:sz w:val="20"/>
                <w:szCs w:val="20"/>
              </w:rPr>
            </w:pPr>
            <w:r w:rsidRPr="00111430">
              <w:rPr>
                <w:sz w:val="20"/>
                <w:szCs w:val="20"/>
              </w:rPr>
              <w:t>5 000</w:t>
            </w:r>
          </w:p>
          <w:p w14:paraId="1DEC6C43" w14:textId="77777777" w:rsidR="00E0328C" w:rsidRPr="00111430" w:rsidRDefault="00E0328C" w:rsidP="00D25B00">
            <w:pPr>
              <w:jc w:val="right"/>
              <w:rPr>
                <w:sz w:val="20"/>
                <w:szCs w:val="20"/>
              </w:rPr>
            </w:pPr>
            <w:r w:rsidRPr="00111430">
              <w:rPr>
                <w:sz w:val="20"/>
                <w:szCs w:val="20"/>
              </w:rPr>
              <w:t>0</w:t>
            </w:r>
          </w:p>
        </w:tc>
        <w:tc>
          <w:tcPr>
            <w:tcW w:w="1418" w:type="dxa"/>
            <w:tcBorders>
              <w:top w:val="nil"/>
              <w:bottom w:val="single" w:sz="8" w:space="0" w:color="7F7F7F" w:themeColor="text1" w:themeTint="80"/>
            </w:tcBorders>
            <w:shd w:val="clear" w:color="auto" w:fill="auto"/>
            <w:vAlign w:val="center"/>
          </w:tcPr>
          <w:p w14:paraId="12020D73" w14:textId="77777777" w:rsidR="00E0328C" w:rsidRPr="00AE1F63" w:rsidRDefault="00E0328C" w:rsidP="00D25B00">
            <w:pPr>
              <w:jc w:val="right"/>
              <w:rPr>
                <w:sz w:val="20"/>
                <w:szCs w:val="20"/>
              </w:rPr>
            </w:pPr>
            <w:r w:rsidRPr="00AE1F63">
              <w:rPr>
                <w:sz w:val="20"/>
                <w:szCs w:val="20"/>
              </w:rPr>
              <w:t>5 000</w:t>
            </w:r>
          </w:p>
          <w:p w14:paraId="73CAB6B6" w14:textId="77777777" w:rsidR="00E0328C" w:rsidRPr="00AE1F63" w:rsidRDefault="00E0328C" w:rsidP="00D25B00">
            <w:pPr>
              <w:jc w:val="right"/>
              <w:rPr>
                <w:sz w:val="20"/>
                <w:szCs w:val="20"/>
              </w:rPr>
            </w:pPr>
            <w:r w:rsidRPr="00AE1F63">
              <w:rPr>
                <w:sz w:val="20"/>
                <w:szCs w:val="20"/>
              </w:rPr>
              <w:t>517 510</w:t>
            </w:r>
          </w:p>
        </w:tc>
        <w:tc>
          <w:tcPr>
            <w:tcW w:w="997" w:type="dxa"/>
            <w:tcBorders>
              <w:top w:val="nil"/>
              <w:bottom w:val="single" w:sz="8" w:space="0" w:color="7F7F7F" w:themeColor="text1" w:themeTint="80"/>
            </w:tcBorders>
            <w:shd w:val="clear" w:color="auto" w:fill="auto"/>
            <w:vAlign w:val="center"/>
          </w:tcPr>
          <w:p w14:paraId="42D05E53" w14:textId="77777777" w:rsidR="00E0328C" w:rsidRPr="00AE1F63" w:rsidRDefault="00E0328C" w:rsidP="00D25B00">
            <w:pPr>
              <w:jc w:val="right"/>
              <w:rPr>
                <w:sz w:val="20"/>
                <w:szCs w:val="20"/>
              </w:rPr>
            </w:pPr>
            <w:r w:rsidRPr="00AE1F63">
              <w:rPr>
                <w:sz w:val="20"/>
                <w:szCs w:val="20"/>
              </w:rPr>
              <w:t xml:space="preserve">100,00               </w:t>
            </w:r>
          </w:p>
          <w:p w14:paraId="4EBF79E2" w14:textId="77777777" w:rsidR="00E0328C" w:rsidRPr="00AE1F63" w:rsidRDefault="00E0328C" w:rsidP="00D25B00">
            <w:pPr>
              <w:jc w:val="right"/>
              <w:rPr>
                <w:sz w:val="20"/>
                <w:szCs w:val="20"/>
              </w:rPr>
            </w:pPr>
            <w:r w:rsidRPr="00AE1F63">
              <w:rPr>
                <w:sz w:val="20"/>
                <w:szCs w:val="20"/>
              </w:rPr>
              <w:t>x</w:t>
            </w:r>
          </w:p>
        </w:tc>
      </w:tr>
      <w:tr w:rsidR="00E0328C" w:rsidRPr="00700FDC" w14:paraId="4448E917" w14:textId="77777777" w:rsidTr="00D25B00">
        <w:trPr>
          <w:trHeight w:val="476"/>
        </w:trPr>
        <w:tc>
          <w:tcPr>
            <w:tcW w:w="4252" w:type="dxa"/>
            <w:tcBorders>
              <w:top w:val="single" w:sz="8" w:space="0" w:color="7F7F7F" w:themeColor="text1" w:themeTint="80"/>
              <w:bottom w:val="nil"/>
            </w:tcBorders>
            <w:shd w:val="clear" w:color="auto" w:fill="auto"/>
          </w:tcPr>
          <w:p w14:paraId="60A29ADF" w14:textId="77777777" w:rsidR="00E0328C" w:rsidRPr="000C2A16" w:rsidRDefault="00E0328C" w:rsidP="00D25B00">
            <w:pPr>
              <w:jc w:val="left"/>
              <w:rPr>
                <w:b/>
                <w:sz w:val="20"/>
                <w:szCs w:val="20"/>
              </w:rPr>
            </w:pPr>
            <w:r w:rsidRPr="000C2A16">
              <w:rPr>
                <w:b/>
                <w:sz w:val="20"/>
                <w:szCs w:val="20"/>
              </w:rPr>
              <w:t>Neinvestiční půjčené prostředky podnikatelským subjektům (</w:t>
            </w:r>
            <w:proofErr w:type="spellStart"/>
            <w:r w:rsidRPr="000C2A16">
              <w:rPr>
                <w:sz w:val="20"/>
                <w:szCs w:val="20"/>
              </w:rPr>
              <w:t>podsesk</w:t>
            </w:r>
            <w:proofErr w:type="spellEnd"/>
            <w:r w:rsidRPr="000C2A16">
              <w:rPr>
                <w:sz w:val="20"/>
                <w:szCs w:val="20"/>
              </w:rPr>
              <w:t>. pol. 561)</w:t>
            </w:r>
          </w:p>
        </w:tc>
        <w:tc>
          <w:tcPr>
            <w:tcW w:w="1418" w:type="dxa"/>
            <w:tcBorders>
              <w:top w:val="single" w:sz="8" w:space="0" w:color="7F7F7F" w:themeColor="text1" w:themeTint="80"/>
              <w:bottom w:val="nil"/>
            </w:tcBorders>
            <w:shd w:val="clear" w:color="auto" w:fill="auto"/>
            <w:vAlign w:val="bottom"/>
          </w:tcPr>
          <w:p w14:paraId="591C3653" w14:textId="77777777" w:rsidR="00E0328C" w:rsidRPr="000C2A16" w:rsidRDefault="00E0328C" w:rsidP="00D25B00">
            <w:pPr>
              <w:ind w:right="10"/>
              <w:jc w:val="right"/>
              <w:rPr>
                <w:b/>
                <w:sz w:val="20"/>
                <w:szCs w:val="20"/>
              </w:rPr>
            </w:pPr>
            <w:r w:rsidRPr="000C2A16">
              <w:rPr>
                <w:b/>
                <w:sz w:val="20"/>
                <w:szCs w:val="20"/>
              </w:rPr>
              <w:t>40 000</w:t>
            </w:r>
          </w:p>
        </w:tc>
        <w:tc>
          <w:tcPr>
            <w:tcW w:w="1417" w:type="dxa"/>
            <w:tcBorders>
              <w:top w:val="single" w:sz="8" w:space="0" w:color="7F7F7F" w:themeColor="text1" w:themeTint="80"/>
              <w:bottom w:val="nil"/>
            </w:tcBorders>
            <w:shd w:val="clear" w:color="auto" w:fill="auto"/>
            <w:vAlign w:val="bottom"/>
          </w:tcPr>
          <w:p w14:paraId="2A5CFBC6" w14:textId="77777777" w:rsidR="00E0328C" w:rsidRPr="00111430" w:rsidRDefault="00E0328C" w:rsidP="00D25B00">
            <w:pPr>
              <w:jc w:val="right"/>
              <w:rPr>
                <w:b/>
                <w:sz w:val="20"/>
                <w:szCs w:val="20"/>
              </w:rPr>
            </w:pPr>
            <w:r w:rsidRPr="00111430">
              <w:rPr>
                <w:b/>
                <w:sz w:val="20"/>
                <w:szCs w:val="20"/>
              </w:rPr>
              <w:t>0</w:t>
            </w:r>
          </w:p>
        </w:tc>
        <w:tc>
          <w:tcPr>
            <w:tcW w:w="1418" w:type="dxa"/>
            <w:tcBorders>
              <w:top w:val="single" w:sz="8" w:space="0" w:color="7F7F7F" w:themeColor="text1" w:themeTint="80"/>
              <w:bottom w:val="nil"/>
            </w:tcBorders>
            <w:shd w:val="clear" w:color="auto" w:fill="auto"/>
            <w:vAlign w:val="bottom"/>
          </w:tcPr>
          <w:p w14:paraId="4C33AACE" w14:textId="77777777" w:rsidR="00E0328C" w:rsidRPr="00AE1F63" w:rsidRDefault="00E0328C" w:rsidP="00D25B00">
            <w:pPr>
              <w:jc w:val="right"/>
              <w:rPr>
                <w:b/>
                <w:sz w:val="20"/>
                <w:szCs w:val="20"/>
              </w:rPr>
            </w:pPr>
            <w:r w:rsidRPr="00AE1F63">
              <w:rPr>
                <w:b/>
                <w:sz w:val="20"/>
                <w:szCs w:val="20"/>
              </w:rPr>
              <w:t>0</w:t>
            </w:r>
          </w:p>
        </w:tc>
        <w:tc>
          <w:tcPr>
            <w:tcW w:w="997" w:type="dxa"/>
            <w:tcBorders>
              <w:top w:val="single" w:sz="8" w:space="0" w:color="7F7F7F" w:themeColor="text1" w:themeTint="80"/>
              <w:bottom w:val="nil"/>
            </w:tcBorders>
            <w:shd w:val="clear" w:color="auto" w:fill="auto"/>
            <w:vAlign w:val="bottom"/>
          </w:tcPr>
          <w:p w14:paraId="752C6C70" w14:textId="77777777" w:rsidR="00E0328C" w:rsidRPr="00AE1F63" w:rsidRDefault="00E0328C" w:rsidP="00D25B00">
            <w:pPr>
              <w:jc w:val="right"/>
              <w:rPr>
                <w:b/>
                <w:sz w:val="20"/>
                <w:szCs w:val="20"/>
              </w:rPr>
            </w:pPr>
            <w:r w:rsidRPr="00AE1F63">
              <w:rPr>
                <w:b/>
                <w:sz w:val="20"/>
                <w:szCs w:val="20"/>
              </w:rPr>
              <w:t>x</w:t>
            </w:r>
          </w:p>
        </w:tc>
      </w:tr>
      <w:tr w:rsidR="00E0328C" w:rsidRPr="004760E8" w14:paraId="064F4936" w14:textId="77777777" w:rsidTr="00D25B00">
        <w:tc>
          <w:tcPr>
            <w:tcW w:w="4252" w:type="dxa"/>
            <w:tcBorders>
              <w:top w:val="single" w:sz="8" w:space="0" w:color="7F7F7F" w:themeColor="text1" w:themeTint="80"/>
              <w:bottom w:val="nil"/>
            </w:tcBorders>
            <w:shd w:val="clear" w:color="auto" w:fill="auto"/>
          </w:tcPr>
          <w:p w14:paraId="3C23007B" w14:textId="77777777" w:rsidR="00E0328C" w:rsidRPr="004760E8" w:rsidRDefault="00E0328C" w:rsidP="00D25B00">
            <w:pPr>
              <w:rPr>
                <w:b/>
                <w:color w:val="FF0000"/>
                <w:sz w:val="20"/>
                <w:szCs w:val="20"/>
              </w:rPr>
            </w:pPr>
            <w:r w:rsidRPr="007C7FCC">
              <w:rPr>
                <w:b/>
                <w:sz w:val="20"/>
                <w:szCs w:val="20"/>
              </w:rPr>
              <w:t xml:space="preserve">Neinvestiční dotace státním fondům  </w:t>
            </w:r>
            <w:r w:rsidRPr="007C7FCC">
              <w:rPr>
                <w:sz w:val="20"/>
                <w:szCs w:val="20"/>
              </w:rPr>
              <w:t>(</w:t>
            </w:r>
            <w:proofErr w:type="spellStart"/>
            <w:r w:rsidRPr="007C7FCC">
              <w:rPr>
                <w:sz w:val="20"/>
                <w:szCs w:val="20"/>
              </w:rPr>
              <w:t>podsesk</w:t>
            </w:r>
            <w:proofErr w:type="spellEnd"/>
            <w:r w:rsidRPr="007C7FCC">
              <w:rPr>
                <w:sz w:val="20"/>
                <w:szCs w:val="20"/>
              </w:rPr>
              <w:t>. pol. 531)</w:t>
            </w:r>
          </w:p>
        </w:tc>
        <w:tc>
          <w:tcPr>
            <w:tcW w:w="1418" w:type="dxa"/>
            <w:tcBorders>
              <w:top w:val="single" w:sz="8" w:space="0" w:color="7F7F7F" w:themeColor="text1" w:themeTint="80"/>
              <w:bottom w:val="nil"/>
            </w:tcBorders>
            <w:shd w:val="clear" w:color="auto" w:fill="auto"/>
            <w:vAlign w:val="bottom"/>
          </w:tcPr>
          <w:p w14:paraId="25D64275" w14:textId="77777777" w:rsidR="00E0328C" w:rsidRPr="00331C6E" w:rsidRDefault="00E0328C" w:rsidP="00D25B00">
            <w:pPr>
              <w:ind w:right="10"/>
              <w:jc w:val="right"/>
              <w:rPr>
                <w:sz w:val="20"/>
                <w:szCs w:val="20"/>
              </w:rPr>
            </w:pPr>
            <w:r w:rsidRPr="00331C6E">
              <w:rPr>
                <w:b/>
                <w:sz w:val="20"/>
                <w:szCs w:val="20"/>
              </w:rPr>
              <w:t>24 217 381</w:t>
            </w:r>
          </w:p>
        </w:tc>
        <w:tc>
          <w:tcPr>
            <w:tcW w:w="1417" w:type="dxa"/>
            <w:tcBorders>
              <w:top w:val="single" w:sz="8" w:space="0" w:color="7F7F7F" w:themeColor="text1" w:themeTint="80"/>
              <w:bottom w:val="nil"/>
            </w:tcBorders>
            <w:shd w:val="clear" w:color="auto" w:fill="auto"/>
            <w:vAlign w:val="bottom"/>
          </w:tcPr>
          <w:p w14:paraId="27C038D4" w14:textId="77777777" w:rsidR="00E0328C" w:rsidRPr="00111430" w:rsidRDefault="00E0328C" w:rsidP="00D25B00">
            <w:pPr>
              <w:jc w:val="right"/>
              <w:rPr>
                <w:sz w:val="20"/>
                <w:szCs w:val="20"/>
              </w:rPr>
            </w:pPr>
            <w:r w:rsidRPr="00111430">
              <w:rPr>
                <w:b/>
                <w:sz w:val="20"/>
                <w:szCs w:val="20"/>
              </w:rPr>
              <w:t>12 310 464</w:t>
            </w:r>
          </w:p>
        </w:tc>
        <w:tc>
          <w:tcPr>
            <w:tcW w:w="1418" w:type="dxa"/>
            <w:tcBorders>
              <w:top w:val="single" w:sz="8" w:space="0" w:color="7F7F7F" w:themeColor="text1" w:themeTint="80"/>
              <w:bottom w:val="nil"/>
            </w:tcBorders>
            <w:shd w:val="clear" w:color="auto" w:fill="auto"/>
            <w:vAlign w:val="bottom"/>
          </w:tcPr>
          <w:p w14:paraId="1450EAF2" w14:textId="77777777" w:rsidR="00E0328C" w:rsidRPr="00AE1F63" w:rsidRDefault="00E0328C" w:rsidP="00D25B00">
            <w:pPr>
              <w:jc w:val="right"/>
              <w:rPr>
                <w:sz w:val="20"/>
                <w:szCs w:val="20"/>
              </w:rPr>
            </w:pPr>
            <w:r w:rsidRPr="00AE1F63">
              <w:rPr>
                <w:b/>
                <w:sz w:val="20"/>
                <w:szCs w:val="20"/>
              </w:rPr>
              <w:t>16 423 000</w:t>
            </w:r>
          </w:p>
        </w:tc>
        <w:tc>
          <w:tcPr>
            <w:tcW w:w="997" w:type="dxa"/>
            <w:tcBorders>
              <w:top w:val="single" w:sz="8" w:space="0" w:color="7F7F7F" w:themeColor="text1" w:themeTint="80"/>
              <w:bottom w:val="nil"/>
            </w:tcBorders>
            <w:shd w:val="clear" w:color="auto" w:fill="auto"/>
            <w:vAlign w:val="bottom"/>
          </w:tcPr>
          <w:p w14:paraId="7F51F5CA" w14:textId="77777777" w:rsidR="00E0328C" w:rsidRPr="00AE1F63" w:rsidRDefault="00E0328C" w:rsidP="00D25B00">
            <w:pPr>
              <w:jc w:val="right"/>
              <w:rPr>
                <w:b/>
                <w:sz w:val="20"/>
                <w:szCs w:val="20"/>
              </w:rPr>
            </w:pPr>
            <w:r w:rsidRPr="00AE1F63">
              <w:rPr>
                <w:b/>
                <w:sz w:val="20"/>
                <w:szCs w:val="20"/>
              </w:rPr>
              <w:t>133,41</w:t>
            </w:r>
          </w:p>
        </w:tc>
      </w:tr>
      <w:tr w:rsidR="00E0328C" w:rsidRPr="004760E8" w14:paraId="0174BD51" w14:textId="77777777" w:rsidTr="00D25B00">
        <w:tc>
          <w:tcPr>
            <w:tcW w:w="4252" w:type="dxa"/>
            <w:tcBorders>
              <w:top w:val="nil"/>
              <w:bottom w:val="single" w:sz="8" w:space="0" w:color="7F7F7F" w:themeColor="text1" w:themeTint="80"/>
            </w:tcBorders>
            <w:shd w:val="clear" w:color="auto" w:fill="auto"/>
          </w:tcPr>
          <w:p w14:paraId="2AB855CA" w14:textId="77777777" w:rsidR="00E0328C" w:rsidRPr="00331C6E" w:rsidRDefault="00E0328C" w:rsidP="00D25B00">
            <w:pPr>
              <w:rPr>
                <w:sz w:val="20"/>
                <w:szCs w:val="20"/>
              </w:rPr>
            </w:pPr>
            <w:r w:rsidRPr="004760E8">
              <w:rPr>
                <w:color w:val="FF0000"/>
                <w:sz w:val="20"/>
                <w:szCs w:val="20"/>
              </w:rPr>
              <w:t xml:space="preserve">     </w:t>
            </w:r>
            <w:r w:rsidRPr="00331C6E">
              <w:rPr>
                <w:sz w:val="20"/>
                <w:szCs w:val="20"/>
              </w:rPr>
              <w:t>z toho: programové financování (EDS/SMVS)</w:t>
            </w:r>
          </w:p>
          <w:p w14:paraId="7CBFF08F" w14:textId="77777777" w:rsidR="00E0328C" w:rsidRPr="004760E8" w:rsidRDefault="00E0328C" w:rsidP="00D25B00">
            <w:pPr>
              <w:rPr>
                <w:color w:val="FF0000"/>
                <w:sz w:val="20"/>
                <w:szCs w:val="20"/>
              </w:rPr>
            </w:pPr>
            <w:r w:rsidRPr="00331C6E">
              <w:rPr>
                <w:sz w:val="20"/>
                <w:szCs w:val="20"/>
              </w:rPr>
              <w:t xml:space="preserve">                 prostředky EU</w:t>
            </w:r>
          </w:p>
        </w:tc>
        <w:tc>
          <w:tcPr>
            <w:tcW w:w="1418" w:type="dxa"/>
            <w:tcBorders>
              <w:top w:val="nil"/>
              <w:bottom w:val="single" w:sz="8" w:space="0" w:color="7F7F7F" w:themeColor="text1" w:themeTint="80"/>
            </w:tcBorders>
            <w:shd w:val="clear" w:color="auto" w:fill="auto"/>
            <w:vAlign w:val="center"/>
          </w:tcPr>
          <w:p w14:paraId="6A7C9768" w14:textId="77777777" w:rsidR="00E0328C" w:rsidRPr="00331C6E" w:rsidRDefault="00E0328C" w:rsidP="00D25B00">
            <w:pPr>
              <w:ind w:right="10"/>
              <w:jc w:val="right"/>
              <w:rPr>
                <w:sz w:val="20"/>
                <w:szCs w:val="20"/>
              </w:rPr>
            </w:pPr>
            <w:r w:rsidRPr="00331C6E">
              <w:rPr>
                <w:sz w:val="20"/>
                <w:szCs w:val="20"/>
              </w:rPr>
              <w:t>24 179 707</w:t>
            </w:r>
          </w:p>
          <w:p w14:paraId="48C95B8E" w14:textId="77777777" w:rsidR="00E0328C" w:rsidRPr="00331C6E" w:rsidRDefault="00E0328C" w:rsidP="00D25B00">
            <w:pPr>
              <w:ind w:right="10"/>
              <w:jc w:val="right"/>
              <w:rPr>
                <w:sz w:val="20"/>
                <w:szCs w:val="20"/>
              </w:rPr>
            </w:pPr>
            <w:r w:rsidRPr="00331C6E">
              <w:rPr>
                <w:sz w:val="20"/>
                <w:szCs w:val="20"/>
              </w:rPr>
              <w:t>38 112</w:t>
            </w:r>
          </w:p>
        </w:tc>
        <w:tc>
          <w:tcPr>
            <w:tcW w:w="1417" w:type="dxa"/>
            <w:tcBorders>
              <w:top w:val="nil"/>
              <w:bottom w:val="single" w:sz="8" w:space="0" w:color="7F7F7F" w:themeColor="text1" w:themeTint="80"/>
            </w:tcBorders>
            <w:shd w:val="clear" w:color="auto" w:fill="auto"/>
            <w:vAlign w:val="center"/>
          </w:tcPr>
          <w:p w14:paraId="6FCA2A34" w14:textId="77777777" w:rsidR="00E0328C" w:rsidRPr="00111430" w:rsidRDefault="00E0328C" w:rsidP="00D25B00">
            <w:pPr>
              <w:jc w:val="right"/>
              <w:rPr>
                <w:sz w:val="20"/>
                <w:szCs w:val="20"/>
              </w:rPr>
            </w:pPr>
            <w:r w:rsidRPr="00111430">
              <w:rPr>
                <w:sz w:val="20"/>
                <w:szCs w:val="20"/>
              </w:rPr>
              <w:t>12 309 984</w:t>
            </w:r>
          </w:p>
          <w:p w14:paraId="39C20201" w14:textId="77777777" w:rsidR="00E0328C" w:rsidRPr="00111430" w:rsidRDefault="00E0328C" w:rsidP="00D25B00">
            <w:pPr>
              <w:jc w:val="right"/>
              <w:rPr>
                <w:sz w:val="20"/>
                <w:szCs w:val="20"/>
              </w:rPr>
            </w:pPr>
            <w:r w:rsidRPr="00111430">
              <w:rPr>
                <w:sz w:val="20"/>
                <w:szCs w:val="20"/>
              </w:rPr>
              <w:t>524</w:t>
            </w:r>
          </w:p>
        </w:tc>
        <w:tc>
          <w:tcPr>
            <w:tcW w:w="1418" w:type="dxa"/>
            <w:tcBorders>
              <w:top w:val="nil"/>
              <w:bottom w:val="single" w:sz="8" w:space="0" w:color="7F7F7F" w:themeColor="text1" w:themeTint="80"/>
            </w:tcBorders>
            <w:shd w:val="clear" w:color="auto" w:fill="auto"/>
            <w:vAlign w:val="center"/>
          </w:tcPr>
          <w:p w14:paraId="62D3B69B" w14:textId="77777777" w:rsidR="00E0328C" w:rsidRPr="00AE1F63" w:rsidRDefault="00E0328C" w:rsidP="00D25B00">
            <w:pPr>
              <w:jc w:val="right"/>
              <w:rPr>
                <w:sz w:val="20"/>
                <w:szCs w:val="20"/>
              </w:rPr>
            </w:pPr>
            <w:r w:rsidRPr="00AE1F63">
              <w:rPr>
                <w:sz w:val="20"/>
                <w:szCs w:val="20"/>
              </w:rPr>
              <w:t>16 423 000</w:t>
            </w:r>
          </w:p>
          <w:p w14:paraId="6F1134C4" w14:textId="77777777" w:rsidR="00E0328C" w:rsidRPr="00AE1F63" w:rsidRDefault="00E0328C" w:rsidP="00D25B00">
            <w:pPr>
              <w:jc w:val="right"/>
              <w:rPr>
                <w:sz w:val="20"/>
                <w:szCs w:val="20"/>
              </w:rPr>
            </w:pPr>
            <w:r w:rsidRPr="00AE1F63">
              <w:rPr>
                <w:sz w:val="20"/>
                <w:szCs w:val="20"/>
              </w:rPr>
              <w:t>0</w:t>
            </w:r>
          </w:p>
        </w:tc>
        <w:tc>
          <w:tcPr>
            <w:tcW w:w="997" w:type="dxa"/>
            <w:tcBorders>
              <w:top w:val="nil"/>
              <w:bottom w:val="single" w:sz="8" w:space="0" w:color="7F7F7F" w:themeColor="text1" w:themeTint="80"/>
            </w:tcBorders>
            <w:shd w:val="clear" w:color="auto" w:fill="auto"/>
            <w:vAlign w:val="center"/>
          </w:tcPr>
          <w:p w14:paraId="022248F4" w14:textId="77777777" w:rsidR="00E0328C" w:rsidRPr="00AE1F63" w:rsidRDefault="00E0328C" w:rsidP="00D25B00">
            <w:pPr>
              <w:jc w:val="right"/>
              <w:rPr>
                <w:sz w:val="20"/>
                <w:szCs w:val="20"/>
              </w:rPr>
            </w:pPr>
            <w:r w:rsidRPr="00AE1F63">
              <w:rPr>
                <w:sz w:val="20"/>
                <w:szCs w:val="20"/>
              </w:rPr>
              <w:t xml:space="preserve">133,41                </w:t>
            </w:r>
          </w:p>
          <w:p w14:paraId="785574F4" w14:textId="77777777" w:rsidR="00E0328C" w:rsidRPr="00AE1F63" w:rsidRDefault="00E0328C" w:rsidP="00D25B00">
            <w:pPr>
              <w:jc w:val="right"/>
              <w:rPr>
                <w:sz w:val="20"/>
                <w:szCs w:val="20"/>
              </w:rPr>
            </w:pPr>
            <w:r w:rsidRPr="00AE1F63">
              <w:rPr>
                <w:sz w:val="20"/>
                <w:szCs w:val="20"/>
              </w:rPr>
              <w:t>0,00</w:t>
            </w:r>
          </w:p>
        </w:tc>
      </w:tr>
      <w:tr w:rsidR="00E0328C" w:rsidRPr="004760E8" w14:paraId="10C02B3F" w14:textId="77777777" w:rsidTr="00D25B00">
        <w:trPr>
          <w:trHeight w:val="383"/>
        </w:trPr>
        <w:tc>
          <w:tcPr>
            <w:tcW w:w="4252" w:type="dxa"/>
            <w:tcBorders>
              <w:top w:val="single" w:sz="8" w:space="0" w:color="7F7F7F" w:themeColor="text1" w:themeTint="80"/>
              <w:bottom w:val="single" w:sz="8" w:space="0" w:color="7F7F7F" w:themeColor="text1" w:themeTint="80"/>
            </w:tcBorders>
            <w:shd w:val="clear" w:color="auto" w:fill="auto"/>
          </w:tcPr>
          <w:p w14:paraId="768F7C9A" w14:textId="77777777" w:rsidR="00E0328C" w:rsidRPr="00331C6E" w:rsidRDefault="00E0328C" w:rsidP="00D25B00">
            <w:pPr>
              <w:rPr>
                <w:b/>
                <w:sz w:val="20"/>
                <w:szCs w:val="20"/>
              </w:rPr>
            </w:pPr>
            <w:r w:rsidRPr="00331C6E">
              <w:rPr>
                <w:b/>
                <w:sz w:val="20"/>
                <w:szCs w:val="20"/>
              </w:rPr>
              <w:t xml:space="preserve">Neinvestiční transfery do zahraničí </w:t>
            </w:r>
            <w:r w:rsidRPr="00331C6E">
              <w:rPr>
                <w:sz w:val="20"/>
                <w:szCs w:val="20"/>
              </w:rPr>
              <w:t>(</w:t>
            </w:r>
            <w:proofErr w:type="spellStart"/>
            <w:r w:rsidRPr="00331C6E">
              <w:rPr>
                <w:sz w:val="20"/>
                <w:szCs w:val="20"/>
              </w:rPr>
              <w:t>podsesk</w:t>
            </w:r>
            <w:proofErr w:type="spellEnd"/>
            <w:r w:rsidRPr="00331C6E">
              <w:rPr>
                <w:sz w:val="20"/>
                <w:szCs w:val="20"/>
              </w:rPr>
              <w:t>. pol. 551, 553, 554)</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79AC1847" w14:textId="77777777" w:rsidR="00E0328C" w:rsidRPr="004760E8" w:rsidRDefault="00E0328C" w:rsidP="00D25B00">
            <w:pPr>
              <w:ind w:right="10"/>
              <w:jc w:val="right"/>
              <w:rPr>
                <w:b/>
                <w:color w:val="FF0000"/>
                <w:sz w:val="20"/>
                <w:szCs w:val="20"/>
              </w:rPr>
            </w:pPr>
            <w:r w:rsidRPr="00331C6E">
              <w:rPr>
                <w:b/>
                <w:sz w:val="20"/>
                <w:szCs w:val="20"/>
              </w:rPr>
              <w:t>1 136 192</w:t>
            </w:r>
          </w:p>
        </w:tc>
        <w:tc>
          <w:tcPr>
            <w:tcW w:w="1417" w:type="dxa"/>
            <w:tcBorders>
              <w:top w:val="single" w:sz="8" w:space="0" w:color="7F7F7F" w:themeColor="text1" w:themeTint="80"/>
              <w:bottom w:val="single" w:sz="8" w:space="0" w:color="7F7F7F" w:themeColor="text1" w:themeTint="80"/>
            </w:tcBorders>
            <w:shd w:val="clear" w:color="auto" w:fill="auto"/>
            <w:vAlign w:val="bottom"/>
          </w:tcPr>
          <w:p w14:paraId="5A2C5C98" w14:textId="77777777" w:rsidR="00E0328C" w:rsidRPr="00111430" w:rsidRDefault="00E0328C" w:rsidP="00D25B00">
            <w:pPr>
              <w:jc w:val="right"/>
              <w:rPr>
                <w:b/>
                <w:sz w:val="20"/>
                <w:szCs w:val="20"/>
              </w:rPr>
            </w:pPr>
            <w:r w:rsidRPr="00111430">
              <w:rPr>
                <w:b/>
                <w:sz w:val="20"/>
                <w:szCs w:val="20"/>
              </w:rPr>
              <w:t>1 224 413</w:t>
            </w:r>
          </w:p>
        </w:tc>
        <w:tc>
          <w:tcPr>
            <w:tcW w:w="1418" w:type="dxa"/>
            <w:tcBorders>
              <w:top w:val="single" w:sz="8" w:space="0" w:color="7F7F7F" w:themeColor="text1" w:themeTint="80"/>
              <w:bottom w:val="single" w:sz="8" w:space="0" w:color="7F7F7F" w:themeColor="text1" w:themeTint="80"/>
            </w:tcBorders>
            <w:shd w:val="clear" w:color="auto" w:fill="auto"/>
            <w:vAlign w:val="bottom"/>
          </w:tcPr>
          <w:p w14:paraId="72E91659" w14:textId="77777777" w:rsidR="00E0328C" w:rsidRPr="00AE1F63" w:rsidRDefault="00E0328C" w:rsidP="00D25B00">
            <w:pPr>
              <w:jc w:val="right"/>
              <w:rPr>
                <w:b/>
                <w:sz w:val="20"/>
                <w:szCs w:val="20"/>
              </w:rPr>
            </w:pPr>
            <w:r w:rsidRPr="00AE1F63">
              <w:rPr>
                <w:b/>
                <w:sz w:val="20"/>
                <w:szCs w:val="20"/>
              </w:rPr>
              <w:t>1 224 981</w:t>
            </w:r>
          </w:p>
        </w:tc>
        <w:tc>
          <w:tcPr>
            <w:tcW w:w="997" w:type="dxa"/>
            <w:tcBorders>
              <w:top w:val="single" w:sz="8" w:space="0" w:color="7F7F7F" w:themeColor="text1" w:themeTint="80"/>
              <w:bottom w:val="single" w:sz="8" w:space="0" w:color="7F7F7F" w:themeColor="text1" w:themeTint="80"/>
            </w:tcBorders>
            <w:shd w:val="clear" w:color="auto" w:fill="auto"/>
            <w:vAlign w:val="bottom"/>
          </w:tcPr>
          <w:p w14:paraId="730B3A15" w14:textId="77777777" w:rsidR="00E0328C" w:rsidRPr="00AE1F63" w:rsidRDefault="00E0328C" w:rsidP="00D25B00">
            <w:pPr>
              <w:jc w:val="right"/>
              <w:rPr>
                <w:b/>
                <w:sz w:val="20"/>
                <w:szCs w:val="20"/>
              </w:rPr>
            </w:pPr>
            <w:r w:rsidRPr="00AE1F63">
              <w:rPr>
                <w:b/>
                <w:sz w:val="20"/>
                <w:szCs w:val="20"/>
              </w:rPr>
              <w:t>100,05</w:t>
            </w:r>
          </w:p>
        </w:tc>
      </w:tr>
      <w:tr w:rsidR="0088307E" w:rsidRPr="004760E8" w14:paraId="5DC592EC" w14:textId="77777777" w:rsidTr="0088307E">
        <w:trPr>
          <w:trHeight w:val="1265"/>
        </w:trPr>
        <w:tc>
          <w:tcPr>
            <w:tcW w:w="4252" w:type="dxa"/>
            <w:tcBorders>
              <w:top w:val="single" w:sz="8" w:space="0" w:color="7F7F7F" w:themeColor="text1" w:themeTint="80"/>
              <w:bottom w:val="single" w:sz="8" w:space="0" w:color="7F7F7F" w:themeColor="text1" w:themeTint="80"/>
            </w:tcBorders>
            <w:shd w:val="clear" w:color="auto" w:fill="auto"/>
          </w:tcPr>
          <w:p w14:paraId="3747CDDA" w14:textId="77777777" w:rsidR="00E0328C" w:rsidRPr="00331C6E" w:rsidRDefault="00E0328C" w:rsidP="0088307E">
            <w:pPr>
              <w:jc w:val="left"/>
              <w:rPr>
                <w:b/>
                <w:sz w:val="20"/>
                <w:szCs w:val="20"/>
              </w:rPr>
            </w:pPr>
            <w:r w:rsidRPr="00331C6E">
              <w:rPr>
                <w:b/>
                <w:sz w:val="20"/>
                <w:szCs w:val="20"/>
              </w:rPr>
              <w:t xml:space="preserve">BĚŽNÉ VÝDAJE CELKEM  </w:t>
            </w:r>
          </w:p>
          <w:p w14:paraId="58B1065A" w14:textId="77777777" w:rsidR="00E0328C" w:rsidRPr="00331C6E" w:rsidRDefault="00E0328C" w:rsidP="0088307E">
            <w:pPr>
              <w:jc w:val="left"/>
              <w:rPr>
                <w:sz w:val="20"/>
                <w:szCs w:val="20"/>
              </w:rPr>
            </w:pPr>
            <w:r w:rsidRPr="00331C6E">
              <w:rPr>
                <w:sz w:val="20"/>
                <w:szCs w:val="20"/>
              </w:rPr>
              <w:t>z toho: dopravně správní agendy</w:t>
            </w:r>
          </w:p>
          <w:p w14:paraId="1A4D8297" w14:textId="77777777" w:rsidR="00E0328C" w:rsidRPr="00331C6E" w:rsidRDefault="00E0328C" w:rsidP="0088307E">
            <w:pPr>
              <w:jc w:val="left"/>
              <w:rPr>
                <w:sz w:val="20"/>
                <w:szCs w:val="20"/>
              </w:rPr>
            </w:pPr>
            <w:r w:rsidRPr="00331C6E">
              <w:rPr>
                <w:b/>
                <w:sz w:val="20"/>
                <w:szCs w:val="20"/>
              </w:rPr>
              <w:t xml:space="preserve">            </w:t>
            </w:r>
            <w:r w:rsidRPr="00331C6E">
              <w:rPr>
                <w:sz w:val="20"/>
                <w:szCs w:val="20"/>
              </w:rPr>
              <w:t>programové financování (EDS/SMVS)</w:t>
            </w:r>
          </w:p>
          <w:p w14:paraId="2A9790CE" w14:textId="77777777" w:rsidR="00E0328C" w:rsidRPr="00331C6E" w:rsidRDefault="00E0328C" w:rsidP="0088307E">
            <w:pPr>
              <w:jc w:val="left"/>
              <w:rPr>
                <w:sz w:val="20"/>
                <w:szCs w:val="20"/>
              </w:rPr>
            </w:pPr>
            <w:r w:rsidRPr="00331C6E">
              <w:rPr>
                <w:sz w:val="20"/>
                <w:szCs w:val="20"/>
              </w:rPr>
              <w:t xml:space="preserve">            prostředky EU</w:t>
            </w:r>
          </w:p>
          <w:p w14:paraId="4B3AC1F4" w14:textId="0F629560" w:rsidR="00E0328C" w:rsidRPr="00331C6E" w:rsidRDefault="00E0328C" w:rsidP="0088307E">
            <w:pPr>
              <w:jc w:val="left"/>
              <w:rPr>
                <w:b/>
                <w:sz w:val="20"/>
                <w:szCs w:val="20"/>
              </w:rPr>
            </w:pPr>
            <w:r w:rsidRPr="00331C6E">
              <w:rPr>
                <w:sz w:val="20"/>
                <w:szCs w:val="20"/>
              </w:rPr>
              <w:t xml:space="preserve">            výzkum, vývoj a inovace</w:t>
            </w:r>
          </w:p>
        </w:tc>
        <w:tc>
          <w:tcPr>
            <w:tcW w:w="1418" w:type="dxa"/>
            <w:tcBorders>
              <w:top w:val="single" w:sz="8" w:space="0" w:color="7F7F7F" w:themeColor="text1" w:themeTint="80"/>
              <w:bottom w:val="single" w:sz="8" w:space="0" w:color="7F7F7F" w:themeColor="text1" w:themeTint="80"/>
            </w:tcBorders>
            <w:shd w:val="clear" w:color="auto" w:fill="auto"/>
          </w:tcPr>
          <w:p w14:paraId="282F7845" w14:textId="77777777" w:rsidR="00E0328C" w:rsidRPr="00331C6E" w:rsidRDefault="00E0328C" w:rsidP="00D25B00">
            <w:pPr>
              <w:ind w:right="10"/>
              <w:jc w:val="right"/>
              <w:rPr>
                <w:b/>
                <w:sz w:val="20"/>
                <w:szCs w:val="20"/>
              </w:rPr>
            </w:pPr>
            <w:r w:rsidRPr="00331C6E">
              <w:rPr>
                <w:b/>
                <w:sz w:val="20"/>
                <w:szCs w:val="20"/>
              </w:rPr>
              <w:t>40 995 660</w:t>
            </w:r>
          </w:p>
          <w:p w14:paraId="4025C59C" w14:textId="77777777" w:rsidR="00E0328C" w:rsidRPr="00331C6E" w:rsidRDefault="00E0328C" w:rsidP="00D25B00">
            <w:pPr>
              <w:ind w:right="10"/>
              <w:jc w:val="right"/>
              <w:rPr>
                <w:sz w:val="20"/>
                <w:szCs w:val="20"/>
              </w:rPr>
            </w:pPr>
            <w:r w:rsidRPr="004760E8">
              <w:rPr>
                <w:color w:val="FF0000"/>
                <w:sz w:val="20"/>
                <w:szCs w:val="20"/>
              </w:rPr>
              <w:t xml:space="preserve">        </w:t>
            </w:r>
            <w:r w:rsidRPr="00331C6E">
              <w:rPr>
                <w:sz w:val="20"/>
                <w:szCs w:val="20"/>
              </w:rPr>
              <w:t>233 790</w:t>
            </w:r>
          </w:p>
          <w:p w14:paraId="041AC3A6" w14:textId="77777777" w:rsidR="00E0328C" w:rsidRPr="00331C6E" w:rsidRDefault="00E0328C" w:rsidP="00D25B00">
            <w:pPr>
              <w:ind w:right="10"/>
              <w:jc w:val="right"/>
              <w:rPr>
                <w:sz w:val="20"/>
                <w:szCs w:val="20"/>
              </w:rPr>
            </w:pPr>
            <w:r w:rsidRPr="00331C6E">
              <w:rPr>
                <w:sz w:val="20"/>
                <w:szCs w:val="20"/>
              </w:rPr>
              <w:t xml:space="preserve">24 310 699           </w:t>
            </w:r>
          </w:p>
          <w:p w14:paraId="11D05FD8" w14:textId="77777777" w:rsidR="00E0328C" w:rsidRPr="00331C6E" w:rsidRDefault="00E0328C" w:rsidP="00D25B00">
            <w:pPr>
              <w:ind w:right="10"/>
              <w:jc w:val="right"/>
              <w:rPr>
                <w:sz w:val="20"/>
                <w:szCs w:val="20"/>
              </w:rPr>
            </w:pPr>
            <w:r w:rsidRPr="00331C6E">
              <w:rPr>
                <w:sz w:val="20"/>
                <w:szCs w:val="20"/>
              </w:rPr>
              <w:t xml:space="preserve">141 260 </w:t>
            </w:r>
          </w:p>
          <w:p w14:paraId="01F99F37" w14:textId="77777777" w:rsidR="00E0328C" w:rsidRPr="00331C6E" w:rsidRDefault="00E0328C" w:rsidP="00D25B00">
            <w:pPr>
              <w:ind w:right="10"/>
              <w:jc w:val="right"/>
              <w:rPr>
                <w:b/>
                <w:sz w:val="20"/>
                <w:szCs w:val="20"/>
              </w:rPr>
            </w:pPr>
            <w:r w:rsidRPr="00331C6E">
              <w:rPr>
                <w:sz w:val="20"/>
                <w:szCs w:val="20"/>
              </w:rPr>
              <w:t xml:space="preserve">53 000  </w:t>
            </w:r>
          </w:p>
        </w:tc>
        <w:tc>
          <w:tcPr>
            <w:tcW w:w="1417" w:type="dxa"/>
            <w:tcBorders>
              <w:top w:val="single" w:sz="8" w:space="0" w:color="7F7F7F" w:themeColor="text1" w:themeTint="80"/>
              <w:bottom w:val="single" w:sz="8" w:space="0" w:color="7F7F7F" w:themeColor="text1" w:themeTint="80"/>
            </w:tcBorders>
            <w:shd w:val="clear" w:color="auto" w:fill="auto"/>
          </w:tcPr>
          <w:p w14:paraId="605DA7DE" w14:textId="77777777" w:rsidR="00E0328C" w:rsidRPr="00111430" w:rsidRDefault="00E0328C" w:rsidP="00D25B00">
            <w:pPr>
              <w:jc w:val="right"/>
              <w:rPr>
                <w:b/>
                <w:sz w:val="20"/>
                <w:szCs w:val="20"/>
              </w:rPr>
            </w:pPr>
            <w:r w:rsidRPr="00111430">
              <w:rPr>
                <w:b/>
                <w:sz w:val="20"/>
                <w:szCs w:val="20"/>
              </w:rPr>
              <w:t xml:space="preserve">25 603 633  </w:t>
            </w:r>
          </w:p>
          <w:p w14:paraId="03FDD3E9" w14:textId="77777777" w:rsidR="00E0328C" w:rsidRPr="00111430" w:rsidRDefault="00E0328C" w:rsidP="00D25B00">
            <w:pPr>
              <w:jc w:val="right"/>
              <w:rPr>
                <w:sz w:val="20"/>
                <w:szCs w:val="20"/>
              </w:rPr>
            </w:pPr>
            <w:r w:rsidRPr="00111430">
              <w:rPr>
                <w:sz w:val="20"/>
                <w:szCs w:val="20"/>
              </w:rPr>
              <w:t>279 364</w:t>
            </w:r>
          </w:p>
          <w:p w14:paraId="3BB7371C" w14:textId="77777777" w:rsidR="00E0328C" w:rsidRPr="00111430" w:rsidRDefault="00E0328C" w:rsidP="00D25B00">
            <w:pPr>
              <w:jc w:val="right"/>
              <w:rPr>
                <w:sz w:val="20"/>
                <w:szCs w:val="20"/>
              </w:rPr>
            </w:pPr>
            <w:r w:rsidRPr="00111430">
              <w:rPr>
                <w:sz w:val="20"/>
                <w:szCs w:val="20"/>
              </w:rPr>
              <w:t>12 402 938</w:t>
            </w:r>
          </w:p>
          <w:p w14:paraId="7ECA001D" w14:textId="77777777" w:rsidR="00E0328C" w:rsidRPr="00111430" w:rsidRDefault="00E0328C" w:rsidP="00D25B00">
            <w:pPr>
              <w:tabs>
                <w:tab w:val="center" w:pos="380"/>
                <w:tab w:val="right" w:pos="761"/>
              </w:tabs>
              <w:jc w:val="right"/>
              <w:rPr>
                <w:sz w:val="20"/>
                <w:szCs w:val="20"/>
              </w:rPr>
            </w:pPr>
            <w:r w:rsidRPr="00111430">
              <w:rPr>
                <w:sz w:val="20"/>
                <w:szCs w:val="20"/>
              </w:rPr>
              <w:t>74 735</w:t>
            </w:r>
          </w:p>
          <w:p w14:paraId="26735BA9" w14:textId="77777777" w:rsidR="00E0328C" w:rsidRPr="00111430" w:rsidRDefault="00E0328C" w:rsidP="00D25B00">
            <w:pPr>
              <w:jc w:val="right"/>
              <w:rPr>
                <w:b/>
                <w:sz w:val="20"/>
                <w:szCs w:val="20"/>
              </w:rPr>
            </w:pPr>
            <w:r w:rsidRPr="00111430">
              <w:rPr>
                <w:sz w:val="20"/>
                <w:szCs w:val="20"/>
              </w:rPr>
              <w:t xml:space="preserve">81 060    </w:t>
            </w:r>
          </w:p>
        </w:tc>
        <w:tc>
          <w:tcPr>
            <w:tcW w:w="1418" w:type="dxa"/>
            <w:tcBorders>
              <w:top w:val="single" w:sz="8" w:space="0" w:color="7F7F7F" w:themeColor="text1" w:themeTint="80"/>
              <w:bottom w:val="single" w:sz="8" w:space="0" w:color="7F7F7F" w:themeColor="text1" w:themeTint="80"/>
            </w:tcBorders>
            <w:shd w:val="clear" w:color="auto" w:fill="auto"/>
          </w:tcPr>
          <w:p w14:paraId="32903770" w14:textId="77777777" w:rsidR="00E0328C" w:rsidRPr="00AE1F63" w:rsidRDefault="00E0328C" w:rsidP="00D25B00">
            <w:pPr>
              <w:jc w:val="right"/>
              <w:rPr>
                <w:b/>
                <w:sz w:val="20"/>
                <w:szCs w:val="20"/>
              </w:rPr>
            </w:pPr>
            <w:r w:rsidRPr="00AE1F63">
              <w:rPr>
                <w:b/>
                <w:sz w:val="20"/>
                <w:szCs w:val="20"/>
              </w:rPr>
              <w:t xml:space="preserve">36 024 603   </w:t>
            </w:r>
          </w:p>
          <w:p w14:paraId="61ABA3BE" w14:textId="77777777" w:rsidR="00E0328C" w:rsidRPr="00AE1F63" w:rsidRDefault="00E0328C" w:rsidP="00D25B00">
            <w:pPr>
              <w:jc w:val="right"/>
              <w:rPr>
                <w:sz w:val="20"/>
                <w:szCs w:val="20"/>
              </w:rPr>
            </w:pPr>
            <w:r w:rsidRPr="00AE1F63">
              <w:rPr>
                <w:sz w:val="20"/>
                <w:szCs w:val="20"/>
              </w:rPr>
              <w:t>282 041</w:t>
            </w:r>
          </w:p>
          <w:p w14:paraId="10B5AAFC" w14:textId="77777777" w:rsidR="00E0328C" w:rsidRPr="00AE1F63" w:rsidRDefault="00E0328C" w:rsidP="00D25B00">
            <w:pPr>
              <w:jc w:val="right"/>
              <w:rPr>
                <w:sz w:val="20"/>
                <w:szCs w:val="20"/>
              </w:rPr>
            </w:pPr>
            <w:r w:rsidRPr="00AE1F63">
              <w:rPr>
                <w:sz w:val="20"/>
                <w:szCs w:val="20"/>
              </w:rPr>
              <w:t>16 528 344</w:t>
            </w:r>
          </w:p>
          <w:p w14:paraId="246D3BCC" w14:textId="77777777" w:rsidR="00E0328C" w:rsidRPr="00AE1F63" w:rsidRDefault="00E0328C" w:rsidP="00D25B00">
            <w:pPr>
              <w:tabs>
                <w:tab w:val="center" w:pos="380"/>
                <w:tab w:val="right" w:pos="761"/>
              </w:tabs>
              <w:jc w:val="right"/>
              <w:rPr>
                <w:sz w:val="20"/>
                <w:szCs w:val="20"/>
              </w:rPr>
            </w:pPr>
            <w:r w:rsidRPr="00AE1F63">
              <w:rPr>
                <w:sz w:val="20"/>
                <w:szCs w:val="20"/>
              </w:rPr>
              <w:t>640 034</w:t>
            </w:r>
          </w:p>
          <w:p w14:paraId="0D9BC812" w14:textId="77777777" w:rsidR="00E0328C" w:rsidRPr="00AE1F63" w:rsidRDefault="00E0328C" w:rsidP="00D25B00">
            <w:pPr>
              <w:jc w:val="right"/>
              <w:rPr>
                <w:b/>
                <w:sz w:val="20"/>
                <w:szCs w:val="20"/>
              </w:rPr>
            </w:pPr>
            <w:r w:rsidRPr="00AE1F63">
              <w:rPr>
                <w:sz w:val="20"/>
                <w:szCs w:val="20"/>
              </w:rPr>
              <w:t xml:space="preserve">67 663    </w:t>
            </w:r>
          </w:p>
        </w:tc>
        <w:tc>
          <w:tcPr>
            <w:tcW w:w="997" w:type="dxa"/>
            <w:tcBorders>
              <w:top w:val="single" w:sz="8" w:space="0" w:color="7F7F7F" w:themeColor="text1" w:themeTint="80"/>
              <w:bottom w:val="single" w:sz="8" w:space="0" w:color="7F7F7F" w:themeColor="text1" w:themeTint="80"/>
            </w:tcBorders>
            <w:shd w:val="clear" w:color="auto" w:fill="auto"/>
          </w:tcPr>
          <w:p w14:paraId="2C570E8A" w14:textId="77777777" w:rsidR="00E0328C" w:rsidRPr="00AE1F63" w:rsidRDefault="00E0328C" w:rsidP="00D25B00">
            <w:pPr>
              <w:jc w:val="right"/>
              <w:rPr>
                <w:b/>
                <w:sz w:val="20"/>
                <w:szCs w:val="20"/>
              </w:rPr>
            </w:pPr>
            <w:r w:rsidRPr="00AE1F63">
              <w:rPr>
                <w:b/>
                <w:sz w:val="20"/>
                <w:szCs w:val="20"/>
              </w:rPr>
              <w:t>140,70</w:t>
            </w:r>
          </w:p>
          <w:p w14:paraId="22D5A039" w14:textId="77777777" w:rsidR="00E0328C" w:rsidRPr="00AE1F63" w:rsidRDefault="00E0328C" w:rsidP="00D25B00">
            <w:pPr>
              <w:jc w:val="right"/>
              <w:rPr>
                <w:sz w:val="20"/>
                <w:szCs w:val="20"/>
              </w:rPr>
            </w:pPr>
            <w:r w:rsidRPr="00AE1F63">
              <w:rPr>
                <w:sz w:val="20"/>
                <w:szCs w:val="20"/>
              </w:rPr>
              <w:t xml:space="preserve">    100,96</w:t>
            </w:r>
          </w:p>
          <w:p w14:paraId="7870673F" w14:textId="77777777" w:rsidR="00E0328C" w:rsidRPr="00AE1F63" w:rsidRDefault="00E0328C" w:rsidP="00D25B00">
            <w:pPr>
              <w:jc w:val="right"/>
              <w:rPr>
                <w:sz w:val="20"/>
                <w:szCs w:val="20"/>
              </w:rPr>
            </w:pPr>
            <w:r w:rsidRPr="00AE1F63">
              <w:rPr>
                <w:sz w:val="20"/>
                <w:szCs w:val="20"/>
              </w:rPr>
              <w:t>133,26</w:t>
            </w:r>
          </w:p>
          <w:p w14:paraId="0B35D31A" w14:textId="77777777" w:rsidR="00E0328C" w:rsidRPr="00AE1F63" w:rsidRDefault="00E0328C" w:rsidP="00D25B00">
            <w:pPr>
              <w:jc w:val="right"/>
              <w:rPr>
                <w:sz w:val="20"/>
                <w:szCs w:val="20"/>
              </w:rPr>
            </w:pPr>
            <w:r w:rsidRPr="00AE1F63">
              <w:rPr>
                <w:sz w:val="20"/>
                <w:szCs w:val="20"/>
              </w:rPr>
              <w:t>856,40</w:t>
            </w:r>
          </w:p>
          <w:p w14:paraId="2AF03F9F" w14:textId="77777777" w:rsidR="00E0328C" w:rsidRPr="00AE1F63" w:rsidRDefault="00E0328C" w:rsidP="00D25B00">
            <w:pPr>
              <w:jc w:val="right"/>
              <w:rPr>
                <w:sz w:val="20"/>
                <w:szCs w:val="20"/>
              </w:rPr>
            </w:pPr>
            <w:r w:rsidRPr="00AE1F63">
              <w:rPr>
                <w:sz w:val="20"/>
                <w:szCs w:val="20"/>
              </w:rPr>
              <w:t>83,47</w:t>
            </w:r>
          </w:p>
        </w:tc>
      </w:tr>
    </w:tbl>
    <w:p w14:paraId="0A282724" w14:textId="4535A15B" w:rsidR="00857587" w:rsidRPr="00E8518E" w:rsidRDefault="00857587" w:rsidP="00857587">
      <w:pPr>
        <w:rPr>
          <w:rFonts w:cs="Times New Roman"/>
          <w:bCs/>
          <w:color w:val="FF0000"/>
          <w:szCs w:val="24"/>
        </w:rPr>
      </w:pPr>
      <w:r w:rsidRPr="00E8518E">
        <w:rPr>
          <w:color w:val="FF0000"/>
        </w:rPr>
        <w:t xml:space="preserve">                                                                                                                                                                       </w:t>
      </w:r>
    </w:p>
    <w:p w14:paraId="41724B59" w14:textId="4A4AFF4D" w:rsidR="00857587" w:rsidRPr="0088307E" w:rsidRDefault="00857587" w:rsidP="00857587">
      <w:pPr>
        <w:pStyle w:val="Titulek"/>
      </w:pPr>
      <w:bookmarkStart w:id="153" w:name="_Toc463338096"/>
      <w:bookmarkStart w:id="154" w:name="_Toc115788013"/>
      <w:r w:rsidRPr="0088307E">
        <w:t xml:space="preserve">Graf č. </w:t>
      </w:r>
      <w:r w:rsidR="0001421C" w:rsidRPr="0088307E">
        <w:rPr>
          <w:noProof/>
        </w:rPr>
        <w:fldChar w:fldCharType="begin"/>
      </w:r>
      <w:r w:rsidR="0001421C" w:rsidRPr="0088307E">
        <w:rPr>
          <w:noProof/>
        </w:rPr>
        <w:instrText xml:space="preserve"> SEQ Graf_č. \* ARABIC </w:instrText>
      </w:r>
      <w:r w:rsidR="0001421C" w:rsidRPr="0088307E">
        <w:rPr>
          <w:noProof/>
        </w:rPr>
        <w:fldChar w:fldCharType="separate"/>
      </w:r>
      <w:r w:rsidR="00F80947">
        <w:rPr>
          <w:noProof/>
        </w:rPr>
        <w:t>5</w:t>
      </w:r>
      <w:r w:rsidR="0001421C" w:rsidRPr="0088307E">
        <w:rPr>
          <w:noProof/>
        </w:rPr>
        <w:fldChar w:fldCharType="end"/>
      </w:r>
      <w:r w:rsidRPr="0088307E">
        <w:t xml:space="preserve">: Členění běžných výdajů </w:t>
      </w:r>
      <w:bookmarkEnd w:id="153"/>
      <w:r w:rsidR="004D0049" w:rsidRPr="0088307E">
        <w:t>202</w:t>
      </w:r>
      <w:r w:rsidR="003E4CA8" w:rsidRPr="0088307E">
        <w:t>3</w:t>
      </w:r>
      <w:bookmarkEnd w:id="154"/>
    </w:p>
    <w:p w14:paraId="58C162CF" w14:textId="77777777" w:rsidR="00857587" w:rsidRPr="00E8518E" w:rsidRDefault="004D0049" w:rsidP="00857587">
      <w:pPr>
        <w:pStyle w:val="obyctext"/>
        <w:ind w:firstLine="0"/>
        <w:rPr>
          <w:noProof/>
          <w:color w:val="FF0000"/>
        </w:rPr>
      </w:pPr>
      <w:r w:rsidRPr="00E8518E">
        <w:rPr>
          <w:noProof/>
          <w:color w:val="FF0000"/>
        </w:rPr>
        <w:drawing>
          <wp:inline distT="0" distB="0" distL="0" distR="0" wp14:anchorId="0E476A8B" wp14:editId="6184414E">
            <wp:extent cx="5760720" cy="2699385"/>
            <wp:effectExtent l="0" t="0" r="11430" b="5715"/>
            <wp:docPr id="8" name="Graf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0DF87200" w14:textId="77777777" w:rsidR="00116974" w:rsidRPr="0088307E" w:rsidRDefault="00116974" w:rsidP="00116974">
      <w:pPr>
        <w:pStyle w:val="Nadpis3"/>
      </w:pPr>
      <w:bookmarkStart w:id="155" w:name="_Toc462314390"/>
      <w:bookmarkStart w:id="156" w:name="_Toc115787739"/>
      <w:r w:rsidRPr="0088307E">
        <w:t>Běžné výdaje organizačních složek státu bez podseskupení položek 521, 522, 531, 532, 533, 551, 553, 554, 561 a položky 5193</w:t>
      </w:r>
      <w:bookmarkEnd w:id="155"/>
      <w:bookmarkEnd w:id="156"/>
      <w:r w:rsidRPr="0088307E">
        <w:t xml:space="preserve"> </w:t>
      </w:r>
    </w:p>
    <w:p w14:paraId="0F3A1277" w14:textId="14C4C076" w:rsidR="00116974" w:rsidRPr="0088307E" w:rsidRDefault="00116974" w:rsidP="00116974">
      <w:pPr>
        <w:pStyle w:val="Styl1"/>
      </w:pPr>
      <w:r w:rsidRPr="0088307E">
        <w:t xml:space="preserve">Navrhovaný objem běžných výdajů po vyloučení podseskupení položek rozpočtové skladby 521, 522, 531, 532, 533, 551, 553, 554, 561 a položky 5193  ve výši  </w:t>
      </w:r>
      <w:r w:rsidR="00F71198">
        <w:t>6 648 1</w:t>
      </w:r>
      <w:r w:rsidR="000937F0" w:rsidRPr="0088307E">
        <w:t xml:space="preserve">07 </w:t>
      </w:r>
      <w:r w:rsidRPr="0088307E">
        <w:t xml:space="preserve"> tis. Kč, tj. </w:t>
      </w:r>
      <w:r w:rsidR="00F71198">
        <w:t>256</w:t>
      </w:r>
      <w:r w:rsidRPr="0088307E">
        <w:t>,</w:t>
      </w:r>
      <w:r w:rsidR="00F71198">
        <w:t>31</w:t>
      </w:r>
      <w:r w:rsidRPr="0088307E">
        <w:t xml:space="preserve"> % schváleného rozpočtu na rok 202</w:t>
      </w:r>
      <w:r w:rsidR="000937F0" w:rsidRPr="0088307E">
        <w:t>2</w:t>
      </w:r>
      <w:r w:rsidRPr="0088307E">
        <w:t>, je určen na financování orgánů státní správy a ostatní organizační složky státu.</w:t>
      </w:r>
    </w:p>
    <w:p w14:paraId="41E31601" w14:textId="77777777" w:rsidR="00B06722" w:rsidRPr="0088307E" w:rsidRDefault="00B06722" w:rsidP="00B06722">
      <w:pPr>
        <w:pStyle w:val="obyctext"/>
        <w:ind w:firstLine="0"/>
        <w:rPr>
          <w:b/>
        </w:rPr>
      </w:pPr>
      <w:r w:rsidRPr="0088307E">
        <w:rPr>
          <w:b/>
        </w:rPr>
        <w:t>Organizační složky státu zajišťující výkon státní správy:</w:t>
      </w:r>
    </w:p>
    <w:p w14:paraId="3FCFF5BC" w14:textId="77777777" w:rsidR="00B06722" w:rsidRPr="0088307E" w:rsidRDefault="005D6577" w:rsidP="004B2F70">
      <w:pPr>
        <w:pStyle w:val="Styl1"/>
        <w:numPr>
          <w:ilvl w:val="0"/>
          <w:numId w:val="13"/>
        </w:numPr>
        <w:spacing w:after="0"/>
      </w:pPr>
      <w:r w:rsidRPr="0088307E">
        <w:t>ú</w:t>
      </w:r>
      <w:r w:rsidR="00B06722" w:rsidRPr="0088307E">
        <w:t>střední orgán Ministerstva dopravy (ÚO MD)</w:t>
      </w:r>
    </w:p>
    <w:p w14:paraId="2813112E" w14:textId="77777777" w:rsidR="00B06722" w:rsidRPr="0088307E" w:rsidRDefault="00B06722" w:rsidP="004B2F70">
      <w:pPr>
        <w:pStyle w:val="Styl1"/>
        <w:numPr>
          <w:ilvl w:val="0"/>
          <w:numId w:val="13"/>
        </w:numPr>
        <w:spacing w:after="0"/>
      </w:pPr>
      <w:r w:rsidRPr="0088307E">
        <w:t>Úřad pro civilní letectví (ÚCL)</w:t>
      </w:r>
    </w:p>
    <w:p w14:paraId="7E86CA0E" w14:textId="77777777" w:rsidR="00B06722" w:rsidRPr="0088307E" w:rsidRDefault="00B06722" w:rsidP="004B2F70">
      <w:pPr>
        <w:pStyle w:val="Styl1"/>
        <w:numPr>
          <w:ilvl w:val="0"/>
          <w:numId w:val="13"/>
        </w:numPr>
        <w:spacing w:after="0"/>
      </w:pPr>
      <w:r w:rsidRPr="0088307E">
        <w:t>Státní plavební správa (SPS)</w:t>
      </w:r>
    </w:p>
    <w:p w14:paraId="14026BB5" w14:textId="77777777" w:rsidR="00B06722" w:rsidRPr="0088307E" w:rsidRDefault="00B06722" w:rsidP="004B2F70">
      <w:pPr>
        <w:pStyle w:val="Styl1"/>
        <w:numPr>
          <w:ilvl w:val="0"/>
          <w:numId w:val="13"/>
        </w:numPr>
        <w:spacing w:after="0"/>
      </w:pPr>
      <w:r w:rsidRPr="0088307E">
        <w:t>Drážní úřad (DÚ)</w:t>
      </w:r>
    </w:p>
    <w:p w14:paraId="3BEAB288" w14:textId="77777777" w:rsidR="00B06722" w:rsidRPr="0088307E" w:rsidRDefault="00B06722" w:rsidP="004B2F70">
      <w:pPr>
        <w:pStyle w:val="Styl1"/>
        <w:numPr>
          <w:ilvl w:val="0"/>
          <w:numId w:val="13"/>
        </w:numPr>
        <w:spacing w:after="0"/>
      </w:pPr>
      <w:r w:rsidRPr="0088307E">
        <w:t>Drážní inspekce (DI)</w:t>
      </w:r>
    </w:p>
    <w:p w14:paraId="35CFD297" w14:textId="77777777" w:rsidR="00B06722" w:rsidRPr="0088307E" w:rsidRDefault="00B06722" w:rsidP="004B2F70">
      <w:pPr>
        <w:pStyle w:val="Styl1"/>
        <w:numPr>
          <w:ilvl w:val="0"/>
          <w:numId w:val="13"/>
        </w:numPr>
        <w:spacing w:after="0"/>
      </w:pPr>
      <w:r w:rsidRPr="0088307E">
        <w:t>Ústav pro odborné zjišťování příčin leteckých nehod (ÚZPLN)</w:t>
      </w:r>
    </w:p>
    <w:p w14:paraId="00CEB3C4" w14:textId="77777777" w:rsidR="00B06722" w:rsidRPr="0088307E" w:rsidRDefault="00B06722" w:rsidP="00B06722">
      <w:pPr>
        <w:pStyle w:val="obyctext"/>
        <w:spacing w:before="220"/>
        <w:ind w:firstLine="0"/>
        <w:rPr>
          <w:b/>
        </w:rPr>
      </w:pPr>
      <w:r w:rsidRPr="0088307E">
        <w:rPr>
          <w:b/>
        </w:rPr>
        <w:t>Ostatní organizační složky státu:</w:t>
      </w:r>
    </w:p>
    <w:p w14:paraId="0008EB59" w14:textId="51A3BACF" w:rsidR="00670FCB" w:rsidRPr="0088307E" w:rsidRDefault="00B06722" w:rsidP="0088307E">
      <w:pPr>
        <w:pStyle w:val="Styl1"/>
        <w:numPr>
          <w:ilvl w:val="0"/>
          <w:numId w:val="13"/>
        </w:numPr>
        <w:tabs>
          <w:tab w:val="left" w:pos="567"/>
        </w:tabs>
        <w:spacing w:before="140" w:after="140"/>
      </w:pPr>
      <w:r w:rsidRPr="0088307E">
        <w:t>Ředitelství vodních cest ČR (ŘVC ČR)</w:t>
      </w:r>
    </w:p>
    <w:p w14:paraId="713960C0" w14:textId="77777777" w:rsidR="001B037B" w:rsidRPr="0088307E" w:rsidRDefault="00B06722" w:rsidP="00670FCB">
      <w:pPr>
        <w:pStyle w:val="Styl1"/>
      </w:pPr>
      <w:r w:rsidRPr="0088307E">
        <w:t>Výše navržených běžných výdajů je výrazně ovlivněna zejména</w:t>
      </w:r>
      <w:r w:rsidRPr="0088307E">
        <w:rPr>
          <w:rFonts w:asciiTheme="minorHAnsi" w:eastAsiaTheme="minorHAnsi" w:hAnsiTheme="minorHAnsi" w:cstheme="minorBidi"/>
          <w:sz w:val="22"/>
          <w:szCs w:val="22"/>
          <w:lang w:eastAsia="en-US"/>
        </w:rPr>
        <w:t xml:space="preserve"> </w:t>
      </w:r>
      <w:r w:rsidRPr="0088307E">
        <w:t xml:space="preserve">výdaji na kompenzaci ztráty vznikající dopravcům ve veřejné osobní dopravě přiznáváním státem nařízených slev, dopadem zabezpečení činností spojených s dopravně správními agendami vyplývajících ze zákona </w:t>
      </w:r>
      <w:r w:rsidRPr="0088307E">
        <w:br/>
        <w:t xml:space="preserve">č. 247/2000 Sb., o získávání a zdokonalování odborné způsobilosti k řízení motorových vozidel a o změnách některých zákonů, ve znění pozdějších úprav, zákona č. 361/2000 Sb., o provozu na pozemních komunikacích a o změnách některých zákonů, ve znění pozdějších úprav, zákona č. 56/2001 Sb., o podmínkách provozu vozidel na pozemních komunikacích a o změně zákona č. 168/1999 Sb., o pojištění odpovědnosti za škodu způsobenou provozem vozidla a o změně některých souvisejících zákonů, ve znění pozdějších úprav. Další výdaje vyplynuly zejména </w:t>
      </w:r>
      <w:r w:rsidRPr="0088307E">
        <w:br/>
        <w:t>ze zákona č. 240/2000 Sb., o krizovém řízení a o změně některých zákonů, ve znění pozdějších úprav a ze zákona č. 241/2000 Sb., o hospodářských opatřeních pro krizové stavy a o změně některých souvisejících zákonů, ve znění pozdějších úprav.</w:t>
      </w:r>
    </w:p>
    <w:p w14:paraId="41419CC6" w14:textId="77777777" w:rsidR="003A0B78" w:rsidRPr="0088307E" w:rsidRDefault="003A0B78" w:rsidP="003A0B78">
      <w:pPr>
        <w:pStyle w:val="Nadpis3"/>
      </w:pPr>
      <w:bookmarkStart w:id="157" w:name="_Toc21936868"/>
      <w:bookmarkStart w:id="158" w:name="_Toc115787740"/>
      <w:bookmarkStart w:id="159" w:name="_Toc462314392"/>
      <w:bookmarkEnd w:id="152"/>
      <w:r w:rsidRPr="0088307E">
        <w:t>Výdaje na platy a počty pracovníků za OSS a PO</w:t>
      </w:r>
      <w:bookmarkEnd w:id="157"/>
      <w:bookmarkEnd w:id="158"/>
    </w:p>
    <w:p w14:paraId="63756352" w14:textId="77777777" w:rsidR="00115B57" w:rsidRPr="0050077F" w:rsidRDefault="00115B57" w:rsidP="00115B57">
      <w:pPr>
        <w:pStyle w:val="Nadpis9"/>
      </w:pPr>
      <w:r w:rsidRPr="0050077F">
        <w:t>A) Objem výdajů na platy a ostatní platby za provedenou práci</w:t>
      </w:r>
    </w:p>
    <w:p w14:paraId="29703CF2" w14:textId="077F1F6C" w:rsidR="00115B57" w:rsidRPr="0050077F" w:rsidRDefault="00115B57" w:rsidP="00115B57">
      <w:pPr>
        <w:pStyle w:val="Styl1"/>
      </w:pPr>
      <w:r w:rsidRPr="0050077F">
        <w:t>Objem výdajů na platy a ostatní platby za provedenou práci organizačních</w:t>
      </w:r>
      <w:r w:rsidR="00841077">
        <w:t xml:space="preserve"> složek státu (ú</w:t>
      </w:r>
      <w:r w:rsidRPr="0050077F">
        <w:t xml:space="preserve">střední orgán MD, Úřad pro civilní letectví, Státní plavební správa, Drážní úřad, Drážní inspekce, Ústav pro odborné zjišťování příčin leteckých nehod a Ředitelství vodních cest ČR) a objem nákladů na platy a ostatní osobní náklady příspěvkové organizace (Centrum služeb </w:t>
      </w:r>
      <w:r w:rsidRPr="0050077F">
        <w:br/>
        <w:t xml:space="preserve">pro silniční dopravu) je navrhován v celkové výši </w:t>
      </w:r>
      <w:r>
        <w:t>630 362</w:t>
      </w:r>
      <w:r w:rsidRPr="00C75806">
        <w:rPr>
          <w:color w:val="2E74B5" w:themeColor="accent1" w:themeShade="BF"/>
        </w:rPr>
        <w:t xml:space="preserve"> </w:t>
      </w:r>
      <w:r w:rsidRPr="0050077F">
        <w:t xml:space="preserve">tis. Kč, což představuje navýšení </w:t>
      </w:r>
      <w:r w:rsidRPr="0050077F">
        <w:br/>
        <w:t xml:space="preserve">o </w:t>
      </w:r>
      <w:r>
        <w:t>50 358</w:t>
      </w:r>
      <w:r w:rsidRPr="0050077F">
        <w:t xml:space="preserve"> tis. Kč, tj. o </w:t>
      </w:r>
      <w:r>
        <w:t>8</w:t>
      </w:r>
      <w:r w:rsidRPr="0050077F">
        <w:t>,</w:t>
      </w:r>
      <w:r>
        <w:t>68</w:t>
      </w:r>
      <w:r w:rsidRPr="0050077F">
        <w:t xml:space="preserve"> % oproti roku 2022, kdy objem prostředků byl schválen ve výši </w:t>
      </w:r>
      <w:r w:rsidRPr="0050077F">
        <w:br/>
        <w:t>580 005 tis. Kč.</w:t>
      </w:r>
    </w:p>
    <w:p w14:paraId="51DEE8EE" w14:textId="77777777" w:rsidR="00115B57" w:rsidRPr="00310F26" w:rsidRDefault="00115B57" w:rsidP="00115B57">
      <w:pPr>
        <w:pStyle w:val="obyctext"/>
        <w:spacing w:before="240" w:after="0"/>
        <w:ind w:firstLine="0"/>
        <w:rPr>
          <w:b/>
        </w:rPr>
      </w:pPr>
      <w:r w:rsidRPr="00310F26">
        <w:rPr>
          <w:b/>
        </w:rPr>
        <w:t>V</w:t>
      </w:r>
      <w:r w:rsidRPr="00C75806">
        <w:rPr>
          <w:b/>
          <w:color w:val="2E74B5" w:themeColor="accent1" w:themeShade="BF"/>
        </w:rPr>
        <w:t> </w:t>
      </w:r>
      <w:r w:rsidRPr="00310F26">
        <w:rPr>
          <w:b/>
        </w:rPr>
        <w:t>oblasti platů a ostatních plateb za provedenou práci byly promítnuty na rok 202</w:t>
      </w:r>
      <w:r>
        <w:rPr>
          <w:b/>
        </w:rPr>
        <w:t>3</w:t>
      </w:r>
      <w:r w:rsidRPr="00310F26">
        <w:rPr>
          <w:b/>
        </w:rPr>
        <w:t xml:space="preserve"> tyto změny oproti schválenému rozpočtu na rok 202</w:t>
      </w:r>
      <w:r>
        <w:rPr>
          <w:b/>
        </w:rPr>
        <w:t>2</w:t>
      </w:r>
      <w:r w:rsidRPr="00310F26">
        <w:rPr>
          <w:b/>
        </w:rPr>
        <w:t>:</w:t>
      </w:r>
    </w:p>
    <w:p w14:paraId="6F9AC435" w14:textId="77777777" w:rsidR="00115B57" w:rsidRDefault="00115B57" w:rsidP="00115B57">
      <w:pPr>
        <w:pStyle w:val="obyctext"/>
        <w:numPr>
          <w:ilvl w:val="0"/>
          <w:numId w:val="19"/>
        </w:numPr>
        <w:tabs>
          <w:tab w:val="left" w:pos="567"/>
          <w:tab w:val="left" w:pos="851"/>
        </w:tabs>
        <w:spacing w:before="60" w:after="0"/>
        <w:ind w:left="567" w:hanging="283"/>
      </w:pPr>
      <w:r>
        <w:t xml:space="preserve">navýšení prostředků na platy o 6 % u </w:t>
      </w:r>
      <w:proofErr w:type="gramStart"/>
      <w:r>
        <w:t>OSS</w:t>
      </w:r>
      <w:proofErr w:type="gramEnd"/>
      <w:r>
        <w:t xml:space="preserve">, PO (netýká se prostředků z fondů EU </w:t>
      </w:r>
      <w:r>
        <w:br/>
        <w:t>a k zajištění příprav předsednictví ČR v Radě EU);</w:t>
      </w:r>
    </w:p>
    <w:p w14:paraId="1F66059D" w14:textId="77777777" w:rsidR="00115B57" w:rsidRPr="00141BA2" w:rsidRDefault="00115B57" w:rsidP="00115B57">
      <w:pPr>
        <w:pStyle w:val="obyctext"/>
        <w:numPr>
          <w:ilvl w:val="0"/>
          <w:numId w:val="19"/>
        </w:numPr>
        <w:tabs>
          <w:tab w:val="left" w:pos="567"/>
          <w:tab w:val="left" w:pos="851"/>
        </w:tabs>
        <w:spacing w:before="60" w:after="0"/>
        <w:ind w:left="567" w:hanging="283"/>
      </w:pPr>
      <w:r w:rsidRPr="00141BA2">
        <w:t>snížení prostředků na platy v souladu s UV č. 729/2019 k zajištění příprav předsednictví ČR v Radě EU;</w:t>
      </w:r>
    </w:p>
    <w:p w14:paraId="27F2224A" w14:textId="77777777" w:rsidR="00115B57" w:rsidRPr="00141BA2" w:rsidRDefault="00115B57" w:rsidP="00115B57">
      <w:pPr>
        <w:pStyle w:val="obyctext"/>
        <w:numPr>
          <w:ilvl w:val="0"/>
          <w:numId w:val="19"/>
        </w:numPr>
        <w:tabs>
          <w:tab w:val="left" w:pos="567"/>
        </w:tabs>
        <w:spacing w:before="60" w:after="0"/>
        <w:ind w:left="567" w:hanging="283"/>
      </w:pPr>
      <w:r w:rsidRPr="00141BA2">
        <w:t>navýšení objemu prostředků na platy a ostatní platby za provedenou práci z fondů EU (SR a EU podíl);</w:t>
      </w:r>
    </w:p>
    <w:p w14:paraId="0F1A4AF3" w14:textId="77777777" w:rsidR="00115B57" w:rsidRPr="0099190C" w:rsidRDefault="00115B57" w:rsidP="00115B57">
      <w:pPr>
        <w:pStyle w:val="obyctext"/>
        <w:numPr>
          <w:ilvl w:val="0"/>
          <w:numId w:val="19"/>
        </w:numPr>
        <w:tabs>
          <w:tab w:val="left" w:pos="567"/>
          <w:tab w:val="left" w:pos="851"/>
        </w:tabs>
        <w:spacing w:before="60" w:after="0"/>
        <w:ind w:left="567" w:hanging="283"/>
      </w:pPr>
      <w:r w:rsidRPr="0099190C">
        <w:t>navýšení prostředků na platy ze základního rozpočtu z důvodu navýšení SR podílu na platy u Komunitárních programů 2014+ a Operačního programu Zaměstnanost 2014+ v minulém roce;</w:t>
      </w:r>
    </w:p>
    <w:p w14:paraId="7EBA0C7D" w14:textId="77777777" w:rsidR="00115B57" w:rsidRPr="006013AE" w:rsidRDefault="00115B57" w:rsidP="00115B57">
      <w:pPr>
        <w:pStyle w:val="obyctext"/>
        <w:numPr>
          <w:ilvl w:val="0"/>
          <w:numId w:val="19"/>
        </w:numPr>
        <w:tabs>
          <w:tab w:val="left" w:pos="567"/>
        </w:tabs>
        <w:spacing w:before="60" w:after="0"/>
        <w:ind w:left="567" w:hanging="283"/>
        <w:rPr>
          <w:color w:val="2E74B5" w:themeColor="accent1" w:themeShade="BF"/>
        </w:rPr>
      </w:pPr>
      <w:r w:rsidRPr="006013AE">
        <w:t>navýšení prostředků na</w:t>
      </w:r>
      <w:r>
        <w:t xml:space="preserve"> plat představitele státní moci.</w:t>
      </w:r>
    </w:p>
    <w:p w14:paraId="427E0ACD" w14:textId="77777777" w:rsidR="00115B57" w:rsidRPr="001B7405" w:rsidRDefault="00115B57" w:rsidP="00115B57">
      <w:pPr>
        <w:pStyle w:val="obyctext"/>
        <w:tabs>
          <w:tab w:val="left" w:pos="567"/>
        </w:tabs>
        <w:spacing w:before="240" w:after="0"/>
        <w:ind w:firstLine="0"/>
        <w:rPr>
          <w:b/>
        </w:rPr>
      </w:pPr>
      <w:r w:rsidRPr="001B7405">
        <w:rPr>
          <w:b/>
        </w:rPr>
        <w:t xml:space="preserve">U jednotlivých OSS a PO jsou na rok 2023 promítnuté tyto změny: </w:t>
      </w:r>
    </w:p>
    <w:p w14:paraId="787129D2" w14:textId="77777777" w:rsidR="00115B57" w:rsidRPr="0029711C" w:rsidRDefault="00115B57" w:rsidP="00115B57">
      <w:pPr>
        <w:pStyle w:val="Nadpis8"/>
      </w:pPr>
      <w:r w:rsidRPr="0029711C">
        <w:t>ÚO MD</w:t>
      </w:r>
    </w:p>
    <w:p w14:paraId="285E44D7" w14:textId="77777777" w:rsidR="00115B57" w:rsidRPr="00147907" w:rsidRDefault="00115B57" w:rsidP="00115B57">
      <w:pPr>
        <w:pStyle w:val="obyctext"/>
        <w:numPr>
          <w:ilvl w:val="0"/>
          <w:numId w:val="18"/>
        </w:numPr>
        <w:tabs>
          <w:tab w:val="left" w:pos="426"/>
        </w:tabs>
        <w:spacing w:after="0"/>
        <w:ind w:left="425" w:hanging="425"/>
        <w:rPr>
          <w:b/>
        </w:rPr>
      </w:pPr>
      <w:r>
        <w:t>navýšení prostředků na platy o 6 %, tj. ve výši 14 482 tis. Kč (netýká se prostředků z fondů EU a k zajištění příprav předsednictví ČR v Radě EU);</w:t>
      </w:r>
    </w:p>
    <w:p w14:paraId="4383C725" w14:textId="77777777" w:rsidR="00115B57" w:rsidRPr="008F1694" w:rsidRDefault="00115B57" w:rsidP="00115B57">
      <w:pPr>
        <w:pStyle w:val="obyctext"/>
        <w:numPr>
          <w:ilvl w:val="0"/>
          <w:numId w:val="18"/>
        </w:numPr>
        <w:tabs>
          <w:tab w:val="left" w:pos="426"/>
        </w:tabs>
        <w:spacing w:after="0"/>
        <w:ind w:left="425" w:hanging="425"/>
        <w:rPr>
          <w:b/>
        </w:rPr>
      </w:pPr>
      <w:r w:rsidRPr="008F1694">
        <w:t xml:space="preserve">snížení prostředků na platy ve výši 1 920 tis. Kč v souladu s UV č. 729/2019 k zajištění příprav předsednictví ČR v Radě EU; </w:t>
      </w:r>
    </w:p>
    <w:p w14:paraId="317BA485" w14:textId="77777777" w:rsidR="00115B57" w:rsidRPr="007A7580" w:rsidRDefault="00115B57" w:rsidP="00115B57">
      <w:pPr>
        <w:pStyle w:val="obyctext"/>
        <w:numPr>
          <w:ilvl w:val="0"/>
          <w:numId w:val="18"/>
        </w:numPr>
        <w:tabs>
          <w:tab w:val="left" w:pos="426"/>
        </w:tabs>
        <w:spacing w:after="0"/>
        <w:ind w:left="425" w:hanging="425"/>
        <w:rPr>
          <w:b/>
        </w:rPr>
      </w:pPr>
      <w:r w:rsidRPr="007A7580">
        <w:t>navýšení prostředků na platy a ostatní platby za provedenou práci u projektů EU ve výši 20 </w:t>
      </w:r>
      <w:r>
        <w:t>318</w:t>
      </w:r>
      <w:r w:rsidRPr="007A7580">
        <w:t xml:space="preserve"> tis. Kč (SR podíl ve výši 1 465 tis. Kč a EU podíl ve výši 18 853 tis. Kč), jednalo se o kombinací následujících změn: </w:t>
      </w:r>
    </w:p>
    <w:p w14:paraId="6F634021" w14:textId="77777777" w:rsidR="00115B57" w:rsidRPr="007A7580" w:rsidRDefault="00115B57" w:rsidP="00115B57">
      <w:pPr>
        <w:pStyle w:val="obyctext"/>
        <w:numPr>
          <w:ilvl w:val="0"/>
          <w:numId w:val="5"/>
        </w:numPr>
        <w:tabs>
          <w:tab w:val="left" w:pos="426"/>
        </w:tabs>
        <w:spacing w:after="0"/>
        <w:rPr>
          <w:b/>
          <w:i/>
        </w:rPr>
      </w:pPr>
      <w:r w:rsidRPr="007A7580">
        <w:rPr>
          <w:i/>
        </w:rPr>
        <w:t xml:space="preserve">snížení prostředků na platy u Operačního programu Doprava 2014+ ve výši </w:t>
      </w:r>
      <w:r w:rsidRPr="007A7580">
        <w:rPr>
          <w:i/>
        </w:rPr>
        <w:br/>
        <w:t>30 126 tis. Kč (dochází k ukončení programu);</w:t>
      </w:r>
    </w:p>
    <w:p w14:paraId="4DA02C92" w14:textId="77777777" w:rsidR="00115B57" w:rsidRPr="007A7580" w:rsidRDefault="00115B57" w:rsidP="00115B57">
      <w:pPr>
        <w:pStyle w:val="obyctext"/>
        <w:numPr>
          <w:ilvl w:val="0"/>
          <w:numId w:val="5"/>
        </w:numPr>
        <w:tabs>
          <w:tab w:val="left" w:pos="426"/>
        </w:tabs>
        <w:spacing w:after="0"/>
        <w:rPr>
          <w:b/>
          <w:i/>
        </w:rPr>
      </w:pPr>
      <w:r w:rsidRPr="007A7580">
        <w:rPr>
          <w:i/>
        </w:rPr>
        <w:t>navýšení prostředků na platy a ostatní platby za provedenou práci u Operačního programu Doprava 2021+ ve výši 32 888 tis. Kč;</w:t>
      </w:r>
    </w:p>
    <w:p w14:paraId="14DABD2D" w14:textId="77777777" w:rsidR="00115B57" w:rsidRPr="007A7580" w:rsidRDefault="00115B57" w:rsidP="00115B57">
      <w:pPr>
        <w:pStyle w:val="obyctext"/>
        <w:numPr>
          <w:ilvl w:val="0"/>
          <w:numId w:val="5"/>
        </w:numPr>
        <w:tabs>
          <w:tab w:val="left" w:pos="426"/>
        </w:tabs>
        <w:spacing w:after="0"/>
        <w:rPr>
          <w:b/>
          <w:i/>
        </w:rPr>
      </w:pPr>
      <w:r w:rsidRPr="007A7580">
        <w:rPr>
          <w:i/>
        </w:rPr>
        <w:t>navýšení prostředků na platy a ostatní platby za provedenou práci u Komunitárních programů 2014+ ve výši  1 088 tis. Kč;</w:t>
      </w:r>
    </w:p>
    <w:p w14:paraId="26981C8C" w14:textId="77777777" w:rsidR="00115B57" w:rsidRPr="007A7580" w:rsidRDefault="00115B57" w:rsidP="00115B57">
      <w:pPr>
        <w:pStyle w:val="obyctext"/>
        <w:numPr>
          <w:ilvl w:val="0"/>
          <w:numId w:val="5"/>
        </w:numPr>
        <w:tabs>
          <w:tab w:val="left" w:pos="426"/>
        </w:tabs>
        <w:spacing w:after="0"/>
        <w:rPr>
          <w:b/>
          <w:i/>
        </w:rPr>
      </w:pPr>
      <w:r w:rsidRPr="007A7580">
        <w:rPr>
          <w:i/>
        </w:rPr>
        <w:t xml:space="preserve">navýšení prostředků na platy a </w:t>
      </w:r>
      <w:proofErr w:type="spellStart"/>
      <w:r w:rsidRPr="007A7580">
        <w:rPr>
          <w:i/>
        </w:rPr>
        <w:t>ostataní</w:t>
      </w:r>
      <w:proofErr w:type="spellEnd"/>
      <w:r w:rsidRPr="007A7580">
        <w:rPr>
          <w:i/>
        </w:rPr>
        <w:t xml:space="preserve"> platby za provedenou práci u Komunitárních programů 2021+ ve výši 5 0</w:t>
      </w:r>
      <w:r>
        <w:rPr>
          <w:i/>
        </w:rPr>
        <w:t>7</w:t>
      </w:r>
      <w:r w:rsidRPr="007A7580">
        <w:rPr>
          <w:i/>
        </w:rPr>
        <w:t>4 tis. Kč;</w:t>
      </w:r>
    </w:p>
    <w:p w14:paraId="348BFF5A" w14:textId="709AAE59" w:rsidR="00115B57" w:rsidRPr="007A7580" w:rsidRDefault="00115B57" w:rsidP="00115B57">
      <w:pPr>
        <w:pStyle w:val="obyctext"/>
        <w:numPr>
          <w:ilvl w:val="0"/>
          <w:numId w:val="5"/>
        </w:numPr>
        <w:tabs>
          <w:tab w:val="left" w:pos="426"/>
        </w:tabs>
        <w:spacing w:after="0"/>
        <w:rPr>
          <w:b/>
          <w:i/>
        </w:rPr>
      </w:pPr>
      <w:r w:rsidRPr="007A7580">
        <w:rPr>
          <w:i/>
        </w:rPr>
        <w:t xml:space="preserve">navýšení prostředků na platy a ostatní platby za provedenou práci u Kosmického programu </w:t>
      </w:r>
      <w:r w:rsidR="004909FE">
        <w:rPr>
          <w:i/>
        </w:rPr>
        <w:t xml:space="preserve">Unie </w:t>
      </w:r>
      <w:r w:rsidRPr="007A7580">
        <w:rPr>
          <w:i/>
        </w:rPr>
        <w:t>ve výši 594 tis. Kč;</w:t>
      </w:r>
    </w:p>
    <w:p w14:paraId="79CFE706" w14:textId="77777777" w:rsidR="00115B57" w:rsidRPr="007A7580" w:rsidRDefault="00115B57" w:rsidP="00115B57">
      <w:pPr>
        <w:pStyle w:val="obyctext"/>
        <w:numPr>
          <w:ilvl w:val="0"/>
          <w:numId w:val="5"/>
        </w:numPr>
        <w:tabs>
          <w:tab w:val="left" w:pos="426"/>
        </w:tabs>
        <w:spacing w:after="0"/>
        <w:rPr>
          <w:b/>
          <w:i/>
        </w:rPr>
      </w:pPr>
      <w:r w:rsidRPr="007A7580">
        <w:rPr>
          <w:i/>
        </w:rPr>
        <w:t>navýšení prostředků na platy a ostatní platby za provedenou práci u projektu BAR ve výši 10 800 tis. Kč.</w:t>
      </w:r>
    </w:p>
    <w:p w14:paraId="37DECE63" w14:textId="77777777" w:rsidR="00115B57" w:rsidRDefault="00115B57" w:rsidP="00115B57">
      <w:pPr>
        <w:pStyle w:val="obyctext"/>
        <w:numPr>
          <w:ilvl w:val="0"/>
          <w:numId w:val="18"/>
        </w:numPr>
        <w:tabs>
          <w:tab w:val="left" w:pos="709"/>
        </w:tabs>
        <w:spacing w:before="180" w:after="0"/>
        <w:ind w:left="426" w:hanging="426"/>
      </w:pPr>
      <w:r>
        <w:t>navýšení prostředků na platy ze základního rozpočtu ve výši 309 tis. Kč (prostředky byly v minulém roce určené na SR podíl na platy u Komunitárních programu 2014+);</w:t>
      </w:r>
    </w:p>
    <w:p w14:paraId="79A07385" w14:textId="77777777" w:rsidR="00115B57" w:rsidRPr="008F1694" w:rsidRDefault="00115B57" w:rsidP="00115B57">
      <w:pPr>
        <w:pStyle w:val="obyctext"/>
        <w:numPr>
          <w:ilvl w:val="0"/>
          <w:numId w:val="18"/>
        </w:numPr>
        <w:tabs>
          <w:tab w:val="left" w:pos="709"/>
        </w:tabs>
        <w:spacing w:before="180" w:after="0"/>
        <w:ind w:left="426" w:hanging="426"/>
      </w:pPr>
      <w:r w:rsidRPr="008F1694">
        <w:t xml:space="preserve">navýšení prostředků na plat představitele státní moci ve výši </w:t>
      </w:r>
      <w:r>
        <w:t xml:space="preserve">2 344 </w:t>
      </w:r>
      <w:r w:rsidRPr="008F1694">
        <w:t>tis. Kč</w:t>
      </w:r>
      <w:r>
        <w:t xml:space="preserve"> (v roce 2021 nebyl plat ministra čerpán a došlo k převodu do nároků z nespotřebovaných výdajů předchozích let; v roce 2022 nebyl plat ministra rozpočtovaný, byl hrazen z nároků).</w:t>
      </w:r>
    </w:p>
    <w:p w14:paraId="1B7CA111" w14:textId="77777777" w:rsidR="00115B57" w:rsidRPr="0029711C" w:rsidRDefault="00115B57" w:rsidP="00115B57">
      <w:pPr>
        <w:pStyle w:val="Styl1"/>
        <w:rPr>
          <w:b/>
        </w:rPr>
      </w:pPr>
      <w:r w:rsidRPr="0029711C">
        <w:t>Prostředky na platy (32</w:t>
      </w:r>
      <w:r>
        <w:t>7</w:t>
      </w:r>
      <w:r w:rsidRPr="0029711C">
        <w:t xml:space="preserve"> </w:t>
      </w:r>
      <w:r>
        <w:t>397</w:t>
      </w:r>
      <w:r w:rsidRPr="0029711C">
        <w:t xml:space="preserve"> tis. Kč) a ostatní platby za provedenou práci (14 329 tis. Kč) </w:t>
      </w:r>
      <w:r w:rsidRPr="0029711C">
        <w:br/>
        <w:t>u ÚO MD jsou stanovené pro rok 2023 v celkové výši 3</w:t>
      </w:r>
      <w:r>
        <w:t>41</w:t>
      </w:r>
      <w:r w:rsidRPr="0029711C">
        <w:t xml:space="preserve"> </w:t>
      </w:r>
      <w:r>
        <w:t>726</w:t>
      </w:r>
      <w:r w:rsidRPr="0029711C">
        <w:t xml:space="preserve"> tis. Kč. Ve srovnání s rokem 2022 dochází k navýšení o </w:t>
      </w:r>
      <w:r>
        <w:t>35</w:t>
      </w:r>
      <w:r w:rsidRPr="0029711C">
        <w:t xml:space="preserve"> </w:t>
      </w:r>
      <w:r>
        <w:t>533</w:t>
      </w:r>
      <w:r w:rsidRPr="0029711C">
        <w:t xml:space="preserve"> tis. Kč, tj. o </w:t>
      </w:r>
      <w:r>
        <w:t>11</w:t>
      </w:r>
      <w:r w:rsidRPr="0029711C">
        <w:t>,</w:t>
      </w:r>
      <w:r>
        <w:t>60</w:t>
      </w:r>
      <w:r w:rsidRPr="0029711C">
        <w:t xml:space="preserve"> %. </w:t>
      </w:r>
    </w:p>
    <w:p w14:paraId="173BC472" w14:textId="77777777" w:rsidR="00115B57" w:rsidRPr="00C26462" w:rsidRDefault="00115B57" w:rsidP="00115B57">
      <w:pPr>
        <w:pStyle w:val="Nadpis8"/>
      </w:pPr>
      <w:r w:rsidRPr="00C26462">
        <w:t>ÚCL</w:t>
      </w:r>
    </w:p>
    <w:p w14:paraId="6AEC16E3" w14:textId="77777777" w:rsidR="00115B57" w:rsidRPr="00D16385" w:rsidRDefault="00115B57" w:rsidP="00115B57">
      <w:pPr>
        <w:pStyle w:val="obyctext"/>
        <w:numPr>
          <w:ilvl w:val="0"/>
          <w:numId w:val="18"/>
        </w:numPr>
        <w:tabs>
          <w:tab w:val="left" w:pos="426"/>
        </w:tabs>
        <w:spacing w:after="0"/>
        <w:ind w:left="425" w:hanging="425"/>
        <w:rPr>
          <w:b/>
        </w:rPr>
      </w:pPr>
      <w:r>
        <w:t>navýšení prostředků na platy o 6 %, tj. ve výši 6 369 tis. Kč;</w:t>
      </w:r>
    </w:p>
    <w:p w14:paraId="7E36FB9F" w14:textId="77777777" w:rsidR="00115B57" w:rsidRPr="00C26462" w:rsidRDefault="00115B57" w:rsidP="00115B57">
      <w:pPr>
        <w:pStyle w:val="obyctext"/>
        <w:numPr>
          <w:ilvl w:val="0"/>
          <w:numId w:val="18"/>
        </w:numPr>
        <w:tabs>
          <w:tab w:val="left" w:pos="426"/>
        </w:tabs>
        <w:spacing w:after="0"/>
        <w:ind w:left="425" w:hanging="425"/>
        <w:rPr>
          <w:b/>
        </w:rPr>
      </w:pPr>
      <w:r w:rsidRPr="00C26462">
        <w:t xml:space="preserve">snížení prostředků na ostatní platby za provedenou práci ve výši 85 tis. Kč ve prospěch SPS.  </w:t>
      </w:r>
    </w:p>
    <w:p w14:paraId="1E5FF807" w14:textId="77777777" w:rsidR="00115B57" w:rsidRPr="00FA2254" w:rsidRDefault="00115B57" w:rsidP="00115B57">
      <w:pPr>
        <w:pStyle w:val="Styl1"/>
        <w:rPr>
          <w:b/>
        </w:rPr>
      </w:pPr>
      <w:r w:rsidRPr="00FA2254">
        <w:t>Prostředky na platy (1</w:t>
      </w:r>
      <w:r>
        <w:t>12</w:t>
      </w:r>
      <w:r w:rsidRPr="00FA2254">
        <w:t xml:space="preserve"> </w:t>
      </w:r>
      <w:r>
        <w:t>519</w:t>
      </w:r>
      <w:r w:rsidRPr="00FA2254">
        <w:t xml:space="preserve"> tis. Kč) a ostatní platby za provedenou práci (524 tis. Kč) u ÚCL jsou stanovené pro rok 2023 v celkové výši 1</w:t>
      </w:r>
      <w:r>
        <w:t>13</w:t>
      </w:r>
      <w:r w:rsidRPr="00FA2254">
        <w:t xml:space="preserve"> </w:t>
      </w:r>
      <w:r>
        <w:t>043</w:t>
      </w:r>
      <w:r w:rsidRPr="00FA2254">
        <w:t xml:space="preserve"> tis. Kč. Ve srovnání s rokem 2022 dochází k </w:t>
      </w:r>
      <w:r>
        <w:t>navýšení</w:t>
      </w:r>
      <w:r w:rsidRPr="00FA2254">
        <w:t xml:space="preserve"> o </w:t>
      </w:r>
      <w:r>
        <w:t>6 284</w:t>
      </w:r>
      <w:r w:rsidRPr="00FA2254">
        <w:t xml:space="preserve"> tis. Kč, tj. o </w:t>
      </w:r>
      <w:r>
        <w:t>5</w:t>
      </w:r>
      <w:r w:rsidRPr="00FA2254">
        <w:t>,</w:t>
      </w:r>
      <w:r>
        <w:t>89</w:t>
      </w:r>
      <w:r w:rsidRPr="00FA2254">
        <w:t xml:space="preserve"> %.</w:t>
      </w:r>
    </w:p>
    <w:p w14:paraId="62BAE25B" w14:textId="77777777" w:rsidR="00115B57" w:rsidRPr="005D1B67" w:rsidRDefault="00115B57" w:rsidP="00115B57">
      <w:pPr>
        <w:pStyle w:val="Nadpis8"/>
      </w:pPr>
      <w:r w:rsidRPr="005D1B67">
        <w:t>SPS</w:t>
      </w:r>
    </w:p>
    <w:p w14:paraId="368AB7A4" w14:textId="77777777" w:rsidR="00115B57" w:rsidRPr="00D16385" w:rsidRDefault="00115B57" w:rsidP="00115B57">
      <w:pPr>
        <w:pStyle w:val="obyctext"/>
        <w:numPr>
          <w:ilvl w:val="0"/>
          <w:numId w:val="18"/>
        </w:numPr>
        <w:tabs>
          <w:tab w:val="left" w:pos="426"/>
        </w:tabs>
        <w:spacing w:after="0"/>
        <w:ind w:left="425" w:hanging="425"/>
        <w:rPr>
          <w:b/>
        </w:rPr>
      </w:pPr>
      <w:r>
        <w:t>navýšení prostředků na platy o 6 %, tj. ve výši 2 361 tis. Kč;</w:t>
      </w:r>
    </w:p>
    <w:p w14:paraId="02B3EEB7" w14:textId="298E86EC" w:rsidR="00115B57" w:rsidRPr="005D1B67" w:rsidRDefault="00115B57" w:rsidP="00115B57">
      <w:pPr>
        <w:pStyle w:val="obyctext"/>
        <w:numPr>
          <w:ilvl w:val="0"/>
          <w:numId w:val="18"/>
        </w:numPr>
        <w:tabs>
          <w:tab w:val="left" w:pos="426"/>
        </w:tabs>
        <w:spacing w:after="0"/>
        <w:ind w:left="425" w:hanging="425"/>
        <w:rPr>
          <w:b/>
        </w:rPr>
      </w:pPr>
      <w:r w:rsidRPr="005D1B67">
        <w:t>navýšení prostředků na ostatní platby za provedenou práci ve výši 85 tis. Kč na vrub ÚCL určených pro ext</w:t>
      </w:r>
      <w:r w:rsidR="000A5BD3">
        <w:t>e</w:t>
      </w:r>
      <w:r w:rsidRPr="005D1B67">
        <w:t>rní komisaře zkušebních komisí v </w:t>
      </w:r>
      <w:proofErr w:type="gramStart"/>
      <w:r w:rsidRPr="005D1B67">
        <w:t>souvislostí</w:t>
      </w:r>
      <w:proofErr w:type="gramEnd"/>
      <w:r w:rsidRPr="005D1B67">
        <w:t xml:space="preserve"> s přijetím novely zákona </w:t>
      </w:r>
      <w:r w:rsidRPr="005D1B67">
        <w:br/>
        <w:t>č. 114/1995 Sb., o vnitrozemské plavbě.</w:t>
      </w:r>
    </w:p>
    <w:p w14:paraId="4BD997AE" w14:textId="77777777" w:rsidR="00115B57" w:rsidRPr="005D1B67" w:rsidRDefault="00115B57" w:rsidP="00115B57">
      <w:pPr>
        <w:pStyle w:val="Styl1"/>
        <w:rPr>
          <w:b/>
        </w:rPr>
      </w:pPr>
      <w:r w:rsidRPr="005D1B67">
        <w:t>Prostředky na platy (</w:t>
      </w:r>
      <w:r>
        <w:t>41</w:t>
      </w:r>
      <w:r w:rsidRPr="005D1B67">
        <w:t> </w:t>
      </w:r>
      <w:r>
        <w:t>705</w:t>
      </w:r>
      <w:r w:rsidRPr="005D1B67">
        <w:t xml:space="preserve"> tis. Kč) a ostatní platby za provedenou práci (163 tis. Kč) u SPS jsou stanovené pro rok 2023 v celkové výši </w:t>
      </w:r>
      <w:r>
        <w:t>41</w:t>
      </w:r>
      <w:r w:rsidRPr="005D1B67">
        <w:t xml:space="preserve"> </w:t>
      </w:r>
      <w:r>
        <w:t>868</w:t>
      </w:r>
      <w:r w:rsidRPr="005D1B67">
        <w:t xml:space="preserve"> tis. Kč. Ve srovnání s rokem 2022 dochází </w:t>
      </w:r>
      <w:r w:rsidRPr="005D1B67">
        <w:br/>
        <w:t xml:space="preserve">k navýšení o </w:t>
      </w:r>
      <w:r>
        <w:t>2 446</w:t>
      </w:r>
      <w:r w:rsidRPr="005D1B67">
        <w:t xml:space="preserve"> tis. Kč, tj. o </w:t>
      </w:r>
      <w:r>
        <w:t>6</w:t>
      </w:r>
      <w:r w:rsidRPr="005D1B67">
        <w:t>,2</w:t>
      </w:r>
      <w:r>
        <w:t>0</w:t>
      </w:r>
      <w:r w:rsidRPr="005D1B67">
        <w:t xml:space="preserve"> %.</w:t>
      </w:r>
    </w:p>
    <w:p w14:paraId="759CC6B3" w14:textId="77777777" w:rsidR="00115B57" w:rsidRPr="00CE325A" w:rsidRDefault="00115B57" w:rsidP="00115B57">
      <w:pPr>
        <w:pStyle w:val="Nadpis8"/>
      </w:pPr>
      <w:r w:rsidRPr="00CE325A">
        <w:t>DÚ</w:t>
      </w:r>
    </w:p>
    <w:p w14:paraId="1A7FC5BA" w14:textId="77777777" w:rsidR="00115B57" w:rsidRPr="00D16385" w:rsidRDefault="00115B57" w:rsidP="00115B57">
      <w:pPr>
        <w:pStyle w:val="obyctext"/>
        <w:numPr>
          <w:ilvl w:val="0"/>
          <w:numId w:val="18"/>
        </w:numPr>
        <w:tabs>
          <w:tab w:val="left" w:pos="426"/>
        </w:tabs>
        <w:spacing w:after="0"/>
        <w:ind w:left="425" w:hanging="425"/>
        <w:rPr>
          <w:b/>
        </w:rPr>
      </w:pPr>
      <w:r>
        <w:t>navýšení prostředků na platy o 6 %, tj. ve výši 3 264 tis. Kč.</w:t>
      </w:r>
    </w:p>
    <w:p w14:paraId="32D13E6C" w14:textId="77777777" w:rsidR="00115B57" w:rsidRPr="00CE325A" w:rsidRDefault="00115B57" w:rsidP="00115B57">
      <w:pPr>
        <w:pStyle w:val="obyctext"/>
        <w:tabs>
          <w:tab w:val="left" w:pos="0"/>
        </w:tabs>
        <w:spacing w:before="180" w:after="0"/>
        <w:ind w:firstLine="0"/>
        <w:rPr>
          <w:b/>
        </w:rPr>
      </w:pPr>
      <w:r>
        <w:t>Pr</w:t>
      </w:r>
      <w:r w:rsidRPr="00CE325A">
        <w:t>ostředky na platy (5</w:t>
      </w:r>
      <w:r>
        <w:t>7</w:t>
      </w:r>
      <w:r w:rsidRPr="00CE325A">
        <w:t> </w:t>
      </w:r>
      <w:r>
        <w:t>658</w:t>
      </w:r>
      <w:r w:rsidRPr="00CE325A">
        <w:t xml:space="preserve"> tis. Kč) a ostatní platby za provedenou práci (124 tis. Kč) u DÚ jsou stanovené pro rok 2023 v celkové výši 5</w:t>
      </w:r>
      <w:r>
        <w:t>7</w:t>
      </w:r>
      <w:r w:rsidRPr="00CE325A">
        <w:t xml:space="preserve"> </w:t>
      </w:r>
      <w:r>
        <w:t>781</w:t>
      </w:r>
      <w:r w:rsidRPr="00CE325A">
        <w:t xml:space="preserve"> tis. Kč. Ve srovnání s rokem 2022 </w:t>
      </w:r>
      <w:r>
        <w:t xml:space="preserve">dochází k navýšení o 3 264 tis. Kč, tj. o </w:t>
      </w:r>
      <w:proofErr w:type="gramStart"/>
      <w:r>
        <w:t xml:space="preserve">5,99 % </w:t>
      </w:r>
      <w:r w:rsidRPr="00CE325A">
        <w:t>.</w:t>
      </w:r>
      <w:proofErr w:type="gramEnd"/>
    </w:p>
    <w:p w14:paraId="20548483" w14:textId="77777777" w:rsidR="00115B57" w:rsidRPr="00CE325A" w:rsidRDefault="00115B57" w:rsidP="00115B57">
      <w:pPr>
        <w:pStyle w:val="Nadpis8"/>
      </w:pPr>
      <w:r w:rsidRPr="00CE325A">
        <w:t>DI</w:t>
      </w:r>
    </w:p>
    <w:p w14:paraId="656C4FCF" w14:textId="77777777" w:rsidR="00115B57" w:rsidRPr="00D16385" w:rsidRDefault="00115B57" w:rsidP="00115B57">
      <w:pPr>
        <w:pStyle w:val="obyctext"/>
        <w:numPr>
          <w:ilvl w:val="0"/>
          <w:numId w:val="18"/>
        </w:numPr>
        <w:tabs>
          <w:tab w:val="left" w:pos="426"/>
        </w:tabs>
        <w:spacing w:after="0"/>
        <w:ind w:left="425" w:hanging="425"/>
        <w:rPr>
          <w:b/>
        </w:rPr>
      </w:pPr>
      <w:r>
        <w:t>navýšení prostředků na platy o 6 %, tj. ve výši 1 332 tis. Kč;</w:t>
      </w:r>
    </w:p>
    <w:p w14:paraId="073E9736" w14:textId="77777777" w:rsidR="00115B57" w:rsidRPr="00141BA2" w:rsidRDefault="00115B57" w:rsidP="00115B57">
      <w:pPr>
        <w:pStyle w:val="obyctext"/>
        <w:numPr>
          <w:ilvl w:val="0"/>
          <w:numId w:val="18"/>
        </w:numPr>
        <w:tabs>
          <w:tab w:val="left" w:pos="426"/>
        </w:tabs>
        <w:spacing w:after="0"/>
        <w:ind w:left="425" w:hanging="425"/>
        <w:rPr>
          <w:b/>
        </w:rPr>
      </w:pPr>
      <w:r w:rsidRPr="00CE325A">
        <w:t>snížení prostředků na platy a ostatní platby za provedenou práci</w:t>
      </w:r>
      <w:r>
        <w:t xml:space="preserve"> ve výši 1 670 tis. Kč z důvodu ukončení </w:t>
      </w:r>
      <w:r w:rsidRPr="00CE325A">
        <w:t>Operačního programu Zaměstnanost 2014+</w:t>
      </w:r>
      <w:r>
        <w:t>;</w:t>
      </w:r>
    </w:p>
    <w:p w14:paraId="073BB263" w14:textId="77777777" w:rsidR="00115B57" w:rsidRPr="00CE325A" w:rsidRDefault="00115B57" w:rsidP="00115B57">
      <w:pPr>
        <w:pStyle w:val="obyctext"/>
        <w:numPr>
          <w:ilvl w:val="0"/>
          <w:numId w:val="18"/>
        </w:numPr>
        <w:tabs>
          <w:tab w:val="left" w:pos="426"/>
        </w:tabs>
        <w:spacing w:after="0"/>
        <w:ind w:left="425" w:hanging="425"/>
        <w:rPr>
          <w:b/>
        </w:rPr>
      </w:pPr>
      <w:r>
        <w:t>navýšení prostředků na platy ze základního rozpočtu ve výši 290 tis. Kč (prostředky byly v minulém roce určené na SR podíl na platy u Operačního programu Zaměstnanost 2014+).</w:t>
      </w:r>
    </w:p>
    <w:p w14:paraId="1837232F" w14:textId="77777777" w:rsidR="00115B57" w:rsidRPr="00CE325A" w:rsidRDefault="00115B57" w:rsidP="00115B57">
      <w:pPr>
        <w:pStyle w:val="Styl1"/>
        <w:rPr>
          <w:b/>
        </w:rPr>
      </w:pPr>
      <w:r w:rsidRPr="00CE325A">
        <w:t>Prostředky na platy (2</w:t>
      </w:r>
      <w:r>
        <w:t>3</w:t>
      </w:r>
      <w:r w:rsidRPr="00CE325A">
        <w:t> </w:t>
      </w:r>
      <w:r>
        <w:t>532</w:t>
      </w:r>
      <w:r w:rsidRPr="00CE325A">
        <w:t xml:space="preserve"> tis. Kč) a ostatní platby za provedenou práci (30 tis. Kč) u DI </w:t>
      </w:r>
      <w:proofErr w:type="gramStart"/>
      <w:r w:rsidRPr="00CE325A">
        <w:t>jsou</w:t>
      </w:r>
      <w:proofErr w:type="gramEnd"/>
      <w:r w:rsidRPr="00CE325A">
        <w:t xml:space="preserve"> stanovené pro rok 2023 v celkové výši 2</w:t>
      </w:r>
      <w:r>
        <w:t>3</w:t>
      </w:r>
      <w:r w:rsidRPr="00CE325A">
        <w:t xml:space="preserve"> </w:t>
      </w:r>
      <w:r>
        <w:t>562</w:t>
      </w:r>
      <w:r w:rsidRPr="00CE325A">
        <w:t xml:space="preserve"> tis. Kč. Ve srovnání s rokem 2022 dochází ke snížení o </w:t>
      </w:r>
      <w:r>
        <w:t>48</w:t>
      </w:r>
      <w:r w:rsidRPr="00CE325A">
        <w:t xml:space="preserve"> tis. Kč, tj. o </w:t>
      </w:r>
      <w:r>
        <w:t>0</w:t>
      </w:r>
      <w:r w:rsidRPr="00CE325A">
        <w:t>,</w:t>
      </w:r>
      <w:r>
        <w:t>20</w:t>
      </w:r>
      <w:r w:rsidRPr="00CE325A">
        <w:t xml:space="preserve"> %.</w:t>
      </w:r>
    </w:p>
    <w:p w14:paraId="164D83CA" w14:textId="77777777" w:rsidR="00115B57" w:rsidRPr="00165ABF" w:rsidRDefault="00115B57" w:rsidP="00115B57">
      <w:pPr>
        <w:pStyle w:val="Nadpis8"/>
      </w:pPr>
      <w:r w:rsidRPr="00165ABF">
        <w:t>ÚZPLN</w:t>
      </w:r>
    </w:p>
    <w:p w14:paraId="36C59B53" w14:textId="77777777" w:rsidR="00115B57" w:rsidRPr="00D16385" w:rsidRDefault="00115B57" w:rsidP="00115B57">
      <w:pPr>
        <w:pStyle w:val="obyctext"/>
        <w:numPr>
          <w:ilvl w:val="0"/>
          <w:numId w:val="18"/>
        </w:numPr>
        <w:tabs>
          <w:tab w:val="left" w:pos="426"/>
        </w:tabs>
        <w:spacing w:after="0"/>
        <w:ind w:left="425" w:hanging="425"/>
        <w:rPr>
          <w:b/>
        </w:rPr>
      </w:pPr>
      <w:r>
        <w:t>navýšení prostředků na platy o 6 %, tj. ve výši 502 tis. Kč.</w:t>
      </w:r>
    </w:p>
    <w:p w14:paraId="55E488CE" w14:textId="77777777" w:rsidR="00115B57" w:rsidRPr="00165ABF" w:rsidRDefault="00115B57" w:rsidP="00115B57">
      <w:pPr>
        <w:pStyle w:val="Styl1"/>
        <w:rPr>
          <w:u w:val="single"/>
        </w:rPr>
      </w:pPr>
      <w:r w:rsidRPr="00165ABF">
        <w:t>Prostředky na platy (8 </w:t>
      </w:r>
      <w:r>
        <w:t>8</w:t>
      </w:r>
      <w:r w:rsidRPr="00165ABF">
        <w:t>6</w:t>
      </w:r>
      <w:r>
        <w:t>3</w:t>
      </w:r>
      <w:r w:rsidRPr="00165ABF">
        <w:t xml:space="preserve"> tis. Kč) a ostatní platby za provedenou práci (51 tis. Kč) u ÚZPLN jsou stanovené pro rok 2023 v celkové výši 8 </w:t>
      </w:r>
      <w:r>
        <w:t>914</w:t>
      </w:r>
      <w:r w:rsidRPr="00165ABF">
        <w:t xml:space="preserve"> tis. Kč. Ve srovnání s rokem 2022 dochází k</w:t>
      </w:r>
      <w:r>
        <w:t> navýšení o 502 tis. Kč, tj. o 5,97 %</w:t>
      </w:r>
      <w:r w:rsidRPr="00165ABF">
        <w:t>.</w:t>
      </w:r>
    </w:p>
    <w:p w14:paraId="3B6135E1" w14:textId="77777777" w:rsidR="00115B57" w:rsidRPr="007B7612" w:rsidRDefault="00115B57" w:rsidP="00115B57">
      <w:pPr>
        <w:pStyle w:val="Nadpis8"/>
      </w:pPr>
      <w:r w:rsidRPr="007B7612">
        <w:t>ŘVC ČR</w:t>
      </w:r>
    </w:p>
    <w:p w14:paraId="1B5CD9EC" w14:textId="77777777" w:rsidR="00115B57" w:rsidRPr="00D16385" w:rsidRDefault="00115B57" w:rsidP="00115B57">
      <w:pPr>
        <w:pStyle w:val="obyctext"/>
        <w:numPr>
          <w:ilvl w:val="0"/>
          <w:numId w:val="18"/>
        </w:numPr>
        <w:tabs>
          <w:tab w:val="left" w:pos="426"/>
        </w:tabs>
        <w:spacing w:after="0"/>
        <w:ind w:left="425" w:hanging="425"/>
        <w:rPr>
          <w:b/>
        </w:rPr>
      </w:pPr>
      <w:r>
        <w:t>navýšení prostředků na platy o 6 %, tj. ve výši 407 tis. Kč.</w:t>
      </w:r>
    </w:p>
    <w:p w14:paraId="5420FCC3" w14:textId="19D3665F" w:rsidR="00115B57" w:rsidRPr="007B7612" w:rsidRDefault="00115B57" w:rsidP="00115B57">
      <w:pPr>
        <w:pStyle w:val="obyctext"/>
        <w:tabs>
          <w:tab w:val="left" w:pos="426"/>
        </w:tabs>
        <w:spacing w:before="240" w:after="120"/>
        <w:ind w:firstLine="0"/>
        <w:rPr>
          <w:u w:val="single"/>
        </w:rPr>
      </w:pPr>
      <w:r w:rsidRPr="007B7612">
        <w:t>Prostředky na platy (</w:t>
      </w:r>
      <w:r>
        <w:t>7</w:t>
      </w:r>
      <w:r w:rsidRPr="007B7612">
        <w:t> </w:t>
      </w:r>
      <w:r>
        <w:t>182</w:t>
      </w:r>
      <w:r w:rsidRPr="007B7612">
        <w:t xml:space="preserve"> tis. Kč) a ostatní platby za provedenou práci (30 tis. Kč) u ŘVC ČR jsou stanovené pro rok 2023 v celkové výši </w:t>
      </w:r>
      <w:r>
        <w:t>7</w:t>
      </w:r>
      <w:r w:rsidRPr="007B7612">
        <w:t xml:space="preserve"> </w:t>
      </w:r>
      <w:r>
        <w:t>211</w:t>
      </w:r>
      <w:r w:rsidRPr="007B7612">
        <w:t xml:space="preserve"> tis. Kč. Ve srovnání s rokem 2022 dochází k</w:t>
      </w:r>
      <w:r>
        <w:t> navýšení o 40</w:t>
      </w:r>
      <w:r w:rsidR="004909FE">
        <w:t>7</w:t>
      </w:r>
      <w:r>
        <w:t xml:space="preserve"> tis. Kč, tj. o 5,97 %</w:t>
      </w:r>
      <w:r w:rsidRPr="007B7612">
        <w:t>.</w:t>
      </w:r>
    </w:p>
    <w:p w14:paraId="108DB05D" w14:textId="77777777" w:rsidR="00115B57" w:rsidRPr="006013AE" w:rsidRDefault="00115B57" w:rsidP="00115B57">
      <w:pPr>
        <w:pStyle w:val="Nadpis8"/>
      </w:pPr>
      <w:r w:rsidRPr="006013AE">
        <w:t>CSPSD</w:t>
      </w:r>
    </w:p>
    <w:p w14:paraId="26B3AC5D" w14:textId="77777777" w:rsidR="00115B57" w:rsidRPr="00D16385" w:rsidRDefault="00115B57" w:rsidP="00115B57">
      <w:pPr>
        <w:pStyle w:val="obyctext"/>
        <w:numPr>
          <w:ilvl w:val="0"/>
          <w:numId w:val="18"/>
        </w:numPr>
        <w:tabs>
          <w:tab w:val="left" w:pos="426"/>
        </w:tabs>
        <w:spacing w:after="0"/>
        <w:ind w:left="425" w:hanging="425"/>
        <w:rPr>
          <w:b/>
        </w:rPr>
      </w:pPr>
      <w:r>
        <w:t>navýšení prostředků na platy o 6 %, tj. ve výši 1 971 tis. Kč.</w:t>
      </w:r>
    </w:p>
    <w:p w14:paraId="55E837B0" w14:textId="77777777" w:rsidR="00115B57" w:rsidRPr="006013AE" w:rsidRDefault="00115B57" w:rsidP="00115B57">
      <w:pPr>
        <w:pStyle w:val="obyctext"/>
        <w:tabs>
          <w:tab w:val="left" w:pos="0"/>
        </w:tabs>
        <w:spacing w:before="180" w:after="0"/>
        <w:ind w:firstLine="0"/>
      </w:pPr>
      <w:r w:rsidRPr="006013AE">
        <w:t>Prostředky na platy (3</w:t>
      </w:r>
      <w:r>
        <w:t>4</w:t>
      </w:r>
      <w:r w:rsidRPr="006013AE">
        <w:t xml:space="preserve"> </w:t>
      </w:r>
      <w:r>
        <w:t>824</w:t>
      </w:r>
      <w:r w:rsidRPr="006013AE">
        <w:t xml:space="preserve"> tis. Kč) a ostatní osobní náklady (1 433 tis. Kč) u CSPSD jsou stanovené pro rok 2023 v celkové výši 3</w:t>
      </w:r>
      <w:r>
        <w:t>6</w:t>
      </w:r>
      <w:r w:rsidRPr="006013AE">
        <w:t xml:space="preserve"> </w:t>
      </w:r>
      <w:r>
        <w:t>257</w:t>
      </w:r>
      <w:r w:rsidRPr="006013AE">
        <w:t xml:space="preserve"> tis. Kč. Ve srovnání s rokem 2022 dochází k</w:t>
      </w:r>
      <w:r>
        <w:t xml:space="preserve"> navýšení o 1 971 tis. Kč, tj. o </w:t>
      </w:r>
      <w:proofErr w:type="gramStart"/>
      <w:r>
        <w:t xml:space="preserve">5,75 </w:t>
      </w:r>
      <w:r w:rsidRPr="006013AE">
        <w:t>.</w:t>
      </w:r>
      <w:proofErr w:type="gramEnd"/>
    </w:p>
    <w:p w14:paraId="48AD34DA" w14:textId="77777777" w:rsidR="00115B57" w:rsidRPr="004F0040" w:rsidRDefault="00115B57" w:rsidP="00115B57">
      <w:pPr>
        <w:pStyle w:val="Nadpis9"/>
      </w:pPr>
      <w:r w:rsidRPr="004F0040">
        <w:t>B) Počty zaměstnanců</w:t>
      </w:r>
    </w:p>
    <w:p w14:paraId="37D167D6" w14:textId="77777777" w:rsidR="00115B57" w:rsidRPr="004F0040" w:rsidRDefault="00115B57" w:rsidP="00115B57">
      <w:pPr>
        <w:pStyle w:val="Styl1"/>
      </w:pPr>
      <w:r w:rsidRPr="004F0040">
        <w:t xml:space="preserve">Počet zaměstnanců pro rok 2023 ve výši 984 je oproti roku 2022 navýšen o 5, </w:t>
      </w:r>
      <w:r w:rsidRPr="004F0040">
        <w:br/>
        <w:t xml:space="preserve">tj. o 0,51 %, kdy počet zaměstnanců byl schválen ve výši 979. </w:t>
      </w:r>
    </w:p>
    <w:p w14:paraId="77895202" w14:textId="77777777" w:rsidR="00115B57" w:rsidRPr="00203DBD" w:rsidRDefault="00115B57" w:rsidP="00115B57">
      <w:pPr>
        <w:pStyle w:val="obyctext"/>
        <w:spacing w:before="240" w:after="0"/>
        <w:ind w:firstLine="0"/>
        <w:rPr>
          <w:b/>
        </w:rPr>
      </w:pPr>
      <w:r w:rsidRPr="00203DBD">
        <w:rPr>
          <w:b/>
        </w:rPr>
        <w:t xml:space="preserve">V oblasti počtu </w:t>
      </w:r>
      <w:proofErr w:type="spellStart"/>
      <w:r w:rsidRPr="00203DBD">
        <w:rPr>
          <w:b/>
        </w:rPr>
        <w:t>zaměsntnanců</w:t>
      </w:r>
      <w:proofErr w:type="spellEnd"/>
      <w:r w:rsidRPr="00203DBD">
        <w:rPr>
          <w:b/>
        </w:rPr>
        <w:t xml:space="preserve"> byly promítnuty na rok 2023 tyto změny oproti schválenému rozpočtu na rok 2022: </w:t>
      </w:r>
    </w:p>
    <w:p w14:paraId="6A1C0BB0" w14:textId="77777777" w:rsidR="00115B57" w:rsidRPr="00320A17" w:rsidRDefault="00115B57" w:rsidP="00115B57">
      <w:pPr>
        <w:pStyle w:val="obyctext"/>
        <w:numPr>
          <w:ilvl w:val="0"/>
          <w:numId w:val="19"/>
        </w:numPr>
        <w:tabs>
          <w:tab w:val="left" w:pos="567"/>
          <w:tab w:val="left" w:pos="851"/>
        </w:tabs>
        <w:spacing w:before="60" w:after="0"/>
        <w:ind w:left="567" w:hanging="283"/>
      </w:pPr>
      <w:r w:rsidRPr="00320A17">
        <w:t>navýšení počtu zaměstnanců v rámci BAR;</w:t>
      </w:r>
    </w:p>
    <w:p w14:paraId="50F94D9B" w14:textId="77777777" w:rsidR="00115B57" w:rsidRPr="00203DBD" w:rsidRDefault="00115B57" w:rsidP="00115B57">
      <w:pPr>
        <w:pStyle w:val="obyctext"/>
        <w:numPr>
          <w:ilvl w:val="0"/>
          <w:numId w:val="19"/>
        </w:numPr>
        <w:tabs>
          <w:tab w:val="left" w:pos="567"/>
        </w:tabs>
        <w:spacing w:before="60" w:after="0"/>
        <w:ind w:left="567" w:hanging="283"/>
      </w:pPr>
      <w:r w:rsidRPr="00203DBD">
        <w:t xml:space="preserve">přesun zaměstnanců v souvislosti se schválenou změnou systemizace s účinnosti </w:t>
      </w:r>
      <w:r w:rsidRPr="00203DBD">
        <w:br/>
        <w:t>od 1. 4. 2022 – UV č. 227/2022</w:t>
      </w:r>
      <w:r>
        <w:t>.</w:t>
      </w:r>
    </w:p>
    <w:p w14:paraId="07231804" w14:textId="77777777" w:rsidR="00115B57" w:rsidRPr="00320A17" w:rsidRDefault="00115B57" w:rsidP="00115B57">
      <w:pPr>
        <w:pStyle w:val="obyctext"/>
        <w:tabs>
          <w:tab w:val="left" w:pos="567"/>
        </w:tabs>
        <w:spacing w:before="240" w:after="0"/>
        <w:ind w:firstLine="0"/>
        <w:rPr>
          <w:b/>
        </w:rPr>
      </w:pPr>
      <w:r w:rsidRPr="00320A17">
        <w:rPr>
          <w:b/>
        </w:rPr>
        <w:t xml:space="preserve">U jednotlivých OSS a PO jsou v rámci počtu zaměstnanců promítnuté na rok 2023 tyto změny: </w:t>
      </w:r>
    </w:p>
    <w:p w14:paraId="685D09B9" w14:textId="77777777" w:rsidR="00115B57" w:rsidRPr="00320A17" w:rsidRDefault="00115B57" w:rsidP="00115B57">
      <w:pPr>
        <w:pStyle w:val="Nadpis8"/>
      </w:pPr>
      <w:r w:rsidRPr="00320A17">
        <w:t>ÚO MD</w:t>
      </w:r>
    </w:p>
    <w:p w14:paraId="544AE7DB" w14:textId="77777777" w:rsidR="00115B57" w:rsidRPr="00320A17" w:rsidRDefault="00115B57" w:rsidP="00115B57">
      <w:pPr>
        <w:pStyle w:val="obyctext"/>
        <w:numPr>
          <w:ilvl w:val="0"/>
          <w:numId w:val="18"/>
        </w:numPr>
        <w:tabs>
          <w:tab w:val="left" w:pos="426"/>
        </w:tabs>
        <w:spacing w:before="60" w:after="0"/>
        <w:ind w:left="425" w:hanging="425"/>
      </w:pPr>
      <w:r w:rsidRPr="00320A17">
        <w:t>navýšení 5 státních zaměstnanců v rámci BAR;</w:t>
      </w:r>
    </w:p>
    <w:p w14:paraId="58AD9ABE" w14:textId="77777777" w:rsidR="00115B57" w:rsidRPr="00320A17" w:rsidRDefault="00115B57" w:rsidP="00115B57">
      <w:pPr>
        <w:pStyle w:val="obyctext"/>
        <w:numPr>
          <w:ilvl w:val="0"/>
          <w:numId w:val="18"/>
        </w:numPr>
        <w:tabs>
          <w:tab w:val="left" w:pos="426"/>
        </w:tabs>
        <w:spacing w:before="60" w:after="0"/>
        <w:ind w:left="425" w:hanging="425"/>
      </w:pPr>
      <w:r w:rsidRPr="00320A17">
        <w:t>přesun 2 státních zaměstnanců na zaměstnance v pracovním poměru, změna systemizace schválená UV č. 227/2022 s účinnosti od 1. 4. 2022.</w:t>
      </w:r>
    </w:p>
    <w:p w14:paraId="1716513A" w14:textId="77777777" w:rsidR="00115B57" w:rsidRPr="00320A17" w:rsidRDefault="00115B57" w:rsidP="00115B57">
      <w:pPr>
        <w:pStyle w:val="Styl1"/>
        <w:rPr>
          <w:b/>
        </w:rPr>
      </w:pPr>
      <w:r w:rsidRPr="00320A17">
        <w:t xml:space="preserve">Počet zaměstnanců ÚO MD je pro rok 2023 stanoven ve výši 470 (69 zaměstnanců v pracovním poměru a 401 státních zaměstnanců). Ve srovnání s rokem 2022 dochází k navýšení o 5, </w:t>
      </w:r>
      <w:r w:rsidRPr="00320A17">
        <w:br/>
        <w:t>tj. o 1,</w:t>
      </w:r>
      <w:r>
        <w:t>08</w:t>
      </w:r>
      <w:r w:rsidRPr="00320A17">
        <w:t xml:space="preserve"> %. </w:t>
      </w:r>
    </w:p>
    <w:p w14:paraId="4E36EE9E" w14:textId="77777777" w:rsidR="00115B57" w:rsidRPr="00241F82" w:rsidRDefault="00115B57" w:rsidP="00115B57">
      <w:pPr>
        <w:pStyle w:val="Nadpis8"/>
      </w:pPr>
      <w:r w:rsidRPr="00241F82">
        <w:t>ÚCL</w:t>
      </w:r>
    </w:p>
    <w:p w14:paraId="2C6D075B" w14:textId="77777777" w:rsidR="00115B57" w:rsidRPr="00320A17" w:rsidRDefault="00115B57" w:rsidP="00115B57">
      <w:pPr>
        <w:pStyle w:val="obyctext"/>
        <w:numPr>
          <w:ilvl w:val="0"/>
          <w:numId w:val="18"/>
        </w:numPr>
        <w:tabs>
          <w:tab w:val="left" w:pos="426"/>
        </w:tabs>
        <w:spacing w:before="60" w:after="0"/>
        <w:ind w:left="425" w:hanging="425"/>
      </w:pPr>
      <w:r w:rsidRPr="00320A17">
        <w:t>přesun 2  státních zaměstnanců na zaměstnance v pracovním poměru, změna systemizace schválená UV č. 227/2022 s účinnosti od 1. 4. 2022</w:t>
      </w:r>
      <w:r>
        <w:t>.</w:t>
      </w:r>
    </w:p>
    <w:p w14:paraId="6DBFED5F" w14:textId="77777777" w:rsidR="00115B57" w:rsidRPr="00241F82" w:rsidRDefault="00115B57" w:rsidP="00115B57">
      <w:pPr>
        <w:pStyle w:val="Styl1"/>
        <w:rPr>
          <w:b/>
        </w:rPr>
      </w:pPr>
      <w:r w:rsidRPr="00241F82">
        <w:t>Počet zaměstnanců ÚCL je pro rok 2023 stanoven ve výši 166 (1</w:t>
      </w:r>
      <w:r>
        <w:t>7</w:t>
      </w:r>
      <w:r w:rsidRPr="00241F82">
        <w:t xml:space="preserve"> zaměstnanců v pracovním poměru a 1</w:t>
      </w:r>
      <w:r>
        <w:t>49</w:t>
      </w:r>
      <w:r w:rsidRPr="00241F82">
        <w:t xml:space="preserve"> státních zaměstnanců). Ve srovnání s rokem 2022 nedochází ke změně.</w:t>
      </w:r>
    </w:p>
    <w:p w14:paraId="77024201" w14:textId="77777777" w:rsidR="00115B57" w:rsidRPr="00241F82" w:rsidRDefault="00115B57" w:rsidP="00115B57">
      <w:pPr>
        <w:pStyle w:val="Nadpis8"/>
      </w:pPr>
      <w:r w:rsidRPr="00241F82">
        <w:t>SPS</w:t>
      </w:r>
    </w:p>
    <w:p w14:paraId="2CAB212B" w14:textId="77777777" w:rsidR="00115B57" w:rsidRPr="00241F82" w:rsidRDefault="00115B57" w:rsidP="00115B57">
      <w:pPr>
        <w:pStyle w:val="Styl1"/>
        <w:rPr>
          <w:b/>
        </w:rPr>
      </w:pPr>
      <w:r w:rsidRPr="00241F82">
        <w:t>Počet zaměstnanců SPS je pro rok 2023 stanoven ve výši 85 (16 zaměstnanců v pracovním poměru a 69 státních zaměstnanců). Ve srovnání s rokem 2022 nedochází ke změně.</w:t>
      </w:r>
    </w:p>
    <w:p w14:paraId="3C242B63" w14:textId="77777777" w:rsidR="00115B57" w:rsidRPr="00241F82" w:rsidRDefault="00115B57" w:rsidP="00115B57">
      <w:pPr>
        <w:pStyle w:val="Nadpis8"/>
      </w:pPr>
      <w:r w:rsidRPr="00241F82">
        <w:t>DÚ</w:t>
      </w:r>
    </w:p>
    <w:p w14:paraId="52A15AB7" w14:textId="77777777" w:rsidR="00115B57" w:rsidRPr="00241F82" w:rsidRDefault="00115B57" w:rsidP="00115B57">
      <w:pPr>
        <w:pStyle w:val="Styl1"/>
        <w:rPr>
          <w:b/>
        </w:rPr>
      </w:pPr>
      <w:r w:rsidRPr="00241F82">
        <w:t xml:space="preserve">Počet zaměstnanců DÚ je pro rok 2023 stanoven ve výši 111 (11 zaměstnanců v pracovním poměru a 100 státních zaměstnanců). Ve srovnání s rokem 2022 nedochází ke změně. </w:t>
      </w:r>
    </w:p>
    <w:p w14:paraId="132211F3" w14:textId="77777777" w:rsidR="00115B57" w:rsidRPr="006E7785" w:rsidRDefault="00115B57" w:rsidP="00115B57">
      <w:pPr>
        <w:pStyle w:val="Nadpis8"/>
      </w:pPr>
      <w:r w:rsidRPr="006E7785">
        <w:t>DI</w:t>
      </w:r>
    </w:p>
    <w:p w14:paraId="1D17473C" w14:textId="77777777" w:rsidR="00115B57" w:rsidRPr="006E7785" w:rsidRDefault="00115B57" w:rsidP="00115B57">
      <w:pPr>
        <w:pStyle w:val="obyctext"/>
        <w:tabs>
          <w:tab w:val="left" w:pos="567"/>
        </w:tabs>
        <w:spacing w:after="0"/>
        <w:ind w:firstLine="0"/>
        <w:rPr>
          <w:b/>
        </w:rPr>
      </w:pPr>
      <w:r w:rsidRPr="006E7785">
        <w:t xml:space="preserve">Počet zaměstnanců DI </w:t>
      </w:r>
      <w:proofErr w:type="gramStart"/>
      <w:r w:rsidRPr="006E7785">
        <w:t>je</w:t>
      </w:r>
      <w:proofErr w:type="gramEnd"/>
      <w:r w:rsidRPr="006E7785">
        <w:t xml:space="preserve"> pro rok 2023 stanoven ve výši 38 (státní zaměstnanci). Ve srovnání s rokem 2022 nedochází ke změně.</w:t>
      </w:r>
    </w:p>
    <w:p w14:paraId="211485DE" w14:textId="77777777" w:rsidR="00115B57" w:rsidRPr="006E7785" w:rsidRDefault="00115B57" w:rsidP="00115B57">
      <w:pPr>
        <w:pStyle w:val="Nadpis8"/>
      </w:pPr>
      <w:r w:rsidRPr="006E7785">
        <w:t xml:space="preserve">ÚZPLN </w:t>
      </w:r>
    </w:p>
    <w:p w14:paraId="2B604A8D" w14:textId="77777777" w:rsidR="00115B57" w:rsidRPr="006E7785" w:rsidRDefault="00115B57" w:rsidP="00115B57">
      <w:pPr>
        <w:pStyle w:val="obyctext"/>
        <w:tabs>
          <w:tab w:val="left" w:pos="567"/>
        </w:tabs>
        <w:spacing w:after="0"/>
        <w:ind w:firstLine="0"/>
        <w:rPr>
          <w:b/>
        </w:rPr>
      </w:pPr>
      <w:r w:rsidRPr="006E7785">
        <w:t>Počet zaměstnanců ÚZPLN je pro rok 2023 stanoven ve výši 15 (zaměstnanci v pracovním poměru). Ve srovnání s rokem 2022 nedochází ke změně.</w:t>
      </w:r>
    </w:p>
    <w:p w14:paraId="2818BFD7" w14:textId="77777777" w:rsidR="00115B57" w:rsidRPr="006E7785" w:rsidRDefault="00115B57" w:rsidP="00115B57">
      <w:pPr>
        <w:pStyle w:val="Nadpis8"/>
      </w:pPr>
      <w:r w:rsidRPr="006E7785">
        <w:t xml:space="preserve">ŘVC ČR </w:t>
      </w:r>
    </w:p>
    <w:p w14:paraId="588472EC" w14:textId="77777777" w:rsidR="00115B57" w:rsidRPr="006E7785" w:rsidRDefault="00115B57" w:rsidP="00115B57">
      <w:pPr>
        <w:pStyle w:val="obyctext"/>
        <w:tabs>
          <w:tab w:val="left" w:pos="0"/>
        </w:tabs>
        <w:spacing w:before="180" w:after="0"/>
        <w:ind w:firstLine="0"/>
        <w:rPr>
          <w:b/>
        </w:rPr>
      </w:pPr>
      <w:r w:rsidRPr="006E7785">
        <w:t>Počet zaměstnanců ŘVC ČR je pro rok 2023 stanoven ve výši 15 (zaměstnanci v pracovním poměru). Ve srovnání s rokem 2022 nedochází ke změně.</w:t>
      </w:r>
    </w:p>
    <w:p w14:paraId="6C399D13" w14:textId="77777777" w:rsidR="00115B57" w:rsidRPr="006E7785" w:rsidRDefault="00115B57" w:rsidP="00115B57">
      <w:pPr>
        <w:pStyle w:val="Nadpis8"/>
      </w:pPr>
      <w:r w:rsidRPr="006E7785">
        <w:t>CSPSD</w:t>
      </w:r>
    </w:p>
    <w:p w14:paraId="794BDDD5" w14:textId="77777777" w:rsidR="00115B57" w:rsidRPr="006E7785" w:rsidRDefault="00115B57" w:rsidP="00115B57">
      <w:pPr>
        <w:pStyle w:val="obyctext"/>
        <w:tabs>
          <w:tab w:val="left" w:pos="0"/>
        </w:tabs>
        <w:spacing w:before="180" w:after="0"/>
        <w:ind w:firstLine="0"/>
      </w:pPr>
      <w:r w:rsidRPr="006E7785">
        <w:t>Počet zaměstnanců CSPSD je pro rok 2023 stanoven ve výši 84 (zaměstnanci v pracovním poměru). Ve srovnání s rokem 2022 nedochází ke změně.</w:t>
      </w:r>
    </w:p>
    <w:p w14:paraId="6E8A1F00" w14:textId="77777777" w:rsidR="00115B57" w:rsidRPr="001B7405" w:rsidRDefault="00115B57" w:rsidP="00115B57">
      <w:pPr>
        <w:pStyle w:val="Nadpis9"/>
      </w:pPr>
      <w:r w:rsidRPr="001B7405">
        <w:t>C) Průměrný plat</w:t>
      </w:r>
    </w:p>
    <w:p w14:paraId="43D42F1F" w14:textId="77777777" w:rsidR="00115B57" w:rsidRPr="00FD7562" w:rsidRDefault="00115B57" w:rsidP="00115B57">
      <w:pPr>
        <w:pStyle w:val="Styl1"/>
      </w:pPr>
      <w:r w:rsidRPr="001B7405">
        <w:t xml:space="preserve">Průměrný plat v kapitole Ministerstvo dopravy je pro rok 2023 navržen ve výši </w:t>
      </w:r>
      <w:r w:rsidRPr="001B7405">
        <w:br/>
      </w:r>
      <w:r w:rsidRPr="00FD7562">
        <w:t>51 971 Kč. Ve srovnání s předchozím rokem, kdy byl průměrný plat u schváleného rozpočtu ve výši 48 786 Kč, dochází k jeho navýšení o 3 185 Kč, tj. o 6,53 %.</w:t>
      </w:r>
    </w:p>
    <w:p w14:paraId="3E20964C" w14:textId="77777777" w:rsidR="00115B57" w:rsidRPr="00A941B2" w:rsidRDefault="00115B57" w:rsidP="00115B57">
      <w:pPr>
        <w:pStyle w:val="Nadpis9"/>
      </w:pPr>
      <w:r w:rsidRPr="00A941B2">
        <w:t>D) Prostředky z rozpočtu EU a finančních mechanismů</w:t>
      </w:r>
    </w:p>
    <w:p w14:paraId="0332B9E1" w14:textId="77777777" w:rsidR="00115B57" w:rsidRPr="00A941B2" w:rsidRDefault="00115B57" w:rsidP="00115B57">
      <w:pPr>
        <w:pStyle w:val="Nadpis8"/>
      </w:pPr>
      <w:r w:rsidRPr="00A941B2">
        <w:t>Operační program Doprava 2014+ (týká se jen ÚO MD</w:t>
      </w:r>
      <w:r>
        <w:t>; podíl SR 15 %, podíl EU 85 %</w:t>
      </w:r>
      <w:r w:rsidRPr="00A941B2">
        <w:t xml:space="preserve">)  </w:t>
      </w:r>
    </w:p>
    <w:p w14:paraId="4C119F2A" w14:textId="77777777" w:rsidR="00115B57" w:rsidRPr="00597054" w:rsidRDefault="00115B57" w:rsidP="00115B57">
      <w:pPr>
        <w:pStyle w:val="Styl1"/>
        <w:numPr>
          <w:ilvl w:val="0"/>
          <w:numId w:val="14"/>
        </w:numPr>
        <w:spacing w:before="60" w:after="0"/>
        <w:ind w:left="567" w:hanging="283"/>
      </w:pPr>
      <w:r w:rsidRPr="00597054">
        <w:t>prostředky na platy ve výši 3 690 tis. Kč ze státního rozpočtu a 20 912 tis. Kč z rozpočtu EU, celkem ve výši 24 602 tis. Kč;</w:t>
      </w:r>
    </w:p>
    <w:p w14:paraId="5B13F177" w14:textId="77777777" w:rsidR="00115B57" w:rsidRPr="00597054" w:rsidRDefault="00115B57" w:rsidP="00115B57">
      <w:pPr>
        <w:pStyle w:val="Styl1"/>
        <w:numPr>
          <w:ilvl w:val="0"/>
          <w:numId w:val="14"/>
        </w:numPr>
        <w:spacing w:before="60" w:after="0"/>
        <w:ind w:left="567" w:hanging="283"/>
      </w:pPr>
      <w:r w:rsidRPr="00597054">
        <w:t xml:space="preserve">počet 35,10 zaměstnanců přepočtených plně zapojených do implementace OPD </w:t>
      </w:r>
      <w:r w:rsidRPr="00597054">
        <w:br/>
        <w:t>(v tom: 3,10 kmenoví zaměstnanci a 32 jednorázové navýšení).</w:t>
      </w:r>
    </w:p>
    <w:p w14:paraId="27233F98" w14:textId="77777777" w:rsidR="00115B57" w:rsidRPr="00A941B2" w:rsidRDefault="00115B57" w:rsidP="00115B57">
      <w:pPr>
        <w:pStyle w:val="Nadpis8"/>
      </w:pPr>
      <w:r w:rsidRPr="00A941B2">
        <w:t>Operační program Doprava 20</w:t>
      </w:r>
      <w:r>
        <w:t>21</w:t>
      </w:r>
      <w:r w:rsidRPr="00A941B2">
        <w:t>+ (týká se jen ÚO MD</w:t>
      </w:r>
      <w:r>
        <w:t>; podíl SR 15 %, podíl EU 85 %</w:t>
      </w:r>
      <w:r w:rsidRPr="00A941B2">
        <w:t xml:space="preserve">)  </w:t>
      </w:r>
    </w:p>
    <w:p w14:paraId="0E4B6A23" w14:textId="77777777" w:rsidR="00115B57" w:rsidRPr="00597054" w:rsidRDefault="00115B57" w:rsidP="00115B57">
      <w:pPr>
        <w:pStyle w:val="Styl1"/>
        <w:numPr>
          <w:ilvl w:val="0"/>
          <w:numId w:val="14"/>
        </w:numPr>
        <w:spacing w:before="60" w:after="0"/>
        <w:ind w:left="567" w:hanging="283"/>
      </w:pPr>
      <w:r w:rsidRPr="00597054">
        <w:t xml:space="preserve">prostředky na platy ve výši </w:t>
      </w:r>
      <w:r>
        <w:t>4 633</w:t>
      </w:r>
      <w:r w:rsidRPr="00597054">
        <w:t xml:space="preserve"> tis. Kč ze státního rozpočtu a </w:t>
      </w:r>
      <w:r>
        <w:t>26 255</w:t>
      </w:r>
      <w:r w:rsidRPr="00597054">
        <w:t xml:space="preserve"> tis. Kč z rozpočtu EU, celkem ve výši </w:t>
      </w:r>
      <w:r>
        <w:t>30 888</w:t>
      </w:r>
      <w:r w:rsidRPr="00597054">
        <w:t xml:space="preserve"> tis. Kč;</w:t>
      </w:r>
    </w:p>
    <w:p w14:paraId="7E3371DD" w14:textId="77777777" w:rsidR="00115B57" w:rsidRPr="007D6BB3" w:rsidRDefault="00115B57" w:rsidP="00115B57">
      <w:pPr>
        <w:pStyle w:val="Styl1"/>
        <w:numPr>
          <w:ilvl w:val="0"/>
          <w:numId w:val="14"/>
        </w:numPr>
        <w:spacing w:before="60" w:after="0"/>
        <w:ind w:left="567" w:hanging="283"/>
      </w:pPr>
      <w:r w:rsidRPr="007D6BB3">
        <w:t>ostatní platby za provedenou práci ve výši 300 tis. Kč ze státního rozpočtu a 1 700 tis. Kč z rozpočtu EU, celkem ve výši 2 000 tis. Kč;</w:t>
      </w:r>
    </w:p>
    <w:p w14:paraId="16A4317C" w14:textId="77777777" w:rsidR="00115B57" w:rsidRPr="00597054" w:rsidRDefault="00115B57" w:rsidP="00115B57">
      <w:pPr>
        <w:pStyle w:val="Styl1"/>
        <w:numPr>
          <w:ilvl w:val="0"/>
          <w:numId w:val="14"/>
        </w:numPr>
        <w:spacing w:before="60" w:after="0"/>
        <w:ind w:left="567" w:hanging="283"/>
      </w:pPr>
      <w:r w:rsidRPr="00597054">
        <w:t xml:space="preserve">počet </w:t>
      </w:r>
      <w:r>
        <w:t>42</w:t>
      </w:r>
      <w:r w:rsidRPr="00597054">
        <w:t>,</w:t>
      </w:r>
      <w:r>
        <w:t>90</w:t>
      </w:r>
      <w:r w:rsidRPr="00597054">
        <w:t xml:space="preserve"> zaměstnanců přepočtených plně zapojených do implementace OPD </w:t>
      </w:r>
      <w:r w:rsidRPr="00597054">
        <w:br/>
        <w:t xml:space="preserve">(v tom: </w:t>
      </w:r>
      <w:r>
        <w:t>39,9</w:t>
      </w:r>
      <w:r w:rsidRPr="00597054">
        <w:t>0 kmenoví zaměstnanci a 3 jednorázové navýšení).</w:t>
      </w:r>
    </w:p>
    <w:p w14:paraId="340B21D0" w14:textId="77777777" w:rsidR="00115B57" w:rsidRPr="00FC6543" w:rsidRDefault="00115B57" w:rsidP="00115B57">
      <w:pPr>
        <w:pStyle w:val="Nadpis8"/>
      </w:pPr>
      <w:r w:rsidRPr="00FC6543">
        <w:t>Komunitární programy EU 2014+ (týká se jen ÚO MD)</w:t>
      </w:r>
    </w:p>
    <w:p w14:paraId="2A1CF225" w14:textId="77777777" w:rsidR="00115B57" w:rsidRPr="00801D76" w:rsidRDefault="00115B57" w:rsidP="00115B57">
      <w:pPr>
        <w:pStyle w:val="Odstavecseseznamem"/>
        <w:numPr>
          <w:ilvl w:val="0"/>
          <w:numId w:val="10"/>
        </w:numPr>
        <w:tabs>
          <w:tab w:val="left" w:pos="2410"/>
        </w:tabs>
        <w:spacing w:before="240"/>
        <w:ind w:left="284" w:hanging="284"/>
      </w:pPr>
      <w:r w:rsidRPr="00801D76">
        <w:t xml:space="preserve">C-ROADS </w:t>
      </w:r>
      <w:proofErr w:type="spellStart"/>
      <w:r w:rsidRPr="00801D76">
        <w:t>Austria</w:t>
      </w:r>
      <w:proofErr w:type="spellEnd"/>
      <w:r w:rsidRPr="00801D76">
        <w:t xml:space="preserve"> 2 (podíl SR 50 %, podíl EU 50 %)</w:t>
      </w:r>
    </w:p>
    <w:p w14:paraId="33823728" w14:textId="77777777" w:rsidR="00115B57" w:rsidRPr="00801D76" w:rsidRDefault="00115B57" w:rsidP="00115B57">
      <w:pPr>
        <w:pStyle w:val="obyctext"/>
        <w:numPr>
          <w:ilvl w:val="0"/>
          <w:numId w:val="15"/>
        </w:numPr>
        <w:tabs>
          <w:tab w:val="left" w:pos="2410"/>
        </w:tabs>
        <w:spacing w:before="60" w:after="0"/>
        <w:ind w:left="567" w:hanging="283"/>
      </w:pPr>
      <w:r w:rsidRPr="00801D76">
        <w:t>prostředky na platy ve výši 240 tis. Kč ze státního rozpočtu a 240 tis. Kč z rozpočtu EU, celkem ve výši 480 tis. Kč;</w:t>
      </w:r>
    </w:p>
    <w:p w14:paraId="258AB879" w14:textId="77777777" w:rsidR="00115B57" w:rsidRPr="00801D76" w:rsidRDefault="00115B57" w:rsidP="00115B57">
      <w:pPr>
        <w:pStyle w:val="obyctext"/>
        <w:numPr>
          <w:ilvl w:val="0"/>
          <w:numId w:val="15"/>
        </w:numPr>
        <w:tabs>
          <w:tab w:val="left" w:pos="2410"/>
        </w:tabs>
        <w:spacing w:before="60" w:after="0"/>
        <w:ind w:left="567" w:hanging="283"/>
      </w:pPr>
      <w:r w:rsidRPr="00801D76">
        <w:t>ostatní platby za provedenou práci ve výši 99 tis. Kč ze státního rozpočtu a 99 tis. Kč z rozpočtu EU, celkem ve výši 198 tis. Kč;</w:t>
      </w:r>
    </w:p>
    <w:p w14:paraId="55D3C39C" w14:textId="77777777" w:rsidR="00115B57" w:rsidRPr="00801D76" w:rsidRDefault="00115B57" w:rsidP="00115B57">
      <w:pPr>
        <w:pStyle w:val="obyctext"/>
        <w:numPr>
          <w:ilvl w:val="0"/>
          <w:numId w:val="15"/>
        </w:numPr>
        <w:tabs>
          <w:tab w:val="left" w:pos="2410"/>
        </w:tabs>
        <w:spacing w:before="60" w:after="0"/>
        <w:ind w:left="567" w:hanging="283"/>
      </w:pPr>
      <w:r w:rsidRPr="00801D76">
        <w:t>počet zaměstnanců 7 (motivace).</w:t>
      </w:r>
    </w:p>
    <w:p w14:paraId="380426B7" w14:textId="77777777" w:rsidR="00115B57" w:rsidRPr="00801D76" w:rsidRDefault="00115B57" w:rsidP="00115B57">
      <w:pPr>
        <w:pStyle w:val="Odstavecseseznamem"/>
        <w:numPr>
          <w:ilvl w:val="0"/>
          <w:numId w:val="10"/>
        </w:numPr>
        <w:tabs>
          <w:tab w:val="left" w:pos="2410"/>
        </w:tabs>
        <w:spacing w:before="240"/>
        <w:ind w:left="284" w:hanging="284"/>
      </w:pPr>
      <w:r w:rsidRPr="00CF7C7D">
        <w:t xml:space="preserve">CEF PSA-NAP </w:t>
      </w:r>
      <w:proofErr w:type="spellStart"/>
      <w:r w:rsidRPr="00CF7C7D">
        <w:t>Governance</w:t>
      </w:r>
      <w:proofErr w:type="spellEnd"/>
      <w:r w:rsidRPr="00CF7C7D">
        <w:t xml:space="preserve"> </w:t>
      </w:r>
      <w:r w:rsidRPr="00801D76">
        <w:t>(podíl SR 15 %, podíl EU 85 %)</w:t>
      </w:r>
    </w:p>
    <w:p w14:paraId="124E1BAA" w14:textId="77777777" w:rsidR="00115B57" w:rsidRPr="00801D76" w:rsidRDefault="00115B57" w:rsidP="00115B57">
      <w:pPr>
        <w:pStyle w:val="obyctext"/>
        <w:numPr>
          <w:ilvl w:val="0"/>
          <w:numId w:val="15"/>
        </w:numPr>
        <w:tabs>
          <w:tab w:val="left" w:pos="2410"/>
        </w:tabs>
        <w:spacing w:before="60" w:after="0"/>
        <w:ind w:left="567" w:hanging="283"/>
      </w:pPr>
      <w:r w:rsidRPr="00801D76">
        <w:t>prostředky na platy ve výši 85,5 tis. Kč ze státního rozpočtu a 484,5 tis. Kč z rozpočtu EU, celkem ve výši 570 tis. Kč;</w:t>
      </w:r>
    </w:p>
    <w:p w14:paraId="598812C9" w14:textId="77777777" w:rsidR="00115B57" w:rsidRPr="00801D76" w:rsidRDefault="00115B57" w:rsidP="00115B57">
      <w:pPr>
        <w:pStyle w:val="obyctext"/>
        <w:numPr>
          <w:ilvl w:val="0"/>
          <w:numId w:val="15"/>
        </w:numPr>
        <w:tabs>
          <w:tab w:val="left" w:pos="2410"/>
        </w:tabs>
        <w:spacing w:before="60" w:after="0"/>
        <w:ind w:left="567" w:hanging="283"/>
      </w:pPr>
      <w:r w:rsidRPr="00801D76">
        <w:t>ostatní platby za provedenou práci ve výši 75 tis. Kč ze státního rozpočtu a 425 tis. Kč z rozpočtu EU, celkem ve výši 500 tis. Kč;</w:t>
      </w:r>
    </w:p>
    <w:p w14:paraId="5445948A" w14:textId="77777777" w:rsidR="00115B57" w:rsidRPr="00801D76" w:rsidRDefault="00115B57" w:rsidP="00115B57">
      <w:pPr>
        <w:pStyle w:val="obyctext"/>
        <w:numPr>
          <w:ilvl w:val="0"/>
          <w:numId w:val="15"/>
        </w:numPr>
        <w:tabs>
          <w:tab w:val="left" w:pos="2410"/>
        </w:tabs>
        <w:spacing w:before="60" w:after="0"/>
        <w:ind w:left="567" w:hanging="283"/>
      </w:pPr>
      <w:r w:rsidRPr="00801D76">
        <w:t>počet zaměstnanců 7 (motivace).</w:t>
      </w:r>
    </w:p>
    <w:p w14:paraId="0C606514" w14:textId="77777777" w:rsidR="00115B57" w:rsidRPr="00801D76" w:rsidRDefault="00115B57" w:rsidP="00115B57">
      <w:pPr>
        <w:pStyle w:val="Nadpis8"/>
      </w:pPr>
      <w:r w:rsidRPr="00801D76">
        <w:t>Komunitární programy EU 2021+ (týká se jen ÚO MD)</w:t>
      </w:r>
    </w:p>
    <w:p w14:paraId="691255CD" w14:textId="77777777" w:rsidR="00115B57" w:rsidRPr="004E59C3" w:rsidRDefault="00115B57" w:rsidP="00115B57">
      <w:pPr>
        <w:pStyle w:val="Odstavecseseznamem"/>
        <w:numPr>
          <w:ilvl w:val="0"/>
          <w:numId w:val="10"/>
        </w:numPr>
        <w:tabs>
          <w:tab w:val="left" w:pos="2410"/>
        </w:tabs>
        <w:spacing w:before="240"/>
        <w:ind w:left="284" w:hanging="284"/>
      </w:pPr>
      <w:proofErr w:type="spellStart"/>
      <w:r w:rsidRPr="004E59C3">
        <w:t>Hozizont</w:t>
      </w:r>
      <w:proofErr w:type="spellEnd"/>
      <w:r w:rsidRPr="004E59C3">
        <w:t xml:space="preserve"> Evropa</w:t>
      </w:r>
      <w:r>
        <w:t xml:space="preserve"> </w:t>
      </w:r>
      <w:r w:rsidRPr="004E59C3">
        <w:t>(podíl EU 100 %)</w:t>
      </w:r>
    </w:p>
    <w:p w14:paraId="7F7299BF" w14:textId="77777777" w:rsidR="00115B57" w:rsidRPr="004E59C3" w:rsidRDefault="00115B57" w:rsidP="00115B57">
      <w:pPr>
        <w:pStyle w:val="obyctext"/>
        <w:numPr>
          <w:ilvl w:val="0"/>
          <w:numId w:val="15"/>
        </w:numPr>
        <w:tabs>
          <w:tab w:val="left" w:pos="2410"/>
        </w:tabs>
        <w:spacing w:before="60" w:after="0"/>
        <w:ind w:left="567" w:hanging="283"/>
      </w:pPr>
      <w:r w:rsidRPr="004E59C3">
        <w:t>prostředky na platy ve výši 140 tis. Kč z rozpočtu EU;</w:t>
      </w:r>
    </w:p>
    <w:p w14:paraId="6A813363" w14:textId="77777777" w:rsidR="00115B57" w:rsidRPr="004E59C3" w:rsidRDefault="00115B57" w:rsidP="00115B57">
      <w:pPr>
        <w:pStyle w:val="obyctext"/>
        <w:numPr>
          <w:ilvl w:val="0"/>
          <w:numId w:val="15"/>
        </w:numPr>
        <w:tabs>
          <w:tab w:val="left" w:pos="2410"/>
        </w:tabs>
        <w:spacing w:before="60" w:after="0"/>
        <w:ind w:left="567" w:hanging="283"/>
      </w:pPr>
      <w:r w:rsidRPr="004E59C3">
        <w:t>ostatní platby za provedenou práci ve výši 90 tis. Kč z rozpočtu EU;</w:t>
      </w:r>
    </w:p>
    <w:p w14:paraId="799D58AB" w14:textId="4CFBA43A" w:rsidR="00115B57" w:rsidRDefault="00115B57" w:rsidP="00115B57">
      <w:pPr>
        <w:pStyle w:val="obyctext"/>
        <w:numPr>
          <w:ilvl w:val="0"/>
          <w:numId w:val="15"/>
        </w:numPr>
        <w:tabs>
          <w:tab w:val="left" w:pos="2410"/>
        </w:tabs>
        <w:spacing w:before="60" w:after="0"/>
        <w:ind w:left="567" w:hanging="283"/>
      </w:pPr>
      <w:r w:rsidRPr="004E59C3">
        <w:t>počet zaměstnanců 3 (motivace).</w:t>
      </w:r>
    </w:p>
    <w:p w14:paraId="6CD818C3" w14:textId="77777777" w:rsidR="0099386D" w:rsidRPr="004E59C3" w:rsidRDefault="0099386D" w:rsidP="0088307E">
      <w:pPr>
        <w:pStyle w:val="obyctext"/>
        <w:tabs>
          <w:tab w:val="left" w:pos="2410"/>
        </w:tabs>
        <w:spacing w:before="60" w:after="0"/>
        <w:ind w:left="567" w:firstLine="0"/>
      </w:pPr>
    </w:p>
    <w:p w14:paraId="245F940E" w14:textId="77777777" w:rsidR="00115B57" w:rsidRPr="004E59C3" w:rsidRDefault="00115B57" w:rsidP="00115B57">
      <w:pPr>
        <w:pStyle w:val="Odstavecseseznamem"/>
        <w:numPr>
          <w:ilvl w:val="0"/>
          <w:numId w:val="10"/>
        </w:numPr>
        <w:tabs>
          <w:tab w:val="left" w:pos="2410"/>
        </w:tabs>
        <w:spacing w:before="240"/>
        <w:ind w:left="284" w:hanging="284"/>
      </w:pPr>
      <w:r w:rsidRPr="004E59C3">
        <w:t>TP CEF (podíl EU 100 %)</w:t>
      </w:r>
    </w:p>
    <w:p w14:paraId="01BFA15A" w14:textId="77777777" w:rsidR="00115B57" w:rsidRDefault="00115B57" w:rsidP="00115B57">
      <w:pPr>
        <w:pStyle w:val="obyctext"/>
        <w:numPr>
          <w:ilvl w:val="0"/>
          <w:numId w:val="15"/>
        </w:numPr>
        <w:tabs>
          <w:tab w:val="left" w:pos="2410"/>
        </w:tabs>
        <w:spacing w:before="60" w:after="0"/>
        <w:ind w:left="567" w:hanging="283"/>
      </w:pPr>
      <w:r w:rsidRPr="004E59C3">
        <w:t>prostředky na platy ve výši 5 460 tis. Kč z rozpočtu EU;</w:t>
      </w:r>
    </w:p>
    <w:p w14:paraId="2F9D9904" w14:textId="77777777" w:rsidR="00115B57" w:rsidRPr="004E59C3" w:rsidRDefault="00115B57" w:rsidP="00115B57">
      <w:pPr>
        <w:pStyle w:val="obyctext"/>
        <w:numPr>
          <w:ilvl w:val="0"/>
          <w:numId w:val="15"/>
        </w:numPr>
        <w:tabs>
          <w:tab w:val="left" w:pos="2410"/>
        </w:tabs>
        <w:spacing w:before="60" w:after="0"/>
        <w:ind w:left="567" w:hanging="283"/>
      </w:pPr>
      <w:r>
        <w:t>ostatní platby za provedenou práci ve výši 1 000 tis. Kč z rozpočtu EU;</w:t>
      </w:r>
    </w:p>
    <w:p w14:paraId="4C040572" w14:textId="77777777" w:rsidR="00115B57" w:rsidRPr="004E59C3" w:rsidRDefault="00115B57" w:rsidP="00115B57">
      <w:pPr>
        <w:pStyle w:val="obyctext"/>
        <w:numPr>
          <w:ilvl w:val="0"/>
          <w:numId w:val="15"/>
        </w:numPr>
        <w:tabs>
          <w:tab w:val="left" w:pos="2410"/>
        </w:tabs>
        <w:spacing w:before="60" w:after="0"/>
        <w:ind w:left="567" w:hanging="283"/>
      </w:pPr>
      <w:r w:rsidRPr="004E59C3">
        <w:t xml:space="preserve">počet zaměstnanců 2,6 (kmenoví </w:t>
      </w:r>
      <w:proofErr w:type="spellStart"/>
      <w:r w:rsidRPr="004E59C3">
        <w:t>zam</w:t>
      </w:r>
      <w:proofErr w:type="spellEnd"/>
      <w:r w:rsidRPr="004E59C3">
        <w:t>.), 1 (jednorázové navýšení) a 23 (motivace).</w:t>
      </w:r>
    </w:p>
    <w:p w14:paraId="5151D2D6" w14:textId="77777777" w:rsidR="00115B57" w:rsidRPr="004E59C3" w:rsidRDefault="00115B57" w:rsidP="00115B57">
      <w:pPr>
        <w:pStyle w:val="Odstavecseseznamem"/>
        <w:numPr>
          <w:ilvl w:val="0"/>
          <w:numId w:val="10"/>
        </w:numPr>
        <w:tabs>
          <w:tab w:val="left" w:pos="2410"/>
        </w:tabs>
        <w:spacing w:before="240"/>
        <w:ind w:left="284" w:hanging="284"/>
      </w:pPr>
      <w:r>
        <w:t>X4ITS</w:t>
      </w:r>
      <w:r w:rsidRPr="004E59C3">
        <w:t xml:space="preserve"> (</w:t>
      </w:r>
      <w:r>
        <w:t xml:space="preserve">podíl SR 50 %, </w:t>
      </w:r>
      <w:r w:rsidRPr="004E59C3">
        <w:t xml:space="preserve">podíl EU </w:t>
      </w:r>
      <w:r>
        <w:t>5</w:t>
      </w:r>
      <w:r w:rsidRPr="004E59C3">
        <w:t>0 %)</w:t>
      </w:r>
    </w:p>
    <w:p w14:paraId="4B122F36" w14:textId="77777777" w:rsidR="00115B57" w:rsidRDefault="00115B57" w:rsidP="00115B57">
      <w:pPr>
        <w:pStyle w:val="obyctext"/>
        <w:numPr>
          <w:ilvl w:val="0"/>
          <w:numId w:val="15"/>
        </w:numPr>
        <w:tabs>
          <w:tab w:val="left" w:pos="2410"/>
        </w:tabs>
        <w:spacing w:before="60" w:after="0"/>
        <w:ind w:left="567" w:hanging="283"/>
      </w:pPr>
      <w:r w:rsidRPr="004E59C3">
        <w:t xml:space="preserve">prostředky na platy ve výši </w:t>
      </w:r>
      <w:r>
        <w:t>420 tis. Kč ze státního rozpočtu a 420 tis. Kč z </w:t>
      </w:r>
      <w:proofErr w:type="spellStart"/>
      <w:r>
        <w:t>rozočtu</w:t>
      </w:r>
      <w:proofErr w:type="spellEnd"/>
      <w:r>
        <w:t xml:space="preserve"> EU, celkem ve výši 840 tis. Kč</w:t>
      </w:r>
      <w:r w:rsidRPr="004E59C3">
        <w:t>;</w:t>
      </w:r>
    </w:p>
    <w:p w14:paraId="13AA11CC" w14:textId="77777777" w:rsidR="00115B57" w:rsidRPr="004E59C3" w:rsidRDefault="00115B57" w:rsidP="00115B57">
      <w:pPr>
        <w:pStyle w:val="obyctext"/>
        <w:numPr>
          <w:ilvl w:val="0"/>
          <w:numId w:val="15"/>
        </w:numPr>
        <w:tabs>
          <w:tab w:val="left" w:pos="2410"/>
        </w:tabs>
        <w:spacing w:before="60" w:after="0"/>
        <w:ind w:left="567" w:hanging="283"/>
      </w:pPr>
      <w:r>
        <w:t>ostatní platby za provedenou práci ve výši 350 tis. Kč ze státního rozpočtu a 350 tis. Kč z rozpočtu EU, celkem ve výši 700 tis. Kč;</w:t>
      </w:r>
    </w:p>
    <w:p w14:paraId="7E797727" w14:textId="77777777" w:rsidR="00115B57" w:rsidRDefault="00115B57" w:rsidP="00115B57">
      <w:pPr>
        <w:pStyle w:val="obyctext"/>
        <w:numPr>
          <w:ilvl w:val="0"/>
          <w:numId w:val="15"/>
        </w:numPr>
        <w:tabs>
          <w:tab w:val="left" w:pos="2410"/>
        </w:tabs>
        <w:spacing w:before="60" w:after="0"/>
        <w:ind w:left="567" w:hanging="283"/>
      </w:pPr>
      <w:r w:rsidRPr="004E59C3">
        <w:t xml:space="preserve">počet zaměstnanců </w:t>
      </w:r>
      <w:r>
        <w:t>7</w:t>
      </w:r>
      <w:r w:rsidRPr="004E59C3">
        <w:t xml:space="preserve"> (motivace).</w:t>
      </w:r>
    </w:p>
    <w:p w14:paraId="14DD0E47" w14:textId="77777777" w:rsidR="00115B57" w:rsidRPr="004E59C3" w:rsidRDefault="00115B57" w:rsidP="00115B57">
      <w:pPr>
        <w:pStyle w:val="Odstavecseseznamem"/>
        <w:numPr>
          <w:ilvl w:val="0"/>
          <w:numId w:val="10"/>
        </w:numPr>
        <w:tabs>
          <w:tab w:val="left" w:pos="2410"/>
        </w:tabs>
        <w:spacing w:before="240"/>
        <w:ind w:left="284" w:hanging="284"/>
      </w:pPr>
      <w:r>
        <w:t>Kosmický program Unie</w:t>
      </w:r>
      <w:r w:rsidRPr="004E59C3">
        <w:t xml:space="preserve"> (</w:t>
      </w:r>
      <w:r>
        <w:t xml:space="preserve">podíl SR 20 %, </w:t>
      </w:r>
      <w:r w:rsidRPr="004E59C3">
        <w:t xml:space="preserve">podíl EU </w:t>
      </w:r>
      <w:r>
        <w:t>8</w:t>
      </w:r>
      <w:r w:rsidRPr="004E59C3">
        <w:t>0 %)</w:t>
      </w:r>
    </w:p>
    <w:p w14:paraId="7F797E0D" w14:textId="77777777" w:rsidR="00115B57" w:rsidRDefault="00115B57" w:rsidP="00115B57">
      <w:pPr>
        <w:pStyle w:val="obyctext"/>
        <w:numPr>
          <w:ilvl w:val="0"/>
          <w:numId w:val="15"/>
        </w:numPr>
        <w:tabs>
          <w:tab w:val="left" w:pos="2410"/>
        </w:tabs>
        <w:spacing w:before="60" w:after="0"/>
        <w:ind w:left="567" w:hanging="283"/>
      </w:pPr>
      <w:r w:rsidRPr="004E59C3">
        <w:t xml:space="preserve">prostředky na platy ve výši </w:t>
      </w:r>
      <w:r>
        <w:t>56 tis. Kč ze státního rozpočtu a 224 tis. Kč z </w:t>
      </w:r>
      <w:proofErr w:type="spellStart"/>
      <w:r>
        <w:t>rozočtu</w:t>
      </w:r>
      <w:proofErr w:type="spellEnd"/>
      <w:r>
        <w:t xml:space="preserve"> EU, celkem ve výši 280 tis. Kč</w:t>
      </w:r>
      <w:r w:rsidRPr="004E59C3">
        <w:t>;</w:t>
      </w:r>
    </w:p>
    <w:p w14:paraId="72E5A4C4" w14:textId="77777777" w:rsidR="00115B57" w:rsidRPr="004E59C3" w:rsidRDefault="00115B57" w:rsidP="00115B57">
      <w:pPr>
        <w:pStyle w:val="obyctext"/>
        <w:numPr>
          <w:ilvl w:val="0"/>
          <w:numId w:val="15"/>
        </w:numPr>
        <w:tabs>
          <w:tab w:val="left" w:pos="2410"/>
        </w:tabs>
        <w:spacing w:before="60" w:after="0"/>
        <w:ind w:left="567" w:hanging="283"/>
      </w:pPr>
      <w:r>
        <w:t>ostatní platby za provedenou práci ve výši 63 tis. Kč ze státního rozpočtu a 251 tis. Kč z rozpočtu EU, celkem ve výši 314 tis. Kč;</w:t>
      </w:r>
    </w:p>
    <w:p w14:paraId="6EEEF0B5" w14:textId="77777777" w:rsidR="00115B57" w:rsidRDefault="00115B57" w:rsidP="00115B57">
      <w:pPr>
        <w:pStyle w:val="obyctext"/>
        <w:numPr>
          <w:ilvl w:val="0"/>
          <w:numId w:val="15"/>
        </w:numPr>
        <w:tabs>
          <w:tab w:val="left" w:pos="2410"/>
        </w:tabs>
        <w:spacing w:before="60" w:after="0"/>
        <w:ind w:left="567" w:hanging="283"/>
      </w:pPr>
      <w:r w:rsidRPr="004E59C3">
        <w:t xml:space="preserve">počet zaměstnanců </w:t>
      </w:r>
      <w:r>
        <w:t>3</w:t>
      </w:r>
      <w:r w:rsidRPr="004E59C3">
        <w:t xml:space="preserve"> (motivace).</w:t>
      </w:r>
    </w:p>
    <w:p w14:paraId="5F95332F" w14:textId="77777777" w:rsidR="00115B57" w:rsidRPr="00385968" w:rsidRDefault="00115B57" w:rsidP="00115B57">
      <w:pPr>
        <w:spacing w:before="240" w:after="120" w:line="240" w:lineRule="auto"/>
        <w:rPr>
          <w:rFonts w:eastAsia="Times New Roman" w:cs="Times New Roman"/>
          <w:szCs w:val="24"/>
          <w:u w:val="single"/>
          <w:lang w:eastAsia="cs-CZ"/>
        </w:rPr>
      </w:pPr>
      <w:r w:rsidRPr="00385968">
        <w:rPr>
          <w:rFonts w:eastAsia="Times New Roman" w:cs="Times New Roman"/>
          <w:szCs w:val="24"/>
          <w:u w:val="single"/>
          <w:lang w:eastAsia="cs-CZ"/>
        </w:rPr>
        <w:t xml:space="preserve">BAR – rezerva na vyrovnání s důsledky </w:t>
      </w:r>
      <w:proofErr w:type="spellStart"/>
      <w:r w:rsidRPr="00385968">
        <w:rPr>
          <w:rFonts w:eastAsia="Times New Roman" w:cs="Times New Roman"/>
          <w:szCs w:val="24"/>
          <w:u w:val="single"/>
          <w:lang w:eastAsia="cs-CZ"/>
        </w:rPr>
        <w:t>Brexitu</w:t>
      </w:r>
      <w:proofErr w:type="spellEnd"/>
      <w:r w:rsidRPr="00385968">
        <w:rPr>
          <w:rFonts w:eastAsia="Times New Roman" w:cs="Times New Roman"/>
          <w:szCs w:val="24"/>
          <w:u w:val="single"/>
          <w:lang w:eastAsia="cs-CZ"/>
        </w:rPr>
        <w:t>(týká se jen ÚO MD</w:t>
      </w:r>
      <w:r>
        <w:rPr>
          <w:rFonts w:eastAsia="Times New Roman" w:cs="Times New Roman"/>
          <w:szCs w:val="24"/>
          <w:u w:val="single"/>
          <w:lang w:eastAsia="cs-CZ"/>
        </w:rPr>
        <w:t>;</w:t>
      </w:r>
      <w:r w:rsidRPr="00385968">
        <w:rPr>
          <w:rFonts w:eastAsia="Times New Roman" w:cs="Times New Roman"/>
          <w:szCs w:val="24"/>
          <w:u w:val="single"/>
          <w:lang w:eastAsia="cs-CZ"/>
        </w:rPr>
        <w:t xml:space="preserve"> podíl EU 100 %)</w:t>
      </w:r>
    </w:p>
    <w:p w14:paraId="79D96D69" w14:textId="77777777" w:rsidR="00115B57" w:rsidRPr="00CF7C7D" w:rsidRDefault="00115B57" w:rsidP="00115B57">
      <w:pPr>
        <w:pStyle w:val="obyctext"/>
        <w:numPr>
          <w:ilvl w:val="0"/>
          <w:numId w:val="16"/>
        </w:numPr>
        <w:tabs>
          <w:tab w:val="left" w:pos="567"/>
        </w:tabs>
        <w:spacing w:before="60" w:after="0"/>
        <w:ind w:left="567" w:hanging="283"/>
      </w:pPr>
      <w:r w:rsidRPr="00CF7C7D">
        <w:t>prostředky na platy ve výši 7 800 tis. Kč z rozpočtu EU;</w:t>
      </w:r>
    </w:p>
    <w:p w14:paraId="25473F18" w14:textId="77777777" w:rsidR="00115B57" w:rsidRPr="00CF7C7D" w:rsidRDefault="00115B57" w:rsidP="00115B57">
      <w:pPr>
        <w:pStyle w:val="obyctext"/>
        <w:numPr>
          <w:ilvl w:val="0"/>
          <w:numId w:val="16"/>
        </w:numPr>
        <w:tabs>
          <w:tab w:val="left" w:pos="567"/>
        </w:tabs>
        <w:spacing w:before="60" w:after="0"/>
        <w:ind w:left="567" w:hanging="283"/>
      </w:pPr>
      <w:r w:rsidRPr="00CF7C7D">
        <w:t>ostatní platby za provedenou práci ve výši 3 000 tis. Kč z rozpočtu EU;</w:t>
      </w:r>
    </w:p>
    <w:p w14:paraId="394C4F90" w14:textId="77777777" w:rsidR="00115B57" w:rsidRPr="00CF7C7D" w:rsidRDefault="00115B57" w:rsidP="00115B57">
      <w:pPr>
        <w:pStyle w:val="obyctext"/>
        <w:numPr>
          <w:ilvl w:val="0"/>
          <w:numId w:val="16"/>
        </w:numPr>
        <w:tabs>
          <w:tab w:val="left" w:pos="567"/>
        </w:tabs>
        <w:spacing w:before="60" w:after="0"/>
        <w:ind w:left="567" w:hanging="283"/>
      </w:pPr>
      <w:r w:rsidRPr="00CF7C7D">
        <w:t>počet zaměstnanců 5 (jednorázové navýšení) a počet zaměstnanců 35 (motivace).</w:t>
      </w:r>
    </w:p>
    <w:p w14:paraId="3F952AF8" w14:textId="77777777" w:rsidR="00115B57" w:rsidRDefault="00115B57" w:rsidP="00115B57">
      <w:pPr>
        <w:pStyle w:val="Styl1"/>
      </w:pPr>
      <w:r w:rsidRPr="005534B6">
        <w:t xml:space="preserve">Podrobné informace k jednotlivým programům EU jsou uvedené v části </w:t>
      </w:r>
      <w:r w:rsidRPr="00CF7C7D">
        <w:t>3.5 Prostředky fondů Evropské unie.</w:t>
      </w:r>
    </w:p>
    <w:p w14:paraId="2B63998D" w14:textId="77777777" w:rsidR="007264DA" w:rsidRPr="00E8518E" w:rsidRDefault="007264DA" w:rsidP="00BE723A">
      <w:pPr>
        <w:pStyle w:val="Styl1"/>
        <w:rPr>
          <w:color w:val="FF0000"/>
        </w:rPr>
      </w:pPr>
    </w:p>
    <w:p w14:paraId="27067670" w14:textId="77777777" w:rsidR="00CF4AED" w:rsidRPr="00E8518E" w:rsidRDefault="00CF4AED">
      <w:pPr>
        <w:spacing w:after="160"/>
        <w:jc w:val="left"/>
        <w:rPr>
          <w:rFonts w:eastAsia="Times New Roman" w:cs="Times New Roman"/>
          <w:color w:val="FF0000"/>
          <w:szCs w:val="24"/>
          <w:lang w:eastAsia="cs-CZ"/>
        </w:rPr>
      </w:pPr>
      <w:r w:rsidRPr="00E8518E">
        <w:rPr>
          <w:color w:val="FF0000"/>
        </w:rPr>
        <w:br w:type="page"/>
      </w:r>
    </w:p>
    <w:p w14:paraId="3DFA73B7" w14:textId="77777777" w:rsidR="00F472F7" w:rsidRPr="0088307E" w:rsidRDefault="00F472F7" w:rsidP="007B2F4B">
      <w:pPr>
        <w:pStyle w:val="Nadpis3"/>
      </w:pPr>
      <w:bookmarkStart w:id="160" w:name="_Toc489274098"/>
      <w:bookmarkStart w:id="161" w:name="_Toc115787741"/>
      <w:r w:rsidRPr="0088307E">
        <w:t>Organizační složky státu</w:t>
      </w:r>
      <w:bookmarkEnd w:id="160"/>
      <w:bookmarkEnd w:id="161"/>
    </w:p>
    <w:bookmarkEnd w:id="159"/>
    <w:p w14:paraId="4C3602D4" w14:textId="77777777" w:rsidR="00BD28A7" w:rsidRPr="0088307E" w:rsidRDefault="00BD28A7" w:rsidP="00CF4AED">
      <w:pPr>
        <w:pStyle w:val="Nadpis9"/>
      </w:pPr>
      <w:r w:rsidRPr="0088307E">
        <w:t>Ústřední orgán MD</w:t>
      </w:r>
    </w:p>
    <w:p w14:paraId="4F176691" w14:textId="77777777" w:rsidR="00730183" w:rsidRPr="0088307E" w:rsidRDefault="00730183" w:rsidP="007D2A71">
      <w:pPr>
        <w:pStyle w:val="Styl1"/>
        <w:spacing w:after="120"/>
      </w:pPr>
      <w:r w:rsidRPr="0088307E">
        <w:t xml:space="preserve">Ministerstvo dopravy ČR je ústředním orgánem státní správy.   </w:t>
      </w:r>
    </w:p>
    <w:p w14:paraId="4FC6A390" w14:textId="2B075E3A" w:rsidR="00730183" w:rsidRPr="0088307E" w:rsidRDefault="00730183" w:rsidP="007D2A71">
      <w:pPr>
        <w:pStyle w:val="Titulek"/>
      </w:pPr>
      <w:r w:rsidRPr="0088307E">
        <w:t xml:space="preserve">Tabulka č. </w:t>
      </w:r>
      <w:fldSimple w:instr=" SEQ Tabulka \* ARABIC ">
        <w:r w:rsidR="00F80947">
          <w:rPr>
            <w:noProof/>
          </w:rPr>
          <w:t>9</w:t>
        </w:r>
      </w:fldSimple>
      <w:r w:rsidRPr="0088307E">
        <w:t xml:space="preserve"> Ústřední orgán MD – běžné výdaje (v tis. Kč)</w:t>
      </w:r>
    </w:p>
    <w:tbl>
      <w:tblPr>
        <w:tblStyle w:val="Svtltabulkasmkou1zvraznn1112"/>
        <w:tblW w:w="4998" w:type="pct"/>
        <w:jc w:val="righ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0"/>
        <w:gridCol w:w="1417"/>
        <w:gridCol w:w="1276"/>
        <w:gridCol w:w="1207"/>
        <w:gridCol w:w="907"/>
      </w:tblGrid>
      <w:tr w:rsidR="0088307E" w:rsidRPr="00440225" w14:paraId="54B82243" w14:textId="77777777" w:rsidTr="0088307E">
        <w:trPr>
          <w:trHeight w:val="979"/>
          <w:jc w:val="right"/>
        </w:trPr>
        <w:tc>
          <w:tcPr>
            <w:tcW w:w="234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7934BB2" w14:textId="77777777" w:rsidR="00961AEB" w:rsidRPr="00440225" w:rsidRDefault="00961AEB" w:rsidP="00413CE9">
            <w:pPr>
              <w:jc w:val="center"/>
              <w:rPr>
                <w:b/>
              </w:rPr>
            </w:pPr>
            <w:r w:rsidRPr="00440225">
              <w:rPr>
                <w:b/>
              </w:rPr>
              <w:t>Ukazatel</w:t>
            </w:r>
          </w:p>
        </w:tc>
        <w:tc>
          <w:tcPr>
            <w:tcW w:w="7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8CBA822" w14:textId="77777777" w:rsidR="00961AEB" w:rsidRPr="00440225" w:rsidRDefault="00961AEB" w:rsidP="00413CE9">
            <w:pPr>
              <w:jc w:val="center"/>
              <w:rPr>
                <w:b/>
              </w:rPr>
            </w:pPr>
            <w:r w:rsidRPr="00440225">
              <w:rPr>
                <w:b/>
              </w:rPr>
              <w:t>Skutečnost 2021</w:t>
            </w:r>
          </w:p>
        </w:tc>
        <w:tc>
          <w:tcPr>
            <w:tcW w:w="70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7FDEA3A" w14:textId="77777777" w:rsidR="00961AEB" w:rsidRPr="00440225" w:rsidRDefault="00961AEB" w:rsidP="00413CE9">
            <w:pPr>
              <w:jc w:val="center"/>
              <w:rPr>
                <w:b/>
              </w:rPr>
            </w:pPr>
            <w:r w:rsidRPr="00440225">
              <w:rPr>
                <w:b/>
              </w:rPr>
              <w:t>Schválený</w:t>
            </w:r>
          </w:p>
          <w:p w14:paraId="630FB704" w14:textId="77777777" w:rsidR="00961AEB" w:rsidRPr="00440225" w:rsidRDefault="00961AEB" w:rsidP="00413CE9">
            <w:pPr>
              <w:jc w:val="center"/>
              <w:rPr>
                <w:b/>
              </w:rPr>
            </w:pPr>
            <w:r w:rsidRPr="00440225">
              <w:rPr>
                <w:b/>
              </w:rPr>
              <w:t>rozpočet</w:t>
            </w:r>
          </w:p>
          <w:p w14:paraId="6CED0FB5" w14:textId="77777777" w:rsidR="00961AEB" w:rsidRPr="00440225" w:rsidRDefault="00961AEB" w:rsidP="00413CE9">
            <w:pPr>
              <w:ind w:left="-47"/>
              <w:jc w:val="center"/>
              <w:rPr>
                <w:b/>
              </w:rPr>
            </w:pPr>
            <w:r w:rsidRPr="00440225">
              <w:rPr>
                <w:b/>
              </w:rPr>
              <w:t>2022</w:t>
            </w:r>
          </w:p>
        </w:tc>
        <w:tc>
          <w:tcPr>
            <w:tcW w:w="66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D808B3D" w14:textId="77777777" w:rsidR="00961AEB" w:rsidRPr="00440225" w:rsidRDefault="00961AEB" w:rsidP="00413CE9">
            <w:pPr>
              <w:jc w:val="center"/>
              <w:rPr>
                <w:b/>
              </w:rPr>
            </w:pPr>
            <w:r w:rsidRPr="00440225">
              <w:rPr>
                <w:b/>
              </w:rPr>
              <w:t>Návrh</w:t>
            </w:r>
          </w:p>
          <w:p w14:paraId="276A8000" w14:textId="77777777" w:rsidR="00961AEB" w:rsidRPr="00440225" w:rsidRDefault="00961AEB" w:rsidP="00413CE9">
            <w:pPr>
              <w:jc w:val="center"/>
              <w:rPr>
                <w:b/>
              </w:rPr>
            </w:pPr>
            <w:r w:rsidRPr="00440225">
              <w:rPr>
                <w:b/>
              </w:rPr>
              <w:t>rozpočtu</w:t>
            </w:r>
          </w:p>
          <w:p w14:paraId="3BBD3580" w14:textId="77777777" w:rsidR="00961AEB" w:rsidRPr="00440225" w:rsidRDefault="00961AEB" w:rsidP="00413CE9">
            <w:pPr>
              <w:jc w:val="center"/>
              <w:rPr>
                <w:b/>
              </w:rPr>
            </w:pPr>
            <w:r w:rsidRPr="00440225">
              <w:rPr>
                <w:b/>
              </w:rPr>
              <w:t>2023</w:t>
            </w:r>
          </w:p>
        </w:tc>
        <w:tc>
          <w:tcPr>
            <w:tcW w:w="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4BA3D80" w14:textId="77777777" w:rsidR="00961AEB" w:rsidRPr="00440225" w:rsidRDefault="00961AEB" w:rsidP="00413CE9">
            <w:pPr>
              <w:jc w:val="center"/>
              <w:rPr>
                <w:b/>
              </w:rPr>
            </w:pPr>
            <w:r w:rsidRPr="00440225">
              <w:rPr>
                <w:b/>
              </w:rPr>
              <w:t>Index</w:t>
            </w:r>
          </w:p>
          <w:p w14:paraId="57D634B6" w14:textId="77777777" w:rsidR="00961AEB" w:rsidRPr="00440225" w:rsidRDefault="00961AEB" w:rsidP="00413CE9">
            <w:pPr>
              <w:jc w:val="center"/>
              <w:rPr>
                <w:b/>
              </w:rPr>
            </w:pPr>
            <w:r w:rsidRPr="00440225">
              <w:rPr>
                <w:b/>
              </w:rPr>
              <w:t>2023/</w:t>
            </w:r>
            <w:r w:rsidRPr="00440225">
              <w:rPr>
                <w:b/>
              </w:rPr>
              <w:br/>
              <w:t>2022</w:t>
            </w:r>
          </w:p>
          <w:p w14:paraId="4FB10275" w14:textId="77777777" w:rsidR="00961AEB" w:rsidRPr="00440225" w:rsidRDefault="00961AEB" w:rsidP="00413CE9">
            <w:pPr>
              <w:jc w:val="center"/>
              <w:rPr>
                <w:b/>
              </w:rPr>
            </w:pPr>
            <w:r w:rsidRPr="00440225">
              <w:rPr>
                <w:b/>
              </w:rPr>
              <w:t>(v %)</w:t>
            </w:r>
          </w:p>
        </w:tc>
      </w:tr>
      <w:tr w:rsidR="00961AEB" w:rsidRPr="00226E5A" w14:paraId="5DF4990A" w14:textId="77777777" w:rsidTr="0088307E">
        <w:trPr>
          <w:trHeight w:val="136"/>
          <w:jc w:val="right"/>
        </w:trPr>
        <w:tc>
          <w:tcPr>
            <w:tcW w:w="2343" w:type="pct"/>
            <w:tcBorders>
              <w:top w:val="single" w:sz="4" w:space="0" w:color="7F7F7F" w:themeColor="text1" w:themeTint="80"/>
              <w:bottom w:val="single" w:sz="8" w:space="0" w:color="7F7F7F" w:themeColor="text1" w:themeTint="80"/>
            </w:tcBorders>
            <w:shd w:val="clear" w:color="auto" w:fill="auto"/>
          </w:tcPr>
          <w:p w14:paraId="3707436D" w14:textId="77777777" w:rsidR="00961AEB" w:rsidRPr="00226E5A" w:rsidRDefault="00961AEB" w:rsidP="00413CE9">
            <w:pPr>
              <w:jc w:val="center"/>
            </w:pPr>
            <w:r w:rsidRPr="00226E5A">
              <w:t>a</w:t>
            </w:r>
          </w:p>
        </w:tc>
        <w:tc>
          <w:tcPr>
            <w:tcW w:w="783" w:type="pct"/>
            <w:tcBorders>
              <w:top w:val="single" w:sz="4" w:space="0" w:color="7F7F7F" w:themeColor="text1" w:themeTint="80"/>
              <w:bottom w:val="single" w:sz="8" w:space="0" w:color="7F7F7F" w:themeColor="text1" w:themeTint="80"/>
            </w:tcBorders>
            <w:shd w:val="clear" w:color="auto" w:fill="auto"/>
          </w:tcPr>
          <w:p w14:paraId="2CB27355" w14:textId="77777777" w:rsidR="00961AEB" w:rsidRPr="00226E5A" w:rsidRDefault="00961AEB" w:rsidP="00413CE9">
            <w:pPr>
              <w:jc w:val="center"/>
            </w:pPr>
            <w:r w:rsidRPr="00226E5A">
              <w:t>1</w:t>
            </w:r>
          </w:p>
        </w:tc>
        <w:tc>
          <w:tcPr>
            <w:tcW w:w="705" w:type="pct"/>
            <w:tcBorders>
              <w:top w:val="single" w:sz="4" w:space="0" w:color="7F7F7F" w:themeColor="text1" w:themeTint="80"/>
              <w:bottom w:val="single" w:sz="8" w:space="0" w:color="7F7F7F" w:themeColor="text1" w:themeTint="80"/>
            </w:tcBorders>
            <w:shd w:val="clear" w:color="auto" w:fill="auto"/>
          </w:tcPr>
          <w:p w14:paraId="54FF4956" w14:textId="77777777" w:rsidR="00961AEB" w:rsidRPr="00226E5A" w:rsidRDefault="00961AEB" w:rsidP="00413CE9">
            <w:pPr>
              <w:jc w:val="center"/>
            </w:pPr>
            <w:r w:rsidRPr="00226E5A">
              <w:t>2</w:t>
            </w:r>
          </w:p>
        </w:tc>
        <w:tc>
          <w:tcPr>
            <w:tcW w:w="667" w:type="pct"/>
            <w:tcBorders>
              <w:top w:val="single" w:sz="4" w:space="0" w:color="7F7F7F" w:themeColor="text1" w:themeTint="80"/>
              <w:bottom w:val="single" w:sz="8" w:space="0" w:color="7F7F7F" w:themeColor="text1" w:themeTint="80"/>
            </w:tcBorders>
            <w:shd w:val="clear" w:color="auto" w:fill="auto"/>
          </w:tcPr>
          <w:p w14:paraId="60AD50B1" w14:textId="77777777" w:rsidR="00961AEB" w:rsidRPr="00226E5A" w:rsidRDefault="00961AEB" w:rsidP="00413CE9">
            <w:pPr>
              <w:jc w:val="center"/>
            </w:pPr>
            <w:r w:rsidRPr="00226E5A">
              <w:t>3</w:t>
            </w:r>
          </w:p>
        </w:tc>
        <w:tc>
          <w:tcPr>
            <w:tcW w:w="501" w:type="pct"/>
            <w:tcBorders>
              <w:top w:val="single" w:sz="4" w:space="0" w:color="7F7F7F" w:themeColor="text1" w:themeTint="80"/>
              <w:bottom w:val="single" w:sz="8" w:space="0" w:color="7F7F7F" w:themeColor="text1" w:themeTint="80"/>
            </w:tcBorders>
            <w:shd w:val="clear" w:color="auto" w:fill="auto"/>
          </w:tcPr>
          <w:p w14:paraId="73FD7814" w14:textId="77777777" w:rsidR="00961AEB" w:rsidRPr="00226E5A" w:rsidRDefault="00961AEB" w:rsidP="00413CE9">
            <w:pPr>
              <w:jc w:val="center"/>
            </w:pPr>
            <w:r w:rsidRPr="00226E5A">
              <w:t>4</w:t>
            </w:r>
          </w:p>
        </w:tc>
      </w:tr>
      <w:tr w:rsidR="00961AEB" w:rsidRPr="004760E8" w14:paraId="7DD31634" w14:textId="77777777" w:rsidTr="0088307E">
        <w:trPr>
          <w:trHeight w:val="284"/>
          <w:jc w:val="right"/>
        </w:trPr>
        <w:tc>
          <w:tcPr>
            <w:tcW w:w="2343" w:type="pct"/>
            <w:tcBorders>
              <w:top w:val="single" w:sz="8" w:space="0" w:color="7F7F7F" w:themeColor="text1" w:themeTint="80"/>
              <w:bottom w:val="single" w:sz="8" w:space="0" w:color="7F7F7F" w:themeColor="text1" w:themeTint="80"/>
            </w:tcBorders>
            <w:shd w:val="clear" w:color="auto" w:fill="auto"/>
          </w:tcPr>
          <w:p w14:paraId="0BA0058E" w14:textId="77777777" w:rsidR="00961AEB" w:rsidRPr="004C2D04" w:rsidRDefault="00961AEB" w:rsidP="00413CE9">
            <w:pPr>
              <w:spacing w:before="54"/>
            </w:pPr>
            <w:r w:rsidRPr="004C2D04">
              <w:rPr>
                <w:b/>
                <w:iCs/>
              </w:rPr>
              <w:t xml:space="preserve">Běžné výdaje </w:t>
            </w:r>
            <w:r w:rsidRPr="004C2D04">
              <w:t xml:space="preserve">v tom: </w:t>
            </w:r>
          </w:p>
        </w:tc>
        <w:tc>
          <w:tcPr>
            <w:tcW w:w="783" w:type="pct"/>
            <w:tcBorders>
              <w:top w:val="single" w:sz="8" w:space="0" w:color="7F7F7F" w:themeColor="text1" w:themeTint="80"/>
              <w:bottom w:val="single" w:sz="8" w:space="0" w:color="7F7F7F" w:themeColor="text1" w:themeTint="80"/>
            </w:tcBorders>
            <w:shd w:val="clear" w:color="auto" w:fill="auto"/>
          </w:tcPr>
          <w:p w14:paraId="1501C1CD" w14:textId="77777777" w:rsidR="00961AEB" w:rsidRPr="004760E8" w:rsidRDefault="00961AEB" w:rsidP="00413CE9">
            <w:pPr>
              <w:spacing w:before="54"/>
              <w:jc w:val="right"/>
              <w:rPr>
                <w:b/>
                <w:color w:val="FF0000"/>
              </w:rPr>
            </w:pPr>
            <w:r w:rsidRPr="008552A9">
              <w:rPr>
                <w:b/>
              </w:rPr>
              <w:t>4 923 829</w:t>
            </w:r>
          </w:p>
        </w:tc>
        <w:tc>
          <w:tcPr>
            <w:tcW w:w="705" w:type="pct"/>
            <w:tcBorders>
              <w:top w:val="single" w:sz="8" w:space="0" w:color="7F7F7F" w:themeColor="text1" w:themeTint="80"/>
              <w:bottom w:val="single" w:sz="8" w:space="0" w:color="7F7F7F" w:themeColor="text1" w:themeTint="80"/>
            </w:tcBorders>
            <w:shd w:val="clear" w:color="auto" w:fill="auto"/>
          </w:tcPr>
          <w:p w14:paraId="7F748533" w14:textId="77777777" w:rsidR="00961AEB" w:rsidRPr="00C91345" w:rsidRDefault="00961AEB" w:rsidP="00413CE9">
            <w:pPr>
              <w:spacing w:before="54"/>
              <w:jc w:val="right"/>
              <w:rPr>
                <w:b/>
              </w:rPr>
            </w:pPr>
            <w:r w:rsidRPr="00C91345">
              <w:rPr>
                <w:b/>
              </w:rPr>
              <w:t>2 152 536</w:t>
            </w:r>
          </w:p>
        </w:tc>
        <w:tc>
          <w:tcPr>
            <w:tcW w:w="667" w:type="pct"/>
            <w:tcBorders>
              <w:top w:val="single" w:sz="8" w:space="0" w:color="7F7F7F" w:themeColor="text1" w:themeTint="80"/>
              <w:bottom w:val="single" w:sz="8" w:space="0" w:color="7F7F7F" w:themeColor="text1" w:themeTint="80"/>
            </w:tcBorders>
            <w:shd w:val="clear" w:color="auto" w:fill="auto"/>
          </w:tcPr>
          <w:p w14:paraId="3426EA6B" w14:textId="7412F307" w:rsidR="00961AEB" w:rsidRPr="00144767" w:rsidRDefault="009F618E" w:rsidP="00413CE9">
            <w:pPr>
              <w:spacing w:before="54"/>
              <w:jc w:val="center"/>
              <w:rPr>
                <w:b/>
                <w:color w:val="FF0000"/>
              </w:rPr>
            </w:pPr>
            <w:r>
              <w:rPr>
                <w:b/>
              </w:rPr>
              <w:t>6 184 153</w:t>
            </w:r>
          </w:p>
        </w:tc>
        <w:tc>
          <w:tcPr>
            <w:tcW w:w="501" w:type="pct"/>
            <w:tcBorders>
              <w:top w:val="single" w:sz="8" w:space="0" w:color="7F7F7F" w:themeColor="text1" w:themeTint="80"/>
              <w:bottom w:val="single" w:sz="8" w:space="0" w:color="7F7F7F" w:themeColor="text1" w:themeTint="80"/>
            </w:tcBorders>
            <w:shd w:val="clear" w:color="auto" w:fill="auto"/>
          </w:tcPr>
          <w:p w14:paraId="53FBCC22" w14:textId="520728F0" w:rsidR="00961AEB" w:rsidRPr="00144767" w:rsidRDefault="009F618E" w:rsidP="00413CE9">
            <w:pPr>
              <w:spacing w:before="54"/>
              <w:jc w:val="right"/>
              <w:rPr>
                <w:b/>
                <w:color w:val="FF0000"/>
              </w:rPr>
            </w:pPr>
            <w:r>
              <w:rPr>
                <w:b/>
              </w:rPr>
              <w:t>287</w:t>
            </w:r>
            <w:r w:rsidR="00961AEB" w:rsidRPr="0088307E">
              <w:rPr>
                <w:b/>
              </w:rPr>
              <w:t>,</w:t>
            </w:r>
            <w:r>
              <w:rPr>
                <w:b/>
              </w:rPr>
              <w:t>30</w:t>
            </w:r>
          </w:p>
        </w:tc>
      </w:tr>
      <w:tr w:rsidR="0013706F" w:rsidRPr="004760E8" w14:paraId="188D2E4B" w14:textId="77777777" w:rsidTr="0013706F">
        <w:trPr>
          <w:trHeight w:val="5943"/>
          <w:jc w:val="right"/>
        </w:trPr>
        <w:tc>
          <w:tcPr>
            <w:tcW w:w="2343" w:type="pct"/>
            <w:tcBorders>
              <w:top w:val="single" w:sz="8" w:space="0" w:color="7F7F7F" w:themeColor="text1" w:themeTint="80"/>
              <w:bottom w:val="single" w:sz="8" w:space="0" w:color="7F7F7F" w:themeColor="text1" w:themeTint="80"/>
            </w:tcBorders>
            <w:shd w:val="clear" w:color="auto" w:fill="auto"/>
          </w:tcPr>
          <w:p w14:paraId="2607D1A3" w14:textId="77777777" w:rsidR="00961AEB" w:rsidRPr="004C2D04" w:rsidRDefault="00961AEB" w:rsidP="00413CE9">
            <w:pPr>
              <w:rPr>
                <w:sz w:val="20"/>
              </w:rPr>
            </w:pPr>
            <w:r w:rsidRPr="004C2D04">
              <w:rPr>
                <w:sz w:val="20"/>
              </w:rPr>
              <w:t>platy zaměstnanců a ostatní platby</w:t>
            </w:r>
          </w:p>
          <w:p w14:paraId="150220BA" w14:textId="77777777" w:rsidR="00961AEB" w:rsidRPr="004C2D04" w:rsidRDefault="00961AEB" w:rsidP="00413CE9">
            <w:pPr>
              <w:rPr>
                <w:sz w:val="20"/>
              </w:rPr>
            </w:pPr>
            <w:r w:rsidRPr="004C2D04">
              <w:rPr>
                <w:sz w:val="20"/>
              </w:rPr>
              <w:t>za provedenou práci</w:t>
            </w:r>
          </w:p>
          <w:p w14:paraId="0DAE3021" w14:textId="77777777" w:rsidR="00961AEB" w:rsidRPr="004C2D04" w:rsidRDefault="00961AEB" w:rsidP="00413CE9">
            <w:pPr>
              <w:rPr>
                <w:i/>
                <w:sz w:val="20"/>
              </w:rPr>
            </w:pPr>
            <w:r w:rsidRPr="004C2D04">
              <w:rPr>
                <w:i/>
                <w:sz w:val="20"/>
              </w:rPr>
              <w:t xml:space="preserve">z toho: výdaje na programy spolufinancované         </w:t>
            </w:r>
          </w:p>
          <w:p w14:paraId="6E790A13" w14:textId="77777777" w:rsidR="00961AEB" w:rsidRPr="004C2D04" w:rsidRDefault="00961AEB" w:rsidP="00413CE9">
            <w:pPr>
              <w:rPr>
                <w:i/>
                <w:sz w:val="20"/>
              </w:rPr>
            </w:pPr>
            <w:r w:rsidRPr="004C2D04">
              <w:rPr>
                <w:i/>
                <w:sz w:val="20"/>
              </w:rPr>
              <w:t xml:space="preserve">            z rozpočtu EU v tom:</w:t>
            </w:r>
          </w:p>
          <w:p w14:paraId="34845B90" w14:textId="77777777" w:rsidR="00961AEB" w:rsidRPr="004C2D04" w:rsidRDefault="00961AEB" w:rsidP="00413CE9">
            <w:pPr>
              <w:rPr>
                <w:i/>
                <w:sz w:val="20"/>
              </w:rPr>
            </w:pPr>
            <w:r w:rsidRPr="004C2D04">
              <w:rPr>
                <w:i/>
                <w:sz w:val="20"/>
              </w:rPr>
              <w:t xml:space="preserve">           OP Zaměstnanost 2014 +</w:t>
            </w:r>
          </w:p>
          <w:p w14:paraId="54B96313" w14:textId="77777777" w:rsidR="00961AEB" w:rsidRPr="004C2D04" w:rsidRDefault="00961AEB" w:rsidP="00413CE9">
            <w:pPr>
              <w:rPr>
                <w:i/>
                <w:sz w:val="20"/>
              </w:rPr>
            </w:pPr>
            <w:r w:rsidRPr="004C2D04">
              <w:rPr>
                <w:i/>
                <w:sz w:val="20"/>
              </w:rPr>
              <w:t xml:space="preserve">                                            v tom: ze SR</w:t>
            </w:r>
          </w:p>
          <w:p w14:paraId="671ABFD8" w14:textId="77777777" w:rsidR="00961AEB" w:rsidRPr="004C2D04" w:rsidRDefault="00961AEB" w:rsidP="00413CE9">
            <w:pPr>
              <w:rPr>
                <w:i/>
                <w:sz w:val="20"/>
              </w:rPr>
            </w:pPr>
            <w:r w:rsidRPr="004C2D04">
              <w:rPr>
                <w:i/>
                <w:sz w:val="20"/>
              </w:rPr>
              <w:t xml:space="preserve">                                                       z rozpočtu EU  </w:t>
            </w:r>
          </w:p>
          <w:p w14:paraId="083EA98C" w14:textId="77777777" w:rsidR="00961AEB" w:rsidRPr="004C2D04" w:rsidRDefault="00961AEB" w:rsidP="00413CE9">
            <w:pPr>
              <w:rPr>
                <w:i/>
                <w:sz w:val="20"/>
              </w:rPr>
            </w:pPr>
            <w:r w:rsidRPr="004C2D04">
              <w:rPr>
                <w:i/>
                <w:sz w:val="20"/>
              </w:rPr>
              <w:t xml:space="preserve">           OP Doprava – CF  2014 +</w:t>
            </w:r>
          </w:p>
          <w:p w14:paraId="66FB1ECC" w14:textId="77777777" w:rsidR="00961AEB" w:rsidRPr="004C2D04" w:rsidRDefault="00961AEB" w:rsidP="00413CE9">
            <w:pPr>
              <w:rPr>
                <w:i/>
                <w:sz w:val="20"/>
              </w:rPr>
            </w:pPr>
            <w:r w:rsidRPr="004C2D04">
              <w:rPr>
                <w:i/>
                <w:sz w:val="20"/>
              </w:rPr>
              <w:t xml:space="preserve">                                            v tom: ze SR</w:t>
            </w:r>
          </w:p>
          <w:p w14:paraId="4AD96820" w14:textId="77777777" w:rsidR="00961AEB" w:rsidRPr="004C2D04" w:rsidRDefault="00961AEB" w:rsidP="00413CE9">
            <w:pPr>
              <w:rPr>
                <w:i/>
                <w:sz w:val="20"/>
              </w:rPr>
            </w:pPr>
            <w:r w:rsidRPr="004C2D04">
              <w:rPr>
                <w:i/>
                <w:sz w:val="20"/>
              </w:rPr>
              <w:t xml:space="preserve">                                                       z rozpočtu EU</w:t>
            </w:r>
          </w:p>
          <w:p w14:paraId="117C82AC" w14:textId="77777777" w:rsidR="00961AEB" w:rsidRPr="004C2D04" w:rsidRDefault="00961AEB" w:rsidP="00413CE9">
            <w:pPr>
              <w:tabs>
                <w:tab w:val="left" w:pos="880"/>
              </w:tabs>
              <w:rPr>
                <w:i/>
                <w:sz w:val="20"/>
              </w:rPr>
            </w:pPr>
            <w:r w:rsidRPr="004C2D04">
              <w:rPr>
                <w:i/>
                <w:sz w:val="20"/>
              </w:rPr>
              <w:t xml:space="preserve">          KP Nástroj pro propojení Evropy 2014 +           </w:t>
            </w:r>
          </w:p>
          <w:p w14:paraId="70ADBB4D" w14:textId="77777777" w:rsidR="00961AEB" w:rsidRPr="004C2D04" w:rsidRDefault="00961AEB" w:rsidP="00413CE9">
            <w:pPr>
              <w:rPr>
                <w:i/>
                <w:sz w:val="20"/>
              </w:rPr>
            </w:pPr>
            <w:r w:rsidRPr="004C2D04">
              <w:rPr>
                <w:i/>
                <w:sz w:val="20"/>
              </w:rPr>
              <w:t xml:space="preserve">                                             v tom: ze SR</w:t>
            </w:r>
          </w:p>
          <w:p w14:paraId="53F7695D" w14:textId="77777777" w:rsidR="00961AEB" w:rsidRPr="004C2D04" w:rsidRDefault="00961AEB" w:rsidP="00413CE9">
            <w:pPr>
              <w:rPr>
                <w:i/>
                <w:sz w:val="20"/>
              </w:rPr>
            </w:pPr>
            <w:r w:rsidRPr="004C2D04">
              <w:rPr>
                <w:i/>
                <w:sz w:val="20"/>
              </w:rPr>
              <w:t xml:space="preserve">                                                        z rozpočtu EU</w:t>
            </w:r>
          </w:p>
          <w:p w14:paraId="5592004E" w14:textId="77777777" w:rsidR="00961AEB" w:rsidRPr="004C2D04" w:rsidRDefault="00961AEB" w:rsidP="00413CE9">
            <w:pPr>
              <w:tabs>
                <w:tab w:val="left" w:pos="880"/>
              </w:tabs>
              <w:rPr>
                <w:i/>
                <w:sz w:val="20"/>
              </w:rPr>
            </w:pPr>
            <w:r w:rsidRPr="004C2D04">
              <w:rPr>
                <w:i/>
                <w:sz w:val="20"/>
              </w:rPr>
              <w:t xml:space="preserve">          Horizont Evropa 2021+</w:t>
            </w:r>
          </w:p>
          <w:p w14:paraId="5D22A346" w14:textId="77777777" w:rsidR="00961AEB" w:rsidRPr="004C2D04" w:rsidRDefault="00961AEB" w:rsidP="00413CE9">
            <w:pPr>
              <w:jc w:val="center"/>
              <w:rPr>
                <w:i/>
                <w:sz w:val="20"/>
              </w:rPr>
            </w:pPr>
            <w:r w:rsidRPr="004C2D04">
              <w:rPr>
                <w:i/>
                <w:sz w:val="20"/>
              </w:rPr>
              <w:t xml:space="preserve">                         v tom: ze SR</w:t>
            </w:r>
          </w:p>
          <w:p w14:paraId="14DEA6B3" w14:textId="77777777" w:rsidR="00961AEB" w:rsidRPr="004C2D04" w:rsidRDefault="00961AEB" w:rsidP="00413CE9">
            <w:pPr>
              <w:tabs>
                <w:tab w:val="left" w:pos="880"/>
              </w:tabs>
              <w:jc w:val="center"/>
              <w:rPr>
                <w:i/>
                <w:sz w:val="20"/>
              </w:rPr>
            </w:pPr>
            <w:r w:rsidRPr="004C2D04">
              <w:rPr>
                <w:i/>
                <w:sz w:val="20"/>
              </w:rPr>
              <w:t xml:space="preserve">                                                  z rozpočtu EU   </w:t>
            </w:r>
          </w:p>
          <w:p w14:paraId="3CADD494" w14:textId="77777777" w:rsidR="00961AEB" w:rsidRPr="004C2D04" w:rsidRDefault="00961AEB" w:rsidP="00413CE9">
            <w:pPr>
              <w:tabs>
                <w:tab w:val="left" w:pos="880"/>
              </w:tabs>
              <w:jc w:val="center"/>
              <w:rPr>
                <w:i/>
                <w:sz w:val="20"/>
              </w:rPr>
            </w:pPr>
            <w:r w:rsidRPr="004C2D04">
              <w:rPr>
                <w:i/>
                <w:sz w:val="20"/>
              </w:rPr>
              <w:t xml:space="preserve">         Nástroj pro propojení Evropy (CEF) 2021+ </w:t>
            </w:r>
          </w:p>
          <w:p w14:paraId="73C10A67" w14:textId="77777777" w:rsidR="00961AEB" w:rsidRPr="004C2D04" w:rsidRDefault="00961AEB" w:rsidP="00413CE9">
            <w:pPr>
              <w:jc w:val="center"/>
              <w:rPr>
                <w:i/>
                <w:sz w:val="20"/>
              </w:rPr>
            </w:pPr>
            <w:r w:rsidRPr="004C2D04">
              <w:rPr>
                <w:i/>
                <w:sz w:val="20"/>
              </w:rPr>
              <w:t xml:space="preserve">                         v tom: ze SR</w:t>
            </w:r>
          </w:p>
          <w:p w14:paraId="4FB90D0D" w14:textId="77777777" w:rsidR="00961AEB" w:rsidRDefault="00961AEB" w:rsidP="00413CE9">
            <w:pPr>
              <w:rPr>
                <w:i/>
                <w:sz w:val="20"/>
              </w:rPr>
            </w:pPr>
            <w:r w:rsidRPr="004C2D04">
              <w:rPr>
                <w:i/>
                <w:sz w:val="20"/>
              </w:rPr>
              <w:t xml:space="preserve">                                                  z rozpočtu EU      </w:t>
            </w:r>
          </w:p>
          <w:p w14:paraId="09367A7A" w14:textId="77777777" w:rsidR="00961AEB" w:rsidRPr="004C2D04" w:rsidRDefault="00961AEB" w:rsidP="00413CE9">
            <w:pPr>
              <w:rPr>
                <w:i/>
                <w:sz w:val="20"/>
              </w:rPr>
            </w:pPr>
            <w:r>
              <w:rPr>
                <w:i/>
                <w:sz w:val="20"/>
              </w:rPr>
              <w:t xml:space="preserve">          OP Doprava – CF  2021</w:t>
            </w:r>
            <w:r w:rsidRPr="004C2D04">
              <w:rPr>
                <w:i/>
                <w:sz w:val="20"/>
              </w:rPr>
              <w:t xml:space="preserve"> +</w:t>
            </w:r>
          </w:p>
          <w:p w14:paraId="0A054A21" w14:textId="77777777" w:rsidR="00961AEB" w:rsidRPr="004C2D04" w:rsidRDefault="00961AEB" w:rsidP="00413CE9">
            <w:pPr>
              <w:rPr>
                <w:i/>
                <w:sz w:val="20"/>
              </w:rPr>
            </w:pPr>
            <w:r w:rsidRPr="004C2D04">
              <w:rPr>
                <w:i/>
                <w:sz w:val="20"/>
              </w:rPr>
              <w:t xml:space="preserve">                                            v tom: ze SR</w:t>
            </w:r>
          </w:p>
          <w:p w14:paraId="07F9831F" w14:textId="77777777" w:rsidR="00961AEB" w:rsidRDefault="00961AEB" w:rsidP="00413CE9">
            <w:pPr>
              <w:rPr>
                <w:i/>
                <w:sz w:val="20"/>
              </w:rPr>
            </w:pPr>
            <w:r w:rsidRPr="004C2D04">
              <w:rPr>
                <w:i/>
                <w:sz w:val="20"/>
              </w:rPr>
              <w:t xml:space="preserve">                                     </w:t>
            </w:r>
            <w:r>
              <w:rPr>
                <w:i/>
                <w:sz w:val="20"/>
              </w:rPr>
              <w:t xml:space="preserve">                  z rozpočtu EU</w:t>
            </w:r>
          </w:p>
          <w:p w14:paraId="0A27F968" w14:textId="77777777" w:rsidR="00961AEB" w:rsidRDefault="00961AEB" w:rsidP="00413CE9">
            <w:pPr>
              <w:rPr>
                <w:i/>
                <w:sz w:val="20"/>
              </w:rPr>
            </w:pPr>
            <w:r>
              <w:rPr>
                <w:i/>
                <w:sz w:val="20"/>
              </w:rPr>
              <w:t xml:space="preserve">        BAR-rezerva na vyrovnání se s důsledky   </w:t>
            </w:r>
          </w:p>
          <w:p w14:paraId="3A97C6A6" w14:textId="77777777" w:rsidR="00961AEB" w:rsidRPr="004C2D04" w:rsidRDefault="00961AEB" w:rsidP="00413CE9">
            <w:pPr>
              <w:rPr>
                <w:i/>
                <w:sz w:val="20"/>
              </w:rPr>
            </w:pPr>
            <w:r>
              <w:rPr>
                <w:i/>
                <w:sz w:val="20"/>
              </w:rPr>
              <w:t xml:space="preserve">       </w:t>
            </w:r>
            <w:proofErr w:type="spellStart"/>
            <w:r>
              <w:rPr>
                <w:i/>
                <w:sz w:val="20"/>
              </w:rPr>
              <w:t>Brexitu</w:t>
            </w:r>
            <w:proofErr w:type="spellEnd"/>
          </w:p>
          <w:p w14:paraId="6BACAD29" w14:textId="77777777" w:rsidR="00961AEB" w:rsidRPr="004C2D04" w:rsidRDefault="00961AEB" w:rsidP="00413CE9">
            <w:pPr>
              <w:rPr>
                <w:i/>
                <w:sz w:val="20"/>
              </w:rPr>
            </w:pPr>
            <w:r w:rsidRPr="004C2D04">
              <w:rPr>
                <w:i/>
                <w:sz w:val="20"/>
              </w:rPr>
              <w:t xml:space="preserve">                                            v tom: ze SR</w:t>
            </w:r>
          </w:p>
          <w:p w14:paraId="5A7BFC72" w14:textId="77777777" w:rsidR="00961AEB" w:rsidRDefault="00961AEB" w:rsidP="00413CE9">
            <w:pPr>
              <w:rPr>
                <w:i/>
                <w:sz w:val="20"/>
              </w:rPr>
            </w:pPr>
            <w:r w:rsidRPr="004C2D04">
              <w:rPr>
                <w:i/>
                <w:sz w:val="20"/>
              </w:rPr>
              <w:t xml:space="preserve">                                     </w:t>
            </w:r>
            <w:r>
              <w:rPr>
                <w:i/>
                <w:sz w:val="20"/>
              </w:rPr>
              <w:t xml:space="preserve">                  z rozpočtu EU</w:t>
            </w:r>
          </w:p>
          <w:p w14:paraId="619099AC" w14:textId="77777777" w:rsidR="00961AEB" w:rsidRPr="004C2D04" w:rsidRDefault="00961AEB" w:rsidP="00413CE9">
            <w:pPr>
              <w:rPr>
                <w:i/>
                <w:sz w:val="20"/>
              </w:rPr>
            </w:pPr>
            <w:r>
              <w:rPr>
                <w:i/>
                <w:sz w:val="20"/>
              </w:rPr>
              <w:t xml:space="preserve">          Kosmický program Unie</w:t>
            </w:r>
          </w:p>
          <w:p w14:paraId="036449C8" w14:textId="77777777" w:rsidR="00961AEB" w:rsidRPr="004C2D04" w:rsidRDefault="00961AEB" w:rsidP="00413CE9">
            <w:pPr>
              <w:rPr>
                <w:i/>
                <w:sz w:val="20"/>
              </w:rPr>
            </w:pPr>
            <w:r w:rsidRPr="004C2D04">
              <w:rPr>
                <w:i/>
                <w:sz w:val="20"/>
              </w:rPr>
              <w:t xml:space="preserve">                                            v tom: ze SR</w:t>
            </w:r>
          </w:p>
          <w:p w14:paraId="396F3F85" w14:textId="77777777" w:rsidR="00961AEB" w:rsidRPr="004C2D04" w:rsidRDefault="00961AEB" w:rsidP="00413CE9">
            <w:pPr>
              <w:rPr>
                <w:i/>
                <w:sz w:val="20"/>
              </w:rPr>
            </w:pPr>
            <w:r w:rsidRPr="004C2D04">
              <w:rPr>
                <w:i/>
                <w:sz w:val="20"/>
              </w:rPr>
              <w:t xml:space="preserve">                                     </w:t>
            </w:r>
            <w:r>
              <w:rPr>
                <w:i/>
                <w:sz w:val="20"/>
              </w:rPr>
              <w:t xml:space="preserve">                  z rozpočtu EU</w:t>
            </w:r>
            <w:r w:rsidRPr="004C2D04">
              <w:rPr>
                <w:i/>
                <w:sz w:val="20"/>
              </w:rPr>
              <w:t xml:space="preserve">                                                                                                                                                                                                                                                                                                                                                                                                                                                                                                                                                                                                                                                                                                                                                                                                                                                                                                                                                                                                                                                                                                                                                                                                                                                                                                                                                                                                                                                                                                                                                                                                                                                                                                                                                                                                                                                                                                                                                                                                                                                                                                                                                                                                                                                                                                                                                                                                                                                                                                                                                                                                                                                                                                                                                                                                                 </w:t>
            </w:r>
          </w:p>
        </w:tc>
        <w:tc>
          <w:tcPr>
            <w:tcW w:w="783" w:type="pct"/>
            <w:tcBorders>
              <w:top w:val="single" w:sz="8" w:space="0" w:color="7F7F7F" w:themeColor="text1" w:themeTint="80"/>
              <w:bottom w:val="single" w:sz="8" w:space="0" w:color="7F7F7F" w:themeColor="text1" w:themeTint="80"/>
            </w:tcBorders>
            <w:shd w:val="clear" w:color="auto" w:fill="auto"/>
          </w:tcPr>
          <w:p w14:paraId="7BE49E31" w14:textId="77777777" w:rsidR="00961AEB" w:rsidRPr="00F3656D" w:rsidRDefault="00961AEB" w:rsidP="00413CE9">
            <w:pPr>
              <w:jc w:val="right"/>
              <w:rPr>
                <w:sz w:val="20"/>
                <w:szCs w:val="20"/>
              </w:rPr>
            </w:pPr>
          </w:p>
          <w:p w14:paraId="0C95A594" w14:textId="77777777" w:rsidR="00961AEB" w:rsidRPr="00F3656D" w:rsidRDefault="00961AEB" w:rsidP="00413CE9">
            <w:pPr>
              <w:jc w:val="right"/>
              <w:rPr>
                <w:sz w:val="20"/>
                <w:szCs w:val="20"/>
              </w:rPr>
            </w:pPr>
            <w:r w:rsidRPr="00F3656D">
              <w:rPr>
                <w:sz w:val="20"/>
                <w:szCs w:val="20"/>
              </w:rPr>
              <w:t>308 888</w:t>
            </w:r>
          </w:p>
          <w:p w14:paraId="63FDE845" w14:textId="77777777" w:rsidR="00961AEB" w:rsidRPr="00F3656D" w:rsidRDefault="00961AEB" w:rsidP="00413CE9">
            <w:pPr>
              <w:jc w:val="right"/>
              <w:rPr>
                <w:i/>
                <w:sz w:val="20"/>
                <w:szCs w:val="20"/>
              </w:rPr>
            </w:pPr>
          </w:p>
          <w:p w14:paraId="1EC4802D" w14:textId="77777777" w:rsidR="00961AEB" w:rsidRPr="00F3656D" w:rsidRDefault="00961AEB" w:rsidP="00413CE9">
            <w:pPr>
              <w:jc w:val="right"/>
              <w:rPr>
                <w:i/>
                <w:sz w:val="20"/>
                <w:szCs w:val="20"/>
              </w:rPr>
            </w:pPr>
            <w:r w:rsidRPr="00F3656D">
              <w:rPr>
                <w:i/>
                <w:sz w:val="20"/>
                <w:szCs w:val="20"/>
              </w:rPr>
              <w:t>61 414</w:t>
            </w:r>
          </w:p>
          <w:p w14:paraId="73760168" w14:textId="77777777" w:rsidR="00961AEB" w:rsidRPr="00F3656D" w:rsidRDefault="00961AEB" w:rsidP="00413CE9">
            <w:pPr>
              <w:jc w:val="right"/>
              <w:rPr>
                <w:i/>
                <w:sz w:val="20"/>
                <w:szCs w:val="20"/>
              </w:rPr>
            </w:pPr>
            <w:r w:rsidRPr="00F3656D">
              <w:rPr>
                <w:i/>
                <w:sz w:val="20"/>
                <w:szCs w:val="20"/>
              </w:rPr>
              <w:t>505</w:t>
            </w:r>
          </w:p>
          <w:p w14:paraId="1120E26D" w14:textId="77777777" w:rsidR="00961AEB" w:rsidRPr="00F3656D" w:rsidRDefault="00961AEB" w:rsidP="00413CE9">
            <w:pPr>
              <w:jc w:val="right"/>
              <w:rPr>
                <w:i/>
                <w:sz w:val="20"/>
                <w:szCs w:val="20"/>
              </w:rPr>
            </w:pPr>
            <w:r w:rsidRPr="00F3656D">
              <w:rPr>
                <w:i/>
                <w:sz w:val="20"/>
                <w:szCs w:val="20"/>
              </w:rPr>
              <w:t>252</w:t>
            </w:r>
          </w:p>
          <w:p w14:paraId="359B3BF3" w14:textId="77777777" w:rsidR="00961AEB" w:rsidRPr="00F3656D" w:rsidRDefault="00961AEB" w:rsidP="00413CE9">
            <w:pPr>
              <w:jc w:val="right"/>
              <w:rPr>
                <w:sz w:val="20"/>
                <w:szCs w:val="20"/>
              </w:rPr>
            </w:pPr>
            <w:r w:rsidRPr="00F3656D">
              <w:rPr>
                <w:i/>
                <w:sz w:val="20"/>
                <w:szCs w:val="20"/>
              </w:rPr>
              <w:t>252</w:t>
            </w:r>
          </w:p>
          <w:p w14:paraId="1F57B6A4" w14:textId="77777777" w:rsidR="00961AEB" w:rsidRPr="00F3656D" w:rsidRDefault="00961AEB" w:rsidP="00413CE9">
            <w:pPr>
              <w:jc w:val="right"/>
              <w:rPr>
                <w:i/>
                <w:sz w:val="20"/>
                <w:szCs w:val="20"/>
              </w:rPr>
            </w:pPr>
            <w:r w:rsidRPr="00F3656D">
              <w:rPr>
                <w:i/>
                <w:sz w:val="20"/>
                <w:szCs w:val="20"/>
              </w:rPr>
              <w:t>55 060</w:t>
            </w:r>
          </w:p>
          <w:p w14:paraId="0306717F" w14:textId="77777777" w:rsidR="00961AEB" w:rsidRPr="00F3656D" w:rsidRDefault="00961AEB" w:rsidP="00413CE9">
            <w:pPr>
              <w:jc w:val="right"/>
              <w:rPr>
                <w:i/>
                <w:sz w:val="20"/>
                <w:szCs w:val="20"/>
              </w:rPr>
            </w:pPr>
            <w:r w:rsidRPr="00F3656D">
              <w:rPr>
                <w:i/>
                <w:sz w:val="20"/>
                <w:szCs w:val="20"/>
              </w:rPr>
              <w:t>8 259</w:t>
            </w:r>
          </w:p>
          <w:p w14:paraId="293CC64B" w14:textId="77777777" w:rsidR="00961AEB" w:rsidRPr="00F3656D" w:rsidRDefault="00961AEB" w:rsidP="00413CE9">
            <w:pPr>
              <w:jc w:val="right"/>
              <w:rPr>
                <w:i/>
                <w:sz w:val="20"/>
                <w:szCs w:val="20"/>
              </w:rPr>
            </w:pPr>
            <w:r w:rsidRPr="00F3656D">
              <w:rPr>
                <w:i/>
                <w:sz w:val="20"/>
                <w:szCs w:val="20"/>
              </w:rPr>
              <w:t xml:space="preserve">     </w:t>
            </w:r>
            <w:r w:rsidRPr="00F3656D">
              <w:rPr>
                <w:sz w:val="20"/>
                <w:szCs w:val="20"/>
              </w:rPr>
              <w:t>46 801</w:t>
            </w:r>
          </w:p>
          <w:p w14:paraId="1B8FE4B9" w14:textId="77777777" w:rsidR="00961AEB" w:rsidRPr="00F3656D" w:rsidRDefault="00961AEB" w:rsidP="00413CE9">
            <w:pPr>
              <w:jc w:val="right"/>
              <w:rPr>
                <w:i/>
                <w:sz w:val="20"/>
                <w:szCs w:val="20"/>
              </w:rPr>
            </w:pPr>
            <w:r w:rsidRPr="00F3656D">
              <w:rPr>
                <w:i/>
                <w:sz w:val="20"/>
                <w:szCs w:val="20"/>
              </w:rPr>
              <w:t xml:space="preserve">   5 850</w:t>
            </w:r>
          </w:p>
          <w:p w14:paraId="7A463D88" w14:textId="77777777" w:rsidR="00961AEB" w:rsidRPr="00F3656D" w:rsidRDefault="00961AEB" w:rsidP="00413CE9">
            <w:pPr>
              <w:jc w:val="right"/>
              <w:rPr>
                <w:i/>
                <w:sz w:val="20"/>
                <w:szCs w:val="20"/>
              </w:rPr>
            </w:pPr>
            <w:r w:rsidRPr="00F3656D">
              <w:rPr>
                <w:i/>
                <w:sz w:val="20"/>
                <w:szCs w:val="20"/>
              </w:rPr>
              <w:t>915</w:t>
            </w:r>
          </w:p>
          <w:p w14:paraId="73B390AD" w14:textId="77777777" w:rsidR="00961AEB" w:rsidRPr="00F3656D" w:rsidRDefault="00961AEB" w:rsidP="00413CE9">
            <w:pPr>
              <w:jc w:val="right"/>
              <w:rPr>
                <w:i/>
                <w:sz w:val="20"/>
                <w:szCs w:val="20"/>
              </w:rPr>
            </w:pPr>
            <w:r w:rsidRPr="00F3656D">
              <w:rPr>
                <w:i/>
                <w:sz w:val="20"/>
                <w:szCs w:val="20"/>
              </w:rPr>
              <w:t>4 935</w:t>
            </w:r>
          </w:p>
          <w:p w14:paraId="4AC229DE" w14:textId="77777777" w:rsidR="00961AEB" w:rsidRPr="00F3656D" w:rsidRDefault="00961AEB" w:rsidP="00413CE9">
            <w:pPr>
              <w:jc w:val="right"/>
              <w:rPr>
                <w:i/>
                <w:sz w:val="20"/>
                <w:szCs w:val="20"/>
              </w:rPr>
            </w:pPr>
            <w:r w:rsidRPr="00F3656D">
              <w:rPr>
                <w:i/>
                <w:sz w:val="20"/>
                <w:szCs w:val="20"/>
              </w:rPr>
              <w:t>0</w:t>
            </w:r>
          </w:p>
          <w:p w14:paraId="15CD0E94" w14:textId="77777777" w:rsidR="00961AEB" w:rsidRPr="00F3656D" w:rsidRDefault="00961AEB" w:rsidP="00413CE9">
            <w:pPr>
              <w:jc w:val="right"/>
              <w:rPr>
                <w:i/>
                <w:sz w:val="20"/>
                <w:szCs w:val="20"/>
              </w:rPr>
            </w:pPr>
            <w:r w:rsidRPr="00F3656D">
              <w:rPr>
                <w:i/>
                <w:sz w:val="20"/>
                <w:szCs w:val="20"/>
              </w:rPr>
              <w:t>0</w:t>
            </w:r>
          </w:p>
          <w:p w14:paraId="76B510F0" w14:textId="77777777" w:rsidR="00961AEB" w:rsidRPr="00F3656D" w:rsidRDefault="00961AEB" w:rsidP="00413CE9">
            <w:pPr>
              <w:jc w:val="right"/>
              <w:rPr>
                <w:i/>
                <w:sz w:val="20"/>
                <w:szCs w:val="20"/>
              </w:rPr>
            </w:pPr>
            <w:r w:rsidRPr="00F3656D">
              <w:rPr>
                <w:i/>
                <w:sz w:val="20"/>
                <w:szCs w:val="20"/>
              </w:rPr>
              <w:t>0</w:t>
            </w:r>
          </w:p>
          <w:p w14:paraId="1B57CAD7" w14:textId="77777777" w:rsidR="00961AEB" w:rsidRPr="00F3656D" w:rsidRDefault="00961AEB" w:rsidP="00413CE9">
            <w:pPr>
              <w:jc w:val="right"/>
              <w:rPr>
                <w:i/>
                <w:sz w:val="20"/>
                <w:szCs w:val="20"/>
              </w:rPr>
            </w:pPr>
            <w:r w:rsidRPr="00F3656D">
              <w:rPr>
                <w:i/>
                <w:sz w:val="20"/>
                <w:szCs w:val="20"/>
              </w:rPr>
              <w:t>0</w:t>
            </w:r>
          </w:p>
          <w:p w14:paraId="120D5321" w14:textId="77777777" w:rsidR="00961AEB" w:rsidRPr="00F3656D" w:rsidRDefault="00961AEB" w:rsidP="00413CE9">
            <w:pPr>
              <w:jc w:val="right"/>
              <w:rPr>
                <w:i/>
                <w:sz w:val="20"/>
                <w:szCs w:val="20"/>
              </w:rPr>
            </w:pPr>
            <w:r w:rsidRPr="00F3656D">
              <w:rPr>
                <w:i/>
                <w:sz w:val="20"/>
                <w:szCs w:val="20"/>
              </w:rPr>
              <w:t>0</w:t>
            </w:r>
          </w:p>
          <w:p w14:paraId="243AD53C" w14:textId="77777777" w:rsidR="00961AEB" w:rsidRDefault="00961AEB" w:rsidP="00413CE9">
            <w:pPr>
              <w:jc w:val="right"/>
              <w:rPr>
                <w:i/>
                <w:sz w:val="20"/>
                <w:szCs w:val="20"/>
              </w:rPr>
            </w:pPr>
            <w:r w:rsidRPr="00F3656D">
              <w:rPr>
                <w:i/>
                <w:sz w:val="20"/>
                <w:szCs w:val="20"/>
              </w:rPr>
              <w:t>0</w:t>
            </w:r>
          </w:p>
          <w:p w14:paraId="001313C7" w14:textId="77777777" w:rsidR="00961AEB" w:rsidRDefault="00961AEB" w:rsidP="00413CE9">
            <w:pPr>
              <w:jc w:val="right"/>
              <w:rPr>
                <w:i/>
                <w:sz w:val="20"/>
                <w:szCs w:val="20"/>
              </w:rPr>
            </w:pPr>
            <w:r>
              <w:rPr>
                <w:i/>
                <w:sz w:val="20"/>
                <w:szCs w:val="20"/>
              </w:rPr>
              <w:t>0</w:t>
            </w:r>
          </w:p>
          <w:p w14:paraId="76EA5683" w14:textId="77777777" w:rsidR="00961AEB" w:rsidRDefault="00961AEB" w:rsidP="00413CE9">
            <w:pPr>
              <w:jc w:val="right"/>
              <w:rPr>
                <w:i/>
                <w:sz w:val="20"/>
                <w:szCs w:val="20"/>
              </w:rPr>
            </w:pPr>
            <w:r>
              <w:rPr>
                <w:i/>
                <w:sz w:val="20"/>
                <w:szCs w:val="20"/>
              </w:rPr>
              <w:t>0</w:t>
            </w:r>
          </w:p>
          <w:p w14:paraId="1705D9A7" w14:textId="77777777" w:rsidR="00961AEB" w:rsidRDefault="00961AEB" w:rsidP="00413CE9">
            <w:pPr>
              <w:jc w:val="right"/>
              <w:rPr>
                <w:i/>
                <w:sz w:val="20"/>
                <w:szCs w:val="20"/>
              </w:rPr>
            </w:pPr>
            <w:r>
              <w:rPr>
                <w:i/>
                <w:sz w:val="20"/>
                <w:szCs w:val="20"/>
              </w:rPr>
              <w:t>0</w:t>
            </w:r>
          </w:p>
          <w:p w14:paraId="567B98BC" w14:textId="77777777" w:rsidR="00961AEB" w:rsidRDefault="00961AEB" w:rsidP="00413CE9">
            <w:pPr>
              <w:jc w:val="right"/>
              <w:rPr>
                <w:i/>
                <w:sz w:val="20"/>
                <w:szCs w:val="20"/>
              </w:rPr>
            </w:pPr>
          </w:p>
          <w:p w14:paraId="5E9F3F8F" w14:textId="77777777" w:rsidR="00961AEB" w:rsidRDefault="00961AEB" w:rsidP="00413CE9">
            <w:pPr>
              <w:jc w:val="right"/>
              <w:rPr>
                <w:i/>
                <w:sz w:val="20"/>
                <w:szCs w:val="20"/>
              </w:rPr>
            </w:pPr>
            <w:r>
              <w:rPr>
                <w:i/>
                <w:sz w:val="20"/>
                <w:szCs w:val="20"/>
              </w:rPr>
              <w:t>0</w:t>
            </w:r>
          </w:p>
          <w:p w14:paraId="1E5633EF" w14:textId="77777777" w:rsidR="00961AEB" w:rsidRDefault="00961AEB" w:rsidP="00413CE9">
            <w:pPr>
              <w:jc w:val="right"/>
              <w:rPr>
                <w:i/>
                <w:sz w:val="20"/>
                <w:szCs w:val="20"/>
              </w:rPr>
            </w:pPr>
            <w:r>
              <w:rPr>
                <w:i/>
                <w:sz w:val="20"/>
                <w:szCs w:val="20"/>
              </w:rPr>
              <w:t>0</w:t>
            </w:r>
          </w:p>
          <w:p w14:paraId="6C130946" w14:textId="77777777" w:rsidR="00961AEB" w:rsidRDefault="00961AEB" w:rsidP="00413CE9">
            <w:pPr>
              <w:jc w:val="right"/>
              <w:rPr>
                <w:i/>
                <w:sz w:val="20"/>
                <w:szCs w:val="20"/>
              </w:rPr>
            </w:pPr>
            <w:r>
              <w:rPr>
                <w:i/>
                <w:sz w:val="20"/>
                <w:szCs w:val="20"/>
              </w:rPr>
              <w:t>0</w:t>
            </w:r>
          </w:p>
          <w:p w14:paraId="3157BE23" w14:textId="77777777" w:rsidR="00961AEB" w:rsidRDefault="00961AEB" w:rsidP="00413CE9">
            <w:pPr>
              <w:jc w:val="right"/>
              <w:rPr>
                <w:i/>
                <w:sz w:val="20"/>
                <w:szCs w:val="20"/>
              </w:rPr>
            </w:pPr>
            <w:r>
              <w:rPr>
                <w:i/>
                <w:sz w:val="20"/>
                <w:szCs w:val="20"/>
              </w:rPr>
              <w:t>0</w:t>
            </w:r>
          </w:p>
          <w:p w14:paraId="0E261A5C" w14:textId="77777777" w:rsidR="00961AEB" w:rsidRDefault="00961AEB" w:rsidP="00413CE9">
            <w:pPr>
              <w:jc w:val="right"/>
              <w:rPr>
                <w:i/>
                <w:sz w:val="20"/>
                <w:szCs w:val="20"/>
              </w:rPr>
            </w:pPr>
            <w:r>
              <w:rPr>
                <w:i/>
                <w:sz w:val="20"/>
                <w:szCs w:val="20"/>
              </w:rPr>
              <w:t>0</w:t>
            </w:r>
          </w:p>
          <w:p w14:paraId="66CE067F" w14:textId="77777777" w:rsidR="00961AEB" w:rsidRPr="00F3656D" w:rsidRDefault="00961AEB" w:rsidP="00413CE9">
            <w:pPr>
              <w:jc w:val="right"/>
              <w:rPr>
                <w:i/>
                <w:sz w:val="20"/>
                <w:szCs w:val="20"/>
              </w:rPr>
            </w:pPr>
            <w:r>
              <w:rPr>
                <w:i/>
                <w:sz w:val="20"/>
                <w:szCs w:val="20"/>
              </w:rPr>
              <w:t>0</w:t>
            </w:r>
          </w:p>
        </w:tc>
        <w:tc>
          <w:tcPr>
            <w:tcW w:w="705" w:type="pct"/>
            <w:tcBorders>
              <w:top w:val="single" w:sz="8" w:space="0" w:color="7F7F7F" w:themeColor="text1" w:themeTint="80"/>
              <w:bottom w:val="single" w:sz="8" w:space="0" w:color="7F7F7F" w:themeColor="text1" w:themeTint="80"/>
            </w:tcBorders>
            <w:shd w:val="clear" w:color="auto" w:fill="auto"/>
          </w:tcPr>
          <w:p w14:paraId="08DC367E" w14:textId="77777777" w:rsidR="00961AEB" w:rsidRPr="00C91345" w:rsidRDefault="00961AEB" w:rsidP="00413CE9">
            <w:pPr>
              <w:jc w:val="right"/>
              <w:rPr>
                <w:sz w:val="20"/>
              </w:rPr>
            </w:pPr>
          </w:p>
          <w:p w14:paraId="03233906" w14:textId="77777777" w:rsidR="00961AEB" w:rsidRPr="00C91345" w:rsidRDefault="00961AEB" w:rsidP="00413CE9">
            <w:pPr>
              <w:jc w:val="right"/>
              <w:rPr>
                <w:sz w:val="20"/>
              </w:rPr>
            </w:pPr>
            <w:r w:rsidRPr="00C91345">
              <w:rPr>
                <w:sz w:val="20"/>
              </w:rPr>
              <w:t>306 193</w:t>
            </w:r>
          </w:p>
          <w:p w14:paraId="794F45F6" w14:textId="77777777" w:rsidR="00961AEB" w:rsidRPr="00C91345" w:rsidRDefault="00961AEB" w:rsidP="00413CE9">
            <w:pPr>
              <w:jc w:val="right"/>
              <w:rPr>
                <w:i/>
                <w:sz w:val="20"/>
              </w:rPr>
            </w:pPr>
          </w:p>
          <w:p w14:paraId="713BE3B4" w14:textId="77777777" w:rsidR="00961AEB" w:rsidRPr="00C91345" w:rsidRDefault="00961AEB" w:rsidP="00413CE9">
            <w:pPr>
              <w:jc w:val="right"/>
              <w:rPr>
                <w:i/>
                <w:sz w:val="20"/>
              </w:rPr>
            </w:pPr>
            <w:r w:rsidRPr="00C91345">
              <w:rPr>
                <w:i/>
                <w:sz w:val="20"/>
              </w:rPr>
              <w:t>58 544</w:t>
            </w:r>
          </w:p>
          <w:p w14:paraId="219B728B" w14:textId="77777777" w:rsidR="00961AEB" w:rsidRPr="00C91345" w:rsidRDefault="00961AEB" w:rsidP="00413CE9">
            <w:pPr>
              <w:jc w:val="right"/>
              <w:rPr>
                <w:i/>
                <w:sz w:val="20"/>
              </w:rPr>
            </w:pPr>
            <w:r w:rsidRPr="00C91345">
              <w:rPr>
                <w:i/>
                <w:sz w:val="20"/>
              </w:rPr>
              <w:t>0</w:t>
            </w:r>
          </w:p>
          <w:p w14:paraId="6386059A" w14:textId="77777777" w:rsidR="00961AEB" w:rsidRPr="00C91345" w:rsidRDefault="00961AEB" w:rsidP="00413CE9">
            <w:pPr>
              <w:jc w:val="right"/>
              <w:rPr>
                <w:i/>
                <w:sz w:val="20"/>
              </w:rPr>
            </w:pPr>
            <w:r w:rsidRPr="00C91345">
              <w:rPr>
                <w:i/>
                <w:sz w:val="20"/>
              </w:rPr>
              <w:t>0</w:t>
            </w:r>
          </w:p>
          <w:p w14:paraId="2791CD3F" w14:textId="77777777" w:rsidR="00961AEB" w:rsidRPr="00C91345" w:rsidRDefault="00961AEB" w:rsidP="00413CE9">
            <w:pPr>
              <w:jc w:val="right"/>
              <w:rPr>
                <w:i/>
                <w:sz w:val="20"/>
              </w:rPr>
            </w:pPr>
            <w:r w:rsidRPr="00C91345">
              <w:rPr>
                <w:i/>
                <w:sz w:val="20"/>
              </w:rPr>
              <w:t>0</w:t>
            </w:r>
          </w:p>
          <w:p w14:paraId="1F7BBDBC" w14:textId="77777777" w:rsidR="00961AEB" w:rsidRPr="00C91345" w:rsidRDefault="00961AEB" w:rsidP="00413CE9">
            <w:pPr>
              <w:jc w:val="right"/>
              <w:rPr>
                <w:i/>
                <w:sz w:val="20"/>
              </w:rPr>
            </w:pPr>
            <w:r w:rsidRPr="00C91345">
              <w:rPr>
                <w:i/>
                <w:sz w:val="20"/>
              </w:rPr>
              <w:t>54 728</w:t>
            </w:r>
          </w:p>
          <w:p w14:paraId="692A9296" w14:textId="77777777" w:rsidR="00961AEB" w:rsidRPr="00C91345" w:rsidRDefault="00961AEB" w:rsidP="00413CE9">
            <w:pPr>
              <w:jc w:val="right"/>
              <w:rPr>
                <w:i/>
                <w:sz w:val="20"/>
              </w:rPr>
            </w:pPr>
            <w:r w:rsidRPr="00C91345">
              <w:rPr>
                <w:i/>
                <w:sz w:val="20"/>
              </w:rPr>
              <w:t xml:space="preserve">8 209     </w:t>
            </w:r>
          </w:p>
          <w:p w14:paraId="214674A9" w14:textId="77777777" w:rsidR="00961AEB" w:rsidRPr="00C91345" w:rsidRDefault="00961AEB" w:rsidP="00413CE9">
            <w:pPr>
              <w:jc w:val="right"/>
              <w:rPr>
                <w:i/>
                <w:sz w:val="20"/>
              </w:rPr>
            </w:pPr>
            <w:r w:rsidRPr="00C91345">
              <w:rPr>
                <w:i/>
                <w:sz w:val="20"/>
              </w:rPr>
              <w:t>46 519</w:t>
            </w:r>
          </w:p>
          <w:p w14:paraId="26F64E03" w14:textId="77777777" w:rsidR="00961AEB" w:rsidRPr="00C91345" w:rsidRDefault="00961AEB" w:rsidP="00413CE9">
            <w:pPr>
              <w:jc w:val="right"/>
              <w:rPr>
                <w:i/>
                <w:sz w:val="20"/>
              </w:rPr>
            </w:pPr>
            <w:r w:rsidRPr="00C91345">
              <w:rPr>
                <w:i/>
                <w:sz w:val="20"/>
              </w:rPr>
              <w:t>660</w:t>
            </w:r>
          </w:p>
          <w:p w14:paraId="521BA207" w14:textId="77777777" w:rsidR="00961AEB" w:rsidRPr="00C91345" w:rsidRDefault="00961AEB" w:rsidP="00413CE9">
            <w:pPr>
              <w:jc w:val="right"/>
              <w:rPr>
                <w:i/>
                <w:sz w:val="20"/>
              </w:rPr>
            </w:pPr>
            <w:r w:rsidRPr="00C91345">
              <w:rPr>
                <w:i/>
                <w:sz w:val="20"/>
              </w:rPr>
              <w:t>338</w:t>
            </w:r>
          </w:p>
          <w:p w14:paraId="0923D7B0" w14:textId="77777777" w:rsidR="00961AEB" w:rsidRPr="00C91345" w:rsidRDefault="00961AEB" w:rsidP="00413CE9">
            <w:pPr>
              <w:jc w:val="right"/>
              <w:rPr>
                <w:i/>
                <w:sz w:val="20"/>
              </w:rPr>
            </w:pPr>
            <w:r w:rsidRPr="00C91345">
              <w:rPr>
                <w:i/>
                <w:sz w:val="20"/>
              </w:rPr>
              <w:t>322</w:t>
            </w:r>
          </w:p>
          <w:p w14:paraId="3F16390E" w14:textId="77777777" w:rsidR="00961AEB" w:rsidRPr="00C91345" w:rsidRDefault="00961AEB" w:rsidP="00413CE9">
            <w:pPr>
              <w:jc w:val="right"/>
              <w:rPr>
                <w:i/>
                <w:sz w:val="20"/>
              </w:rPr>
            </w:pPr>
            <w:r w:rsidRPr="00C91345">
              <w:rPr>
                <w:i/>
                <w:sz w:val="20"/>
              </w:rPr>
              <w:t>240</w:t>
            </w:r>
          </w:p>
          <w:p w14:paraId="529797D1" w14:textId="77777777" w:rsidR="00961AEB" w:rsidRPr="00C91345" w:rsidRDefault="00961AEB" w:rsidP="00413CE9">
            <w:pPr>
              <w:jc w:val="right"/>
              <w:rPr>
                <w:i/>
                <w:sz w:val="20"/>
              </w:rPr>
            </w:pPr>
            <w:r w:rsidRPr="00C91345">
              <w:rPr>
                <w:i/>
                <w:sz w:val="20"/>
              </w:rPr>
              <w:t>0</w:t>
            </w:r>
          </w:p>
          <w:p w14:paraId="1CA7FC94" w14:textId="77777777" w:rsidR="00961AEB" w:rsidRPr="00C91345" w:rsidRDefault="00961AEB" w:rsidP="00413CE9">
            <w:pPr>
              <w:jc w:val="right"/>
              <w:rPr>
                <w:i/>
                <w:sz w:val="20"/>
              </w:rPr>
            </w:pPr>
            <w:r w:rsidRPr="00C91345">
              <w:rPr>
                <w:i/>
                <w:sz w:val="20"/>
              </w:rPr>
              <w:t>240</w:t>
            </w:r>
          </w:p>
          <w:p w14:paraId="73917076" w14:textId="77777777" w:rsidR="00961AEB" w:rsidRPr="00C91345" w:rsidRDefault="00961AEB" w:rsidP="00413CE9">
            <w:pPr>
              <w:jc w:val="right"/>
              <w:rPr>
                <w:i/>
                <w:sz w:val="20"/>
              </w:rPr>
            </w:pPr>
            <w:r w:rsidRPr="00C91345">
              <w:rPr>
                <w:i/>
                <w:sz w:val="20"/>
              </w:rPr>
              <w:t>2 916</w:t>
            </w:r>
          </w:p>
          <w:p w14:paraId="2D944FA3" w14:textId="77777777" w:rsidR="00961AEB" w:rsidRPr="00C91345" w:rsidRDefault="00961AEB" w:rsidP="00413CE9">
            <w:pPr>
              <w:jc w:val="right"/>
              <w:rPr>
                <w:i/>
                <w:sz w:val="20"/>
              </w:rPr>
            </w:pPr>
            <w:r w:rsidRPr="00C91345">
              <w:rPr>
                <w:i/>
                <w:sz w:val="20"/>
              </w:rPr>
              <w:t>0</w:t>
            </w:r>
          </w:p>
          <w:p w14:paraId="2DBFE1EE" w14:textId="77777777" w:rsidR="00961AEB" w:rsidRDefault="00961AEB" w:rsidP="00413CE9">
            <w:pPr>
              <w:jc w:val="right"/>
              <w:rPr>
                <w:i/>
                <w:sz w:val="20"/>
              </w:rPr>
            </w:pPr>
            <w:r w:rsidRPr="00C91345">
              <w:rPr>
                <w:i/>
                <w:sz w:val="20"/>
              </w:rPr>
              <w:t>2</w:t>
            </w:r>
            <w:r>
              <w:rPr>
                <w:i/>
                <w:sz w:val="20"/>
              </w:rPr>
              <w:t> </w:t>
            </w:r>
            <w:r w:rsidRPr="00C91345">
              <w:rPr>
                <w:i/>
                <w:sz w:val="20"/>
              </w:rPr>
              <w:t>916</w:t>
            </w:r>
          </w:p>
          <w:p w14:paraId="354B2667" w14:textId="77777777" w:rsidR="00961AEB" w:rsidRDefault="00961AEB" w:rsidP="00413CE9">
            <w:pPr>
              <w:jc w:val="right"/>
              <w:rPr>
                <w:i/>
                <w:sz w:val="20"/>
              </w:rPr>
            </w:pPr>
            <w:r>
              <w:rPr>
                <w:i/>
                <w:sz w:val="20"/>
              </w:rPr>
              <w:t>0</w:t>
            </w:r>
          </w:p>
          <w:p w14:paraId="1F0D0713" w14:textId="77777777" w:rsidR="00961AEB" w:rsidRDefault="00961AEB" w:rsidP="00413CE9">
            <w:pPr>
              <w:jc w:val="right"/>
              <w:rPr>
                <w:i/>
                <w:sz w:val="20"/>
              </w:rPr>
            </w:pPr>
            <w:r>
              <w:rPr>
                <w:i/>
                <w:sz w:val="20"/>
              </w:rPr>
              <w:t>0</w:t>
            </w:r>
          </w:p>
          <w:p w14:paraId="51D52C95" w14:textId="77777777" w:rsidR="00961AEB" w:rsidRDefault="00961AEB" w:rsidP="00413CE9">
            <w:pPr>
              <w:jc w:val="right"/>
              <w:rPr>
                <w:i/>
                <w:sz w:val="20"/>
              </w:rPr>
            </w:pPr>
            <w:r>
              <w:rPr>
                <w:i/>
                <w:sz w:val="20"/>
              </w:rPr>
              <w:t>0</w:t>
            </w:r>
          </w:p>
          <w:p w14:paraId="7A1C314F" w14:textId="77777777" w:rsidR="00961AEB" w:rsidRDefault="00961AEB" w:rsidP="00413CE9">
            <w:pPr>
              <w:jc w:val="right"/>
              <w:rPr>
                <w:i/>
                <w:sz w:val="20"/>
              </w:rPr>
            </w:pPr>
          </w:p>
          <w:p w14:paraId="269C9418" w14:textId="77777777" w:rsidR="00961AEB" w:rsidRDefault="00961AEB" w:rsidP="00413CE9">
            <w:pPr>
              <w:jc w:val="right"/>
              <w:rPr>
                <w:i/>
                <w:sz w:val="20"/>
              </w:rPr>
            </w:pPr>
            <w:r>
              <w:rPr>
                <w:i/>
                <w:sz w:val="20"/>
              </w:rPr>
              <w:t>0</w:t>
            </w:r>
          </w:p>
          <w:p w14:paraId="5FEA21E0" w14:textId="77777777" w:rsidR="00961AEB" w:rsidRDefault="00961AEB" w:rsidP="00413CE9">
            <w:pPr>
              <w:jc w:val="right"/>
              <w:rPr>
                <w:i/>
                <w:sz w:val="20"/>
              </w:rPr>
            </w:pPr>
            <w:r>
              <w:rPr>
                <w:i/>
                <w:sz w:val="20"/>
              </w:rPr>
              <w:t>0</w:t>
            </w:r>
          </w:p>
          <w:p w14:paraId="34228151" w14:textId="77777777" w:rsidR="00961AEB" w:rsidRDefault="00961AEB" w:rsidP="00413CE9">
            <w:pPr>
              <w:jc w:val="right"/>
              <w:rPr>
                <w:i/>
                <w:sz w:val="20"/>
              </w:rPr>
            </w:pPr>
            <w:r>
              <w:rPr>
                <w:i/>
                <w:sz w:val="20"/>
              </w:rPr>
              <w:t>0</w:t>
            </w:r>
          </w:p>
          <w:p w14:paraId="2AC7CC54" w14:textId="77777777" w:rsidR="00961AEB" w:rsidRDefault="00961AEB" w:rsidP="00413CE9">
            <w:pPr>
              <w:jc w:val="right"/>
              <w:rPr>
                <w:i/>
                <w:sz w:val="20"/>
              </w:rPr>
            </w:pPr>
            <w:r>
              <w:rPr>
                <w:i/>
                <w:sz w:val="20"/>
              </w:rPr>
              <w:t>0</w:t>
            </w:r>
          </w:p>
          <w:p w14:paraId="4DF68C6E" w14:textId="77777777" w:rsidR="00961AEB" w:rsidRDefault="00961AEB" w:rsidP="00413CE9">
            <w:pPr>
              <w:jc w:val="right"/>
              <w:rPr>
                <w:i/>
                <w:sz w:val="20"/>
              </w:rPr>
            </w:pPr>
            <w:r>
              <w:rPr>
                <w:i/>
                <w:sz w:val="20"/>
              </w:rPr>
              <w:t>0</w:t>
            </w:r>
          </w:p>
          <w:p w14:paraId="0676309B" w14:textId="77777777" w:rsidR="00961AEB" w:rsidRPr="00C91345" w:rsidRDefault="00961AEB" w:rsidP="00413CE9">
            <w:pPr>
              <w:jc w:val="right"/>
              <w:rPr>
                <w:i/>
                <w:sz w:val="20"/>
              </w:rPr>
            </w:pPr>
            <w:r>
              <w:rPr>
                <w:i/>
                <w:sz w:val="20"/>
              </w:rPr>
              <w:t>0</w:t>
            </w:r>
          </w:p>
        </w:tc>
        <w:tc>
          <w:tcPr>
            <w:tcW w:w="667" w:type="pct"/>
            <w:tcBorders>
              <w:top w:val="single" w:sz="8" w:space="0" w:color="7F7F7F" w:themeColor="text1" w:themeTint="80"/>
              <w:bottom w:val="single" w:sz="8" w:space="0" w:color="7F7F7F" w:themeColor="text1" w:themeTint="80"/>
            </w:tcBorders>
            <w:shd w:val="clear" w:color="auto" w:fill="auto"/>
          </w:tcPr>
          <w:p w14:paraId="7F335936" w14:textId="77777777" w:rsidR="00961AEB" w:rsidRPr="009F618E" w:rsidRDefault="00961AEB" w:rsidP="00413CE9">
            <w:pPr>
              <w:jc w:val="right"/>
              <w:rPr>
                <w:sz w:val="20"/>
              </w:rPr>
            </w:pPr>
          </w:p>
          <w:p w14:paraId="6FF26194" w14:textId="572B9379" w:rsidR="00961AEB" w:rsidRPr="0088307E" w:rsidRDefault="009F618E" w:rsidP="00413CE9">
            <w:pPr>
              <w:jc w:val="right"/>
              <w:rPr>
                <w:sz w:val="20"/>
              </w:rPr>
            </w:pPr>
            <w:r w:rsidRPr="009F618E">
              <w:rPr>
                <w:sz w:val="20"/>
              </w:rPr>
              <w:t>341 726</w:t>
            </w:r>
          </w:p>
          <w:p w14:paraId="4096596F" w14:textId="77777777" w:rsidR="00961AEB" w:rsidRPr="009F618E" w:rsidRDefault="00961AEB" w:rsidP="00413CE9">
            <w:pPr>
              <w:jc w:val="right"/>
              <w:rPr>
                <w:sz w:val="20"/>
              </w:rPr>
            </w:pPr>
          </w:p>
          <w:p w14:paraId="62F1DC1A" w14:textId="77777777" w:rsidR="00961AEB" w:rsidRPr="0088307E" w:rsidRDefault="00961AEB" w:rsidP="00413CE9">
            <w:pPr>
              <w:jc w:val="right"/>
              <w:rPr>
                <w:sz w:val="20"/>
              </w:rPr>
            </w:pPr>
            <w:r w:rsidRPr="0088307E">
              <w:rPr>
                <w:sz w:val="20"/>
              </w:rPr>
              <w:t>78 862</w:t>
            </w:r>
          </w:p>
          <w:p w14:paraId="7395B70C" w14:textId="77777777" w:rsidR="00961AEB" w:rsidRPr="0088307E" w:rsidRDefault="00961AEB" w:rsidP="00413CE9">
            <w:pPr>
              <w:jc w:val="right"/>
              <w:rPr>
                <w:i/>
                <w:sz w:val="20"/>
              </w:rPr>
            </w:pPr>
            <w:r w:rsidRPr="0088307E">
              <w:rPr>
                <w:i/>
                <w:sz w:val="20"/>
              </w:rPr>
              <w:t>0</w:t>
            </w:r>
          </w:p>
          <w:p w14:paraId="519C2CE3" w14:textId="77777777" w:rsidR="00961AEB" w:rsidRPr="0088307E" w:rsidRDefault="00961AEB" w:rsidP="00413CE9">
            <w:pPr>
              <w:jc w:val="right"/>
              <w:rPr>
                <w:i/>
                <w:sz w:val="20"/>
              </w:rPr>
            </w:pPr>
            <w:r w:rsidRPr="0088307E">
              <w:rPr>
                <w:i/>
                <w:sz w:val="20"/>
              </w:rPr>
              <w:t>0</w:t>
            </w:r>
          </w:p>
          <w:p w14:paraId="6F72DF19" w14:textId="77777777" w:rsidR="00961AEB" w:rsidRPr="0088307E" w:rsidRDefault="00961AEB" w:rsidP="00413CE9">
            <w:pPr>
              <w:jc w:val="right"/>
              <w:rPr>
                <w:i/>
                <w:sz w:val="20"/>
              </w:rPr>
            </w:pPr>
            <w:r w:rsidRPr="0088307E">
              <w:rPr>
                <w:i/>
                <w:sz w:val="20"/>
              </w:rPr>
              <w:t>0</w:t>
            </w:r>
          </w:p>
          <w:p w14:paraId="24E5ABBC" w14:textId="77777777" w:rsidR="00961AEB" w:rsidRPr="0088307E" w:rsidRDefault="00961AEB" w:rsidP="00413CE9">
            <w:pPr>
              <w:jc w:val="right"/>
              <w:rPr>
                <w:i/>
                <w:sz w:val="20"/>
              </w:rPr>
            </w:pPr>
            <w:r w:rsidRPr="0088307E">
              <w:rPr>
                <w:i/>
                <w:sz w:val="20"/>
              </w:rPr>
              <w:t>24 602</w:t>
            </w:r>
          </w:p>
          <w:p w14:paraId="19FA0345" w14:textId="77777777" w:rsidR="00961AEB" w:rsidRPr="0088307E" w:rsidRDefault="00961AEB" w:rsidP="00413CE9">
            <w:pPr>
              <w:jc w:val="right"/>
              <w:rPr>
                <w:i/>
                <w:sz w:val="20"/>
              </w:rPr>
            </w:pPr>
            <w:r w:rsidRPr="0088307E">
              <w:rPr>
                <w:i/>
                <w:sz w:val="20"/>
              </w:rPr>
              <w:t xml:space="preserve">3 690     </w:t>
            </w:r>
          </w:p>
          <w:p w14:paraId="275C3BD8" w14:textId="77777777" w:rsidR="00961AEB" w:rsidRPr="009F618E" w:rsidRDefault="00961AEB" w:rsidP="00413CE9">
            <w:pPr>
              <w:jc w:val="right"/>
              <w:rPr>
                <w:i/>
                <w:sz w:val="20"/>
              </w:rPr>
            </w:pPr>
            <w:r w:rsidRPr="0088307E">
              <w:rPr>
                <w:i/>
                <w:sz w:val="20"/>
              </w:rPr>
              <w:t>20 912</w:t>
            </w:r>
          </w:p>
          <w:p w14:paraId="187095C7" w14:textId="77777777" w:rsidR="00961AEB" w:rsidRPr="0088307E" w:rsidRDefault="00961AEB" w:rsidP="00413CE9">
            <w:pPr>
              <w:jc w:val="right"/>
              <w:rPr>
                <w:i/>
                <w:sz w:val="20"/>
              </w:rPr>
            </w:pPr>
            <w:r w:rsidRPr="0088307E">
              <w:rPr>
                <w:i/>
                <w:sz w:val="20"/>
              </w:rPr>
              <w:t>1 748</w:t>
            </w:r>
          </w:p>
          <w:p w14:paraId="322EB1A2" w14:textId="77777777" w:rsidR="00961AEB" w:rsidRPr="0088307E" w:rsidRDefault="00961AEB" w:rsidP="00413CE9">
            <w:pPr>
              <w:jc w:val="right"/>
              <w:rPr>
                <w:i/>
                <w:sz w:val="20"/>
              </w:rPr>
            </w:pPr>
            <w:r w:rsidRPr="0088307E">
              <w:rPr>
                <w:i/>
                <w:sz w:val="20"/>
              </w:rPr>
              <w:t>500</w:t>
            </w:r>
          </w:p>
          <w:p w14:paraId="4461727C" w14:textId="77777777" w:rsidR="00961AEB" w:rsidRPr="0088307E" w:rsidRDefault="00961AEB" w:rsidP="00413CE9">
            <w:pPr>
              <w:jc w:val="right"/>
              <w:rPr>
                <w:i/>
                <w:sz w:val="20"/>
              </w:rPr>
            </w:pPr>
            <w:r w:rsidRPr="0088307E">
              <w:rPr>
                <w:i/>
                <w:sz w:val="20"/>
              </w:rPr>
              <w:t>1 249</w:t>
            </w:r>
          </w:p>
          <w:p w14:paraId="6971E8B2" w14:textId="77777777" w:rsidR="00961AEB" w:rsidRPr="0088307E" w:rsidRDefault="00961AEB" w:rsidP="00413CE9">
            <w:pPr>
              <w:jc w:val="right"/>
              <w:rPr>
                <w:i/>
                <w:sz w:val="20"/>
              </w:rPr>
            </w:pPr>
            <w:r w:rsidRPr="0088307E">
              <w:rPr>
                <w:i/>
                <w:sz w:val="20"/>
              </w:rPr>
              <w:t>230</w:t>
            </w:r>
          </w:p>
          <w:p w14:paraId="51F8D2D9" w14:textId="77777777" w:rsidR="00961AEB" w:rsidRPr="0088307E" w:rsidRDefault="00961AEB" w:rsidP="00413CE9">
            <w:pPr>
              <w:jc w:val="right"/>
              <w:rPr>
                <w:i/>
                <w:sz w:val="20"/>
              </w:rPr>
            </w:pPr>
            <w:r w:rsidRPr="0088307E">
              <w:rPr>
                <w:i/>
                <w:sz w:val="20"/>
              </w:rPr>
              <w:t>0</w:t>
            </w:r>
          </w:p>
          <w:p w14:paraId="51BDB509" w14:textId="77777777" w:rsidR="00961AEB" w:rsidRPr="009F618E" w:rsidRDefault="00961AEB" w:rsidP="00413CE9">
            <w:pPr>
              <w:jc w:val="right"/>
              <w:rPr>
                <w:i/>
                <w:sz w:val="20"/>
              </w:rPr>
            </w:pPr>
            <w:r w:rsidRPr="0088307E">
              <w:rPr>
                <w:i/>
                <w:sz w:val="20"/>
              </w:rPr>
              <w:t>230</w:t>
            </w:r>
          </w:p>
          <w:p w14:paraId="75D6EAD1" w14:textId="77777777" w:rsidR="00961AEB" w:rsidRPr="0088307E" w:rsidRDefault="00961AEB" w:rsidP="00413CE9">
            <w:pPr>
              <w:jc w:val="right"/>
              <w:rPr>
                <w:i/>
                <w:sz w:val="20"/>
              </w:rPr>
            </w:pPr>
            <w:r w:rsidRPr="0088307E">
              <w:rPr>
                <w:i/>
                <w:sz w:val="20"/>
              </w:rPr>
              <w:t>8 000</w:t>
            </w:r>
          </w:p>
          <w:p w14:paraId="50FB37E1" w14:textId="77777777" w:rsidR="00961AEB" w:rsidRPr="0088307E" w:rsidRDefault="00961AEB" w:rsidP="00413CE9">
            <w:pPr>
              <w:jc w:val="right"/>
              <w:rPr>
                <w:i/>
                <w:sz w:val="20"/>
              </w:rPr>
            </w:pPr>
            <w:r w:rsidRPr="0088307E">
              <w:rPr>
                <w:i/>
                <w:sz w:val="20"/>
              </w:rPr>
              <w:t>770</w:t>
            </w:r>
          </w:p>
          <w:p w14:paraId="509B9891" w14:textId="77777777" w:rsidR="00961AEB" w:rsidRPr="0088307E" w:rsidRDefault="00961AEB" w:rsidP="00413CE9">
            <w:pPr>
              <w:jc w:val="right"/>
              <w:rPr>
                <w:i/>
                <w:sz w:val="20"/>
              </w:rPr>
            </w:pPr>
            <w:r w:rsidRPr="0088307E">
              <w:rPr>
                <w:i/>
                <w:sz w:val="20"/>
              </w:rPr>
              <w:t>7 230</w:t>
            </w:r>
          </w:p>
          <w:p w14:paraId="7C38C6BE" w14:textId="77777777" w:rsidR="00961AEB" w:rsidRPr="0088307E" w:rsidRDefault="00961AEB" w:rsidP="00413CE9">
            <w:pPr>
              <w:jc w:val="right"/>
              <w:rPr>
                <w:i/>
                <w:sz w:val="20"/>
              </w:rPr>
            </w:pPr>
            <w:r w:rsidRPr="0088307E">
              <w:rPr>
                <w:i/>
                <w:sz w:val="20"/>
              </w:rPr>
              <w:t>32 888</w:t>
            </w:r>
          </w:p>
          <w:p w14:paraId="292D5F96" w14:textId="77777777" w:rsidR="00961AEB" w:rsidRPr="0088307E" w:rsidRDefault="00961AEB" w:rsidP="00413CE9">
            <w:pPr>
              <w:jc w:val="right"/>
              <w:rPr>
                <w:i/>
                <w:sz w:val="20"/>
              </w:rPr>
            </w:pPr>
            <w:r w:rsidRPr="0088307E">
              <w:rPr>
                <w:i/>
                <w:sz w:val="20"/>
              </w:rPr>
              <w:t>4 933</w:t>
            </w:r>
          </w:p>
          <w:p w14:paraId="4CB8BB02" w14:textId="77777777" w:rsidR="00961AEB" w:rsidRPr="0088307E" w:rsidRDefault="00961AEB" w:rsidP="00413CE9">
            <w:pPr>
              <w:jc w:val="right"/>
              <w:rPr>
                <w:i/>
                <w:sz w:val="20"/>
              </w:rPr>
            </w:pPr>
            <w:r w:rsidRPr="0088307E">
              <w:rPr>
                <w:i/>
                <w:sz w:val="20"/>
              </w:rPr>
              <w:t>27 955</w:t>
            </w:r>
          </w:p>
          <w:p w14:paraId="65EB1A6F" w14:textId="77777777" w:rsidR="00961AEB" w:rsidRPr="0088307E" w:rsidRDefault="00961AEB" w:rsidP="00413CE9">
            <w:pPr>
              <w:jc w:val="right"/>
              <w:rPr>
                <w:i/>
                <w:sz w:val="20"/>
              </w:rPr>
            </w:pPr>
          </w:p>
          <w:p w14:paraId="076204F2" w14:textId="77777777" w:rsidR="00961AEB" w:rsidRPr="0088307E" w:rsidRDefault="00961AEB" w:rsidP="00413CE9">
            <w:pPr>
              <w:jc w:val="right"/>
              <w:rPr>
                <w:i/>
                <w:sz w:val="20"/>
              </w:rPr>
            </w:pPr>
            <w:r w:rsidRPr="0088307E">
              <w:rPr>
                <w:i/>
                <w:sz w:val="20"/>
              </w:rPr>
              <w:t>10 800</w:t>
            </w:r>
          </w:p>
          <w:p w14:paraId="56646B9D" w14:textId="77777777" w:rsidR="00961AEB" w:rsidRPr="0088307E" w:rsidRDefault="00961AEB" w:rsidP="00413CE9">
            <w:pPr>
              <w:jc w:val="right"/>
              <w:rPr>
                <w:i/>
                <w:sz w:val="20"/>
              </w:rPr>
            </w:pPr>
            <w:r w:rsidRPr="0088307E">
              <w:rPr>
                <w:i/>
                <w:sz w:val="20"/>
              </w:rPr>
              <w:t>0</w:t>
            </w:r>
          </w:p>
          <w:p w14:paraId="65814C9C" w14:textId="77777777" w:rsidR="00961AEB" w:rsidRPr="0088307E" w:rsidRDefault="00961AEB" w:rsidP="00413CE9">
            <w:pPr>
              <w:jc w:val="right"/>
              <w:rPr>
                <w:i/>
                <w:sz w:val="20"/>
              </w:rPr>
            </w:pPr>
            <w:r w:rsidRPr="0088307E">
              <w:rPr>
                <w:i/>
                <w:sz w:val="20"/>
              </w:rPr>
              <w:t>10 800</w:t>
            </w:r>
          </w:p>
          <w:p w14:paraId="2C64F010" w14:textId="77777777" w:rsidR="00961AEB" w:rsidRPr="0088307E" w:rsidRDefault="00961AEB" w:rsidP="00413CE9">
            <w:pPr>
              <w:jc w:val="right"/>
              <w:rPr>
                <w:i/>
                <w:sz w:val="20"/>
              </w:rPr>
            </w:pPr>
            <w:r w:rsidRPr="0088307E">
              <w:rPr>
                <w:i/>
                <w:sz w:val="20"/>
              </w:rPr>
              <w:t>594</w:t>
            </w:r>
          </w:p>
          <w:p w14:paraId="375A652A" w14:textId="77777777" w:rsidR="00961AEB" w:rsidRPr="0088307E" w:rsidRDefault="00961AEB" w:rsidP="00413CE9">
            <w:pPr>
              <w:jc w:val="right"/>
              <w:rPr>
                <w:i/>
                <w:sz w:val="20"/>
              </w:rPr>
            </w:pPr>
            <w:r w:rsidRPr="0088307E">
              <w:rPr>
                <w:i/>
                <w:sz w:val="20"/>
              </w:rPr>
              <w:t>119</w:t>
            </w:r>
          </w:p>
          <w:p w14:paraId="21E7BD73" w14:textId="77777777" w:rsidR="00961AEB" w:rsidRPr="0088307E" w:rsidRDefault="00961AEB" w:rsidP="00413CE9">
            <w:pPr>
              <w:jc w:val="right"/>
              <w:rPr>
                <w:i/>
                <w:sz w:val="20"/>
              </w:rPr>
            </w:pPr>
            <w:r w:rsidRPr="0088307E">
              <w:rPr>
                <w:i/>
                <w:sz w:val="20"/>
              </w:rPr>
              <w:t>475</w:t>
            </w:r>
          </w:p>
        </w:tc>
        <w:tc>
          <w:tcPr>
            <w:tcW w:w="501" w:type="pct"/>
            <w:tcBorders>
              <w:top w:val="single" w:sz="8" w:space="0" w:color="7F7F7F" w:themeColor="text1" w:themeTint="80"/>
              <w:bottom w:val="single" w:sz="8" w:space="0" w:color="7F7F7F" w:themeColor="text1" w:themeTint="80"/>
            </w:tcBorders>
            <w:shd w:val="clear" w:color="auto" w:fill="auto"/>
          </w:tcPr>
          <w:p w14:paraId="525B994D" w14:textId="77777777" w:rsidR="00961AEB" w:rsidRPr="009F618E" w:rsidRDefault="00961AEB" w:rsidP="00413CE9">
            <w:pPr>
              <w:jc w:val="right"/>
              <w:rPr>
                <w:sz w:val="20"/>
              </w:rPr>
            </w:pPr>
          </w:p>
          <w:p w14:paraId="1F15057A" w14:textId="73858162" w:rsidR="00961AEB" w:rsidRPr="0088307E" w:rsidRDefault="009F618E" w:rsidP="00413CE9">
            <w:pPr>
              <w:jc w:val="right"/>
              <w:rPr>
                <w:sz w:val="20"/>
              </w:rPr>
            </w:pPr>
            <w:r w:rsidRPr="009F618E">
              <w:rPr>
                <w:sz w:val="20"/>
              </w:rPr>
              <w:t>111</w:t>
            </w:r>
            <w:r w:rsidR="00961AEB" w:rsidRPr="0088307E">
              <w:rPr>
                <w:sz w:val="20"/>
              </w:rPr>
              <w:t>,</w:t>
            </w:r>
            <w:r w:rsidRPr="009F618E">
              <w:rPr>
                <w:sz w:val="20"/>
              </w:rPr>
              <w:t>60</w:t>
            </w:r>
          </w:p>
          <w:p w14:paraId="047FDF62" w14:textId="77777777" w:rsidR="00961AEB" w:rsidRPr="009F618E" w:rsidRDefault="00961AEB" w:rsidP="00413CE9">
            <w:pPr>
              <w:jc w:val="right"/>
              <w:rPr>
                <w:i/>
                <w:sz w:val="20"/>
              </w:rPr>
            </w:pPr>
          </w:p>
          <w:p w14:paraId="38A95FB6" w14:textId="77777777" w:rsidR="00961AEB" w:rsidRPr="0088307E" w:rsidRDefault="00961AEB" w:rsidP="00413CE9">
            <w:pPr>
              <w:jc w:val="right"/>
              <w:rPr>
                <w:i/>
                <w:sz w:val="20"/>
              </w:rPr>
            </w:pPr>
            <w:r w:rsidRPr="0088307E">
              <w:rPr>
                <w:i/>
                <w:sz w:val="20"/>
              </w:rPr>
              <w:t>134,71    0,00</w:t>
            </w:r>
          </w:p>
          <w:p w14:paraId="54C989EE" w14:textId="77777777" w:rsidR="00961AEB" w:rsidRPr="0088307E" w:rsidRDefault="00961AEB" w:rsidP="00413CE9">
            <w:pPr>
              <w:jc w:val="right"/>
              <w:rPr>
                <w:i/>
                <w:sz w:val="20"/>
              </w:rPr>
            </w:pPr>
            <w:r w:rsidRPr="0088307E">
              <w:rPr>
                <w:i/>
                <w:sz w:val="20"/>
              </w:rPr>
              <w:t>0,00</w:t>
            </w:r>
          </w:p>
          <w:p w14:paraId="52BD4DDF" w14:textId="77777777" w:rsidR="00961AEB" w:rsidRPr="0088307E" w:rsidRDefault="00961AEB" w:rsidP="00413CE9">
            <w:pPr>
              <w:jc w:val="right"/>
              <w:rPr>
                <w:i/>
                <w:sz w:val="20"/>
              </w:rPr>
            </w:pPr>
            <w:r w:rsidRPr="0088307E">
              <w:rPr>
                <w:i/>
                <w:sz w:val="20"/>
              </w:rPr>
              <w:t>0,00</w:t>
            </w:r>
          </w:p>
          <w:p w14:paraId="436138C1" w14:textId="77777777" w:rsidR="00961AEB" w:rsidRPr="0088307E" w:rsidRDefault="00961AEB" w:rsidP="00413CE9">
            <w:pPr>
              <w:jc w:val="right"/>
              <w:rPr>
                <w:i/>
                <w:sz w:val="20"/>
              </w:rPr>
            </w:pPr>
            <w:r w:rsidRPr="0088307E">
              <w:rPr>
                <w:i/>
                <w:sz w:val="20"/>
              </w:rPr>
              <w:t>44,95 44,95</w:t>
            </w:r>
          </w:p>
          <w:p w14:paraId="03CB2EAA" w14:textId="77777777" w:rsidR="00961AEB" w:rsidRPr="0088307E" w:rsidRDefault="00961AEB" w:rsidP="00413CE9">
            <w:pPr>
              <w:jc w:val="right"/>
              <w:rPr>
                <w:i/>
                <w:sz w:val="20"/>
              </w:rPr>
            </w:pPr>
            <w:r w:rsidRPr="0088307E">
              <w:rPr>
                <w:i/>
                <w:sz w:val="20"/>
              </w:rPr>
              <w:t>44,95</w:t>
            </w:r>
          </w:p>
          <w:p w14:paraId="24C9EE7A" w14:textId="77777777" w:rsidR="00961AEB" w:rsidRPr="0088307E" w:rsidRDefault="00961AEB" w:rsidP="00413CE9">
            <w:pPr>
              <w:jc w:val="right"/>
              <w:rPr>
                <w:i/>
                <w:sz w:val="20"/>
              </w:rPr>
            </w:pPr>
            <w:r w:rsidRPr="0088307E">
              <w:rPr>
                <w:i/>
                <w:sz w:val="20"/>
              </w:rPr>
              <w:t>264,85</w:t>
            </w:r>
          </w:p>
          <w:p w14:paraId="71CE7311" w14:textId="77777777" w:rsidR="00961AEB" w:rsidRPr="0088307E" w:rsidRDefault="00961AEB" w:rsidP="00413CE9">
            <w:pPr>
              <w:jc w:val="right"/>
              <w:rPr>
                <w:i/>
                <w:sz w:val="20"/>
              </w:rPr>
            </w:pPr>
            <w:r w:rsidRPr="0088307E">
              <w:rPr>
                <w:i/>
                <w:sz w:val="20"/>
              </w:rPr>
              <w:t xml:space="preserve">  147,93</w:t>
            </w:r>
          </w:p>
          <w:p w14:paraId="18214E96" w14:textId="77777777" w:rsidR="00961AEB" w:rsidRPr="0088307E" w:rsidRDefault="00961AEB" w:rsidP="00413CE9">
            <w:pPr>
              <w:jc w:val="right"/>
              <w:rPr>
                <w:i/>
                <w:sz w:val="20"/>
              </w:rPr>
            </w:pPr>
            <w:r w:rsidRPr="0088307E">
              <w:rPr>
                <w:i/>
                <w:sz w:val="20"/>
              </w:rPr>
              <w:t>387,89</w:t>
            </w:r>
          </w:p>
          <w:p w14:paraId="50D08A43" w14:textId="77777777" w:rsidR="00961AEB" w:rsidRPr="0088307E" w:rsidRDefault="00961AEB" w:rsidP="00413CE9">
            <w:pPr>
              <w:jc w:val="right"/>
              <w:rPr>
                <w:i/>
                <w:sz w:val="20"/>
              </w:rPr>
            </w:pPr>
            <w:r w:rsidRPr="0088307E">
              <w:rPr>
                <w:i/>
                <w:sz w:val="20"/>
              </w:rPr>
              <w:t>95,83</w:t>
            </w:r>
          </w:p>
          <w:p w14:paraId="6B5507E6" w14:textId="77777777" w:rsidR="00961AEB" w:rsidRPr="0088307E" w:rsidRDefault="00961AEB" w:rsidP="00413CE9">
            <w:pPr>
              <w:jc w:val="right"/>
              <w:rPr>
                <w:i/>
                <w:sz w:val="20"/>
              </w:rPr>
            </w:pPr>
            <w:r w:rsidRPr="0088307E">
              <w:rPr>
                <w:i/>
                <w:sz w:val="20"/>
              </w:rPr>
              <w:t>0,00</w:t>
            </w:r>
          </w:p>
          <w:p w14:paraId="381D0169" w14:textId="77777777" w:rsidR="00961AEB" w:rsidRPr="0088307E" w:rsidRDefault="00961AEB" w:rsidP="00413CE9">
            <w:pPr>
              <w:jc w:val="right"/>
              <w:rPr>
                <w:i/>
                <w:sz w:val="20"/>
              </w:rPr>
            </w:pPr>
            <w:r w:rsidRPr="0088307E">
              <w:rPr>
                <w:i/>
                <w:sz w:val="20"/>
              </w:rPr>
              <w:t>95,83</w:t>
            </w:r>
          </w:p>
          <w:p w14:paraId="4BCBE08D" w14:textId="77777777" w:rsidR="00961AEB" w:rsidRPr="0088307E" w:rsidRDefault="00961AEB" w:rsidP="00413CE9">
            <w:pPr>
              <w:jc w:val="right"/>
              <w:rPr>
                <w:i/>
                <w:sz w:val="20"/>
              </w:rPr>
            </w:pPr>
            <w:r w:rsidRPr="0088307E">
              <w:rPr>
                <w:i/>
                <w:sz w:val="20"/>
              </w:rPr>
              <w:t>274,35</w:t>
            </w:r>
          </w:p>
          <w:p w14:paraId="67725F08" w14:textId="77777777" w:rsidR="00961AEB" w:rsidRPr="0088307E" w:rsidRDefault="00961AEB" w:rsidP="00413CE9">
            <w:pPr>
              <w:jc w:val="right"/>
              <w:rPr>
                <w:i/>
                <w:sz w:val="20"/>
              </w:rPr>
            </w:pPr>
            <w:r w:rsidRPr="0088307E">
              <w:rPr>
                <w:i/>
                <w:sz w:val="20"/>
              </w:rPr>
              <w:t>0,00</w:t>
            </w:r>
          </w:p>
          <w:p w14:paraId="29B49FA2" w14:textId="77777777" w:rsidR="00961AEB" w:rsidRPr="0088307E" w:rsidRDefault="00961AEB" w:rsidP="00413CE9">
            <w:pPr>
              <w:jc w:val="right"/>
              <w:rPr>
                <w:i/>
                <w:sz w:val="20"/>
              </w:rPr>
            </w:pPr>
            <w:r w:rsidRPr="0088307E">
              <w:rPr>
                <w:i/>
                <w:sz w:val="20"/>
              </w:rPr>
              <w:t>247,94</w:t>
            </w:r>
          </w:p>
          <w:p w14:paraId="115CC8A5" w14:textId="77777777" w:rsidR="00961AEB" w:rsidRPr="0088307E" w:rsidRDefault="00961AEB" w:rsidP="00413CE9">
            <w:pPr>
              <w:jc w:val="right"/>
              <w:rPr>
                <w:i/>
                <w:sz w:val="20"/>
              </w:rPr>
            </w:pPr>
            <w:r w:rsidRPr="0088307E">
              <w:rPr>
                <w:i/>
                <w:sz w:val="20"/>
              </w:rPr>
              <w:t>0,00</w:t>
            </w:r>
          </w:p>
          <w:p w14:paraId="2F8A1DA9" w14:textId="77777777" w:rsidR="00961AEB" w:rsidRPr="0088307E" w:rsidRDefault="00961AEB" w:rsidP="00413CE9">
            <w:pPr>
              <w:jc w:val="right"/>
              <w:rPr>
                <w:i/>
                <w:sz w:val="20"/>
              </w:rPr>
            </w:pPr>
            <w:r w:rsidRPr="0088307E">
              <w:rPr>
                <w:i/>
                <w:sz w:val="20"/>
              </w:rPr>
              <w:t>0,00</w:t>
            </w:r>
          </w:p>
          <w:p w14:paraId="60A0AD51" w14:textId="77777777" w:rsidR="00961AEB" w:rsidRPr="0088307E" w:rsidRDefault="00961AEB" w:rsidP="00413CE9">
            <w:pPr>
              <w:jc w:val="right"/>
              <w:rPr>
                <w:i/>
                <w:sz w:val="20"/>
              </w:rPr>
            </w:pPr>
            <w:r w:rsidRPr="0088307E">
              <w:rPr>
                <w:i/>
                <w:sz w:val="20"/>
              </w:rPr>
              <w:t>0,00</w:t>
            </w:r>
          </w:p>
          <w:p w14:paraId="0F25DCDD" w14:textId="77777777" w:rsidR="00961AEB" w:rsidRPr="0088307E" w:rsidRDefault="00961AEB" w:rsidP="00413CE9">
            <w:pPr>
              <w:jc w:val="right"/>
              <w:rPr>
                <w:i/>
                <w:sz w:val="20"/>
              </w:rPr>
            </w:pPr>
          </w:p>
          <w:p w14:paraId="3A96B4FF" w14:textId="77777777" w:rsidR="00961AEB" w:rsidRPr="0088307E" w:rsidRDefault="00961AEB" w:rsidP="00413CE9">
            <w:pPr>
              <w:jc w:val="right"/>
              <w:rPr>
                <w:i/>
                <w:sz w:val="20"/>
              </w:rPr>
            </w:pPr>
            <w:r w:rsidRPr="0088307E">
              <w:rPr>
                <w:i/>
                <w:sz w:val="20"/>
              </w:rPr>
              <w:t>0,00</w:t>
            </w:r>
          </w:p>
          <w:p w14:paraId="42AA62A5" w14:textId="77777777" w:rsidR="00961AEB" w:rsidRPr="0088307E" w:rsidRDefault="00961AEB" w:rsidP="00413CE9">
            <w:pPr>
              <w:jc w:val="right"/>
              <w:rPr>
                <w:i/>
                <w:sz w:val="20"/>
              </w:rPr>
            </w:pPr>
            <w:r w:rsidRPr="0088307E">
              <w:rPr>
                <w:i/>
                <w:sz w:val="20"/>
              </w:rPr>
              <w:t>0,00</w:t>
            </w:r>
          </w:p>
          <w:p w14:paraId="1D971CC6" w14:textId="77777777" w:rsidR="00961AEB" w:rsidRPr="0088307E" w:rsidRDefault="00961AEB" w:rsidP="00413CE9">
            <w:pPr>
              <w:jc w:val="right"/>
              <w:rPr>
                <w:i/>
                <w:sz w:val="20"/>
              </w:rPr>
            </w:pPr>
            <w:r w:rsidRPr="0088307E">
              <w:rPr>
                <w:i/>
                <w:sz w:val="20"/>
              </w:rPr>
              <w:t>0,00</w:t>
            </w:r>
          </w:p>
          <w:p w14:paraId="4937A0AF" w14:textId="77777777" w:rsidR="00961AEB" w:rsidRPr="0088307E" w:rsidRDefault="00961AEB" w:rsidP="00413CE9">
            <w:pPr>
              <w:jc w:val="right"/>
              <w:rPr>
                <w:i/>
                <w:sz w:val="20"/>
              </w:rPr>
            </w:pPr>
            <w:r w:rsidRPr="0088307E">
              <w:rPr>
                <w:i/>
                <w:sz w:val="20"/>
              </w:rPr>
              <w:t>0,00</w:t>
            </w:r>
          </w:p>
          <w:p w14:paraId="761C41B9" w14:textId="77777777" w:rsidR="00961AEB" w:rsidRPr="0088307E" w:rsidRDefault="00961AEB" w:rsidP="00413CE9">
            <w:pPr>
              <w:jc w:val="right"/>
              <w:rPr>
                <w:i/>
                <w:sz w:val="20"/>
              </w:rPr>
            </w:pPr>
            <w:r w:rsidRPr="0088307E">
              <w:rPr>
                <w:i/>
                <w:sz w:val="20"/>
              </w:rPr>
              <w:t>0,00</w:t>
            </w:r>
          </w:p>
          <w:p w14:paraId="3512427B" w14:textId="77777777" w:rsidR="00961AEB" w:rsidRPr="009F618E" w:rsidRDefault="00961AEB" w:rsidP="00413CE9">
            <w:pPr>
              <w:jc w:val="right"/>
              <w:rPr>
                <w:i/>
                <w:sz w:val="20"/>
              </w:rPr>
            </w:pPr>
            <w:r w:rsidRPr="0088307E">
              <w:rPr>
                <w:i/>
                <w:sz w:val="20"/>
              </w:rPr>
              <w:t>0,00</w:t>
            </w:r>
          </w:p>
        </w:tc>
      </w:tr>
      <w:tr w:rsidR="0013706F" w:rsidRPr="004760E8" w14:paraId="19223184" w14:textId="77777777" w:rsidTr="005D6532">
        <w:trPr>
          <w:trHeight w:val="2957"/>
          <w:jc w:val="right"/>
        </w:trPr>
        <w:tc>
          <w:tcPr>
            <w:tcW w:w="2343" w:type="pct"/>
            <w:tcBorders>
              <w:top w:val="single" w:sz="8" w:space="0" w:color="7F7F7F" w:themeColor="text1" w:themeTint="80"/>
              <w:bottom w:val="dashed" w:sz="4" w:space="0" w:color="auto"/>
            </w:tcBorders>
            <w:shd w:val="clear" w:color="auto" w:fill="auto"/>
          </w:tcPr>
          <w:p w14:paraId="4A6DD8AC" w14:textId="77777777" w:rsidR="0013706F" w:rsidRPr="004C2D04" w:rsidRDefault="0013706F" w:rsidP="0013706F">
            <w:pPr>
              <w:rPr>
                <w:sz w:val="20"/>
              </w:rPr>
            </w:pPr>
            <w:r w:rsidRPr="004C2D04">
              <w:rPr>
                <w:sz w:val="20"/>
              </w:rPr>
              <w:t>povinné pojistné placené zaměstnavatelem</w:t>
            </w:r>
          </w:p>
          <w:p w14:paraId="731E1C38" w14:textId="77777777" w:rsidR="0013706F" w:rsidRPr="004C2D04" w:rsidRDefault="0013706F" w:rsidP="0013706F">
            <w:pPr>
              <w:rPr>
                <w:sz w:val="20"/>
              </w:rPr>
            </w:pPr>
            <w:r w:rsidRPr="004C2D04">
              <w:rPr>
                <w:sz w:val="20"/>
              </w:rPr>
              <w:t xml:space="preserve">z toho: </w:t>
            </w:r>
            <w:r w:rsidRPr="004C2D04">
              <w:rPr>
                <w:i/>
                <w:sz w:val="20"/>
              </w:rPr>
              <w:t xml:space="preserve">výdaje na programy spolufinancované         </w:t>
            </w:r>
          </w:p>
          <w:p w14:paraId="652D7319" w14:textId="77777777" w:rsidR="0013706F" w:rsidRPr="004C2D04" w:rsidRDefault="0013706F" w:rsidP="0013706F">
            <w:pPr>
              <w:rPr>
                <w:i/>
                <w:sz w:val="20"/>
              </w:rPr>
            </w:pPr>
            <w:r w:rsidRPr="004C2D04">
              <w:rPr>
                <w:i/>
                <w:sz w:val="20"/>
              </w:rPr>
              <w:t xml:space="preserve">             z rozpočtu EU v tom:</w:t>
            </w:r>
          </w:p>
          <w:p w14:paraId="1BA56F82" w14:textId="77777777" w:rsidR="0013706F" w:rsidRPr="004C2D04" w:rsidRDefault="0013706F" w:rsidP="0013706F">
            <w:pPr>
              <w:rPr>
                <w:i/>
                <w:sz w:val="20"/>
              </w:rPr>
            </w:pPr>
            <w:r w:rsidRPr="004C2D04">
              <w:rPr>
                <w:i/>
                <w:sz w:val="20"/>
              </w:rPr>
              <w:t xml:space="preserve">            OP Zaměstnanost 2014 +</w:t>
            </w:r>
          </w:p>
          <w:p w14:paraId="34B39782" w14:textId="77777777" w:rsidR="0013706F" w:rsidRPr="004C2D04" w:rsidRDefault="0013706F" w:rsidP="0013706F">
            <w:pPr>
              <w:rPr>
                <w:i/>
                <w:sz w:val="20"/>
              </w:rPr>
            </w:pPr>
            <w:r w:rsidRPr="004C2D04">
              <w:rPr>
                <w:i/>
                <w:sz w:val="20"/>
              </w:rPr>
              <w:t xml:space="preserve">                                            v tom: ze SR</w:t>
            </w:r>
          </w:p>
          <w:p w14:paraId="68C8226D" w14:textId="77777777" w:rsidR="0013706F" w:rsidRPr="004C2D04" w:rsidRDefault="0013706F" w:rsidP="0013706F">
            <w:pPr>
              <w:rPr>
                <w:i/>
                <w:sz w:val="20"/>
              </w:rPr>
            </w:pPr>
            <w:r w:rsidRPr="004C2D04">
              <w:rPr>
                <w:i/>
                <w:sz w:val="20"/>
              </w:rPr>
              <w:t xml:space="preserve">                                                       z rozpočtu EU                </w:t>
            </w:r>
          </w:p>
          <w:p w14:paraId="60DDA562" w14:textId="77777777" w:rsidR="0013706F" w:rsidRPr="004C2D04" w:rsidRDefault="0013706F" w:rsidP="0013706F">
            <w:pPr>
              <w:rPr>
                <w:i/>
                <w:sz w:val="20"/>
              </w:rPr>
            </w:pPr>
            <w:r w:rsidRPr="004C2D04">
              <w:rPr>
                <w:i/>
                <w:sz w:val="20"/>
              </w:rPr>
              <w:t xml:space="preserve">           OP Doprava – CF  2014+</w:t>
            </w:r>
          </w:p>
          <w:p w14:paraId="321E8F1F" w14:textId="77777777" w:rsidR="0013706F" w:rsidRPr="004C2D04" w:rsidRDefault="0013706F" w:rsidP="0013706F">
            <w:pPr>
              <w:rPr>
                <w:i/>
                <w:sz w:val="20"/>
              </w:rPr>
            </w:pPr>
            <w:r w:rsidRPr="004C2D04">
              <w:rPr>
                <w:i/>
                <w:sz w:val="20"/>
              </w:rPr>
              <w:t xml:space="preserve">                                            v tom: ze SR</w:t>
            </w:r>
          </w:p>
          <w:p w14:paraId="59656F07" w14:textId="77777777" w:rsidR="0013706F" w:rsidRPr="004C2D04" w:rsidRDefault="0013706F" w:rsidP="0013706F">
            <w:pPr>
              <w:rPr>
                <w:i/>
                <w:sz w:val="20"/>
              </w:rPr>
            </w:pPr>
            <w:r w:rsidRPr="004C2D04">
              <w:rPr>
                <w:i/>
                <w:sz w:val="20"/>
              </w:rPr>
              <w:t xml:space="preserve">                                                       z rozpočtu EU</w:t>
            </w:r>
          </w:p>
          <w:p w14:paraId="2361466C" w14:textId="77777777" w:rsidR="0013706F" w:rsidRPr="004C2D04" w:rsidRDefault="0013706F" w:rsidP="0013706F">
            <w:pPr>
              <w:tabs>
                <w:tab w:val="left" w:pos="880"/>
              </w:tabs>
              <w:rPr>
                <w:i/>
                <w:sz w:val="20"/>
              </w:rPr>
            </w:pPr>
            <w:r w:rsidRPr="004C2D04">
              <w:rPr>
                <w:i/>
                <w:sz w:val="20"/>
              </w:rPr>
              <w:t xml:space="preserve">           KP Nástroj pro propojení Evropy 2014 +           </w:t>
            </w:r>
          </w:p>
          <w:p w14:paraId="65D75FC5" w14:textId="77777777" w:rsidR="0013706F" w:rsidRPr="004C2D04" w:rsidRDefault="0013706F" w:rsidP="0013706F">
            <w:pPr>
              <w:rPr>
                <w:i/>
                <w:sz w:val="20"/>
              </w:rPr>
            </w:pPr>
            <w:r w:rsidRPr="004C2D04">
              <w:rPr>
                <w:i/>
                <w:sz w:val="20"/>
              </w:rPr>
              <w:t xml:space="preserve">                                             v tom: ze SR</w:t>
            </w:r>
          </w:p>
          <w:p w14:paraId="1281EDCC" w14:textId="77777777" w:rsidR="0013706F" w:rsidRPr="004C2D04" w:rsidRDefault="0013706F" w:rsidP="0013706F">
            <w:pPr>
              <w:rPr>
                <w:i/>
                <w:sz w:val="20"/>
              </w:rPr>
            </w:pPr>
            <w:r w:rsidRPr="004C2D04">
              <w:rPr>
                <w:i/>
                <w:sz w:val="20"/>
              </w:rPr>
              <w:t xml:space="preserve">                                                        z rozpočtu EU  </w:t>
            </w:r>
          </w:p>
          <w:p w14:paraId="0AF30A92" w14:textId="77777777" w:rsidR="0013706F" w:rsidRPr="004C2D04" w:rsidRDefault="0013706F" w:rsidP="00413CE9">
            <w:pPr>
              <w:rPr>
                <w:sz w:val="20"/>
              </w:rPr>
            </w:pPr>
          </w:p>
        </w:tc>
        <w:tc>
          <w:tcPr>
            <w:tcW w:w="783" w:type="pct"/>
            <w:tcBorders>
              <w:top w:val="single" w:sz="8" w:space="0" w:color="7F7F7F" w:themeColor="text1" w:themeTint="80"/>
              <w:bottom w:val="dashed" w:sz="4" w:space="0" w:color="auto"/>
            </w:tcBorders>
            <w:shd w:val="clear" w:color="auto" w:fill="auto"/>
          </w:tcPr>
          <w:p w14:paraId="1D71D55A" w14:textId="77777777" w:rsidR="0013706F" w:rsidRPr="00CB7F0F" w:rsidRDefault="0013706F" w:rsidP="0013706F">
            <w:pPr>
              <w:jc w:val="right"/>
              <w:rPr>
                <w:sz w:val="20"/>
              </w:rPr>
            </w:pPr>
            <w:r w:rsidRPr="00CB7F0F">
              <w:rPr>
                <w:sz w:val="20"/>
              </w:rPr>
              <w:t>103 024</w:t>
            </w:r>
          </w:p>
          <w:p w14:paraId="3312ADDF" w14:textId="77777777" w:rsidR="0013706F" w:rsidRPr="00CB7F0F" w:rsidRDefault="0013706F" w:rsidP="0013706F">
            <w:pPr>
              <w:jc w:val="right"/>
              <w:rPr>
                <w:sz w:val="20"/>
              </w:rPr>
            </w:pPr>
          </w:p>
          <w:p w14:paraId="6EA5051F" w14:textId="77777777" w:rsidR="0013706F" w:rsidRPr="00CB7F0F" w:rsidRDefault="0013706F" w:rsidP="0013706F">
            <w:pPr>
              <w:jc w:val="right"/>
              <w:rPr>
                <w:i/>
                <w:sz w:val="20"/>
              </w:rPr>
            </w:pPr>
            <w:r w:rsidRPr="00CB7F0F">
              <w:rPr>
                <w:i/>
                <w:sz w:val="20"/>
              </w:rPr>
              <w:t>20 573</w:t>
            </w:r>
          </w:p>
          <w:p w14:paraId="4BC2708B" w14:textId="77777777" w:rsidR="0013706F" w:rsidRPr="00CB7F0F" w:rsidRDefault="0013706F" w:rsidP="0013706F">
            <w:pPr>
              <w:jc w:val="right"/>
              <w:rPr>
                <w:i/>
                <w:sz w:val="20"/>
                <w:szCs w:val="20"/>
              </w:rPr>
            </w:pPr>
            <w:r w:rsidRPr="00CB7F0F">
              <w:rPr>
                <w:i/>
                <w:sz w:val="20"/>
                <w:szCs w:val="20"/>
              </w:rPr>
              <w:t>171</w:t>
            </w:r>
          </w:p>
          <w:p w14:paraId="7D646F1E" w14:textId="77777777" w:rsidR="0013706F" w:rsidRPr="00CB7F0F" w:rsidRDefault="0013706F" w:rsidP="0013706F">
            <w:pPr>
              <w:jc w:val="right"/>
              <w:rPr>
                <w:i/>
                <w:sz w:val="20"/>
                <w:szCs w:val="20"/>
              </w:rPr>
            </w:pPr>
            <w:r w:rsidRPr="00CB7F0F">
              <w:rPr>
                <w:i/>
                <w:sz w:val="20"/>
                <w:szCs w:val="20"/>
              </w:rPr>
              <w:t>85</w:t>
            </w:r>
          </w:p>
          <w:p w14:paraId="1107BDF3" w14:textId="77777777" w:rsidR="0013706F" w:rsidRPr="00CB7F0F" w:rsidRDefault="0013706F" w:rsidP="0013706F">
            <w:pPr>
              <w:jc w:val="right"/>
              <w:rPr>
                <w:sz w:val="20"/>
                <w:szCs w:val="20"/>
              </w:rPr>
            </w:pPr>
            <w:r w:rsidRPr="00CB7F0F">
              <w:rPr>
                <w:i/>
                <w:sz w:val="20"/>
                <w:szCs w:val="20"/>
              </w:rPr>
              <w:t>85</w:t>
            </w:r>
          </w:p>
          <w:p w14:paraId="710EC40E" w14:textId="77777777" w:rsidR="0013706F" w:rsidRPr="00CB7F0F" w:rsidRDefault="0013706F" w:rsidP="0013706F">
            <w:pPr>
              <w:jc w:val="right"/>
              <w:rPr>
                <w:i/>
                <w:sz w:val="20"/>
                <w:szCs w:val="20"/>
              </w:rPr>
            </w:pPr>
            <w:r w:rsidRPr="00CB7F0F">
              <w:rPr>
                <w:i/>
                <w:sz w:val="20"/>
                <w:szCs w:val="20"/>
              </w:rPr>
              <w:t>18 487</w:t>
            </w:r>
          </w:p>
          <w:p w14:paraId="5E843070" w14:textId="77777777" w:rsidR="0013706F" w:rsidRPr="00CB7F0F" w:rsidRDefault="0013706F" w:rsidP="0013706F">
            <w:pPr>
              <w:jc w:val="right"/>
              <w:rPr>
                <w:i/>
                <w:sz w:val="20"/>
                <w:szCs w:val="20"/>
              </w:rPr>
            </w:pPr>
            <w:r w:rsidRPr="00CB7F0F">
              <w:rPr>
                <w:i/>
                <w:sz w:val="20"/>
                <w:szCs w:val="20"/>
              </w:rPr>
              <w:t>2 773</w:t>
            </w:r>
          </w:p>
          <w:p w14:paraId="10433380" w14:textId="77777777" w:rsidR="0013706F" w:rsidRPr="00CB7F0F" w:rsidRDefault="0013706F" w:rsidP="0013706F">
            <w:pPr>
              <w:jc w:val="right"/>
              <w:rPr>
                <w:i/>
                <w:sz w:val="20"/>
                <w:szCs w:val="20"/>
              </w:rPr>
            </w:pPr>
            <w:r w:rsidRPr="00CB7F0F">
              <w:rPr>
                <w:i/>
                <w:sz w:val="20"/>
                <w:szCs w:val="20"/>
              </w:rPr>
              <w:t>15 714</w:t>
            </w:r>
          </w:p>
          <w:p w14:paraId="7D1B5DCF" w14:textId="77777777" w:rsidR="0013706F" w:rsidRPr="00CB7F0F" w:rsidRDefault="0013706F" w:rsidP="0013706F">
            <w:pPr>
              <w:jc w:val="right"/>
              <w:rPr>
                <w:i/>
                <w:sz w:val="20"/>
                <w:szCs w:val="20"/>
              </w:rPr>
            </w:pPr>
            <w:r w:rsidRPr="00CB7F0F">
              <w:rPr>
                <w:i/>
                <w:sz w:val="20"/>
                <w:szCs w:val="20"/>
              </w:rPr>
              <w:t>1 915</w:t>
            </w:r>
          </w:p>
          <w:p w14:paraId="1DEAC3C4" w14:textId="77777777" w:rsidR="0013706F" w:rsidRPr="00CB7F0F" w:rsidRDefault="0013706F" w:rsidP="0013706F">
            <w:pPr>
              <w:jc w:val="right"/>
              <w:rPr>
                <w:i/>
                <w:sz w:val="20"/>
                <w:szCs w:val="20"/>
              </w:rPr>
            </w:pPr>
            <w:r w:rsidRPr="00CB7F0F">
              <w:rPr>
                <w:i/>
                <w:sz w:val="20"/>
                <w:szCs w:val="20"/>
              </w:rPr>
              <w:t>299</w:t>
            </w:r>
          </w:p>
          <w:p w14:paraId="5264E987" w14:textId="4E3A6904" w:rsidR="0013706F" w:rsidRPr="00CB7F0F" w:rsidRDefault="0013706F" w:rsidP="0013706F">
            <w:pPr>
              <w:jc w:val="right"/>
              <w:rPr>
                <w:i/>
                <w:sz w:val="20"/>
                <w:szCs w:val="20"/>
              </w:rPr>
            </w:pPr>
            <w:r w:rsidRPr="00CB7F0F">
              <w:rPr>
                <w:i/>
                <w:sz w:val="20"/>
                <w:szCs w:val="20"/>
              </w:rPr>
              <w:t>1</w:t>
            </w:r>
            <w:r>
              <w:rPr>
                <w:i/>
                <w:sz w:val="20"/>
                <w:szCs w:val="20"/>
              </w:rPr>
              <w:t> </w:t>
            </w:r>
            <w:r w:rsidRPr="00CB7F0F">
              <w:rPr>
                <w:i/>
                <w:sz w:val="20"/>
                <w:szCs w:val="20"/>
              </w:rPr>
              <w:t>616</w:t>
            </w:r>
          </w:p>
          <w:p w14:paraId="28E935EB" w14:textId="77777777" w:rsidR="0013706F" w:rsidRPr="00F3656D" w:rsidRDefault="0013706F" w:rsidP="00413CE9">
            <w:pPr>
              <w:jc w:val="right"/>
              <w:rPr>
                <w:sz w:val="20"/>
                <w:szCs w:val="20"/>
              </w:rPr>
            </w:pPr>
          </w:p>
        </w:tc>
        <w:tc>
          <w:tcPr>
            <w:tcW w:w="705" w:type="pct"/>
            <w:tcBorders>
              <w:top w:val="single" w:sz="8" w:space="0" w:color="7F7F7F" w:themeColor="text1" w:themeTint="80"/>
              <w:bottom w:val="dashed" w:sz="4" w:space="0" w:color="auto"/>
            </w:tcBorders>
            <w:shd w:val="clear" w:color="auto" w:fill="auto"/>
          </w:tcPr>
          <w:p w14:paraId="436F60E4" w14:textId="77777777" w:rsidR="0013706F" w:rsidRPr="00CB7F0F" w:rsidRDefault="0013706F" w:rsidP="0013706F">
            <w:pPr>
              <w:jc w:val="right"/>
              <w:rPr>
                <w:sz w:val="20"/>
              </w:rPr>
            </w:pPr>
            <w:r w:rsidRPr="00CB7F0F">
              <w:rPr>
                <w:sz w:val="20"/>
              </w:rPr>
              <w:t xml:space="preserve">  103 493</w:t>
            </w:r>
          </w:p>
          <w:p w14:paraId="22E4D310" w14:textId="77777777" w:rsidR="0013706F" w:rsidRPr="00CB7F0F" w:rsidRDefault="0013706F" w:rsidP="0013706F">
            <w:pPr>
              <w:jc w:val="right"/>
              <w:rPr>
                <w:i/>
                <w:sz w:val="20"/>
              </w:rPr>
            </w:pPr>
          </w:p>
          <w:p w14:paraId="3F81C42F" w14:textId="77777777" w:rsidR="0013706F" w:rsidRPr="00CB7F0F" w:rsidRDefault="0013706F" w:rsidP="0013706F">
            <w:pPr>
              <w:jc w:val="right"/>
              <w:rPr>
                <w:i/>
                <w:sz w:val="20"/>
              </w:rPr>
            </w:pPr>
            <w:r w:rsidRPr="00CB7F0F">
              <w:rPr>
                <w:i/>
                <w:sz w:val="20"/>
              </w:rPr>
              <w:t xml:space="preserve">19 788 </w:t>
            </w:r>
          </w:p>
          <w:p w14:paraId="705021D4" w14:textId="77777777" w:rsidR="0013706F" w:rsidRPr="00CB7F0F" w:rsidRDefault="0013706F" w:rsidP="0013706F">
            <w:pPr>
              <w:jc w:val="right"/>
              <w:rPr>
                <w:i/>
                <w:sz w:val="20"/>
              </w:rPr>
            </w:pPr>
            <w:r w:rsidRPr="00CB7F0F">
              <w:rPr>
                <w:i/>
                <w:sz w:val="20"/>
              </w:rPr>
              <w:t>0</w:t>
            </w:r>
          </w:p>
          <w:p w14:paraId="4D2EAB4A" w14:textId="77777777" w:rsidR="0013706F" w:rsidRPr="00CB7F0F" w:rsidRDefault="0013706F" w:rsidP="0013706F">
            <w:pPr>
              <w:jc w:val="right"/>
              <w:rPr>
                <w:i/>
                <w:sz w:val="20"/>
              </w:rPr>
            </w:pPr>
            <w:r w:rsidRPr="00CB7F0F">
              <w:rPr>
                <w:i/>
                <w:sz w:val="20"/>
              </w:rPr>
              <w:t>0</w:t>
            </w:r>
          </w:p>
          <w:p w14:paraId="126E17AB" w14:textId="77777777" w:rsidR="0013706F" w:rsidRPr="00CB7F0F" w:rsidRDefault="0013706F" w:rsidP="0013706F">
            <w:pPr>
              <w:jc w:val="right"/>
              <w:rPr>
                <w:i/>
                <w:sz w:val="20"/>
              </w:rPr>
            </w:pPr>
            <w:r w:rsidRPr="00CB7F0F">
              <w:rPr>
                <w:i/>
                <w:sz w:val="20"/>
              </w:rPr>
              <w:t>0</w:t>
            </w:r>
          </w:p>
          <w:p w14:paraId="248EB02C" w14:textId="77777777" w:rsidR="0013706F" w:rsidRPr="00CB7F0F" w:rsidRDefault="0013706F" w:rsidP="0013706F">
            <w:pPr>
              <w:jc w:val="right"/>
              <w:rPr>
                <w:i/>
                <w:sz w:val="20"/>
              </w:rPr>
            </w:pPr>
            <w:r w:rsidRPr="00CB7F0F">
              <w:rPr>
                <w:i/>
                <w:sz w:val="20"/>
              </w:rPr>
              <w:t xml:space="preserve"> 18 498</w:t>
            </w:r>
          </w:p>
          <w:p w14:paraId="1109528B" w14:textId="77777777" w:rsidR="0013706F" w:rsidRPr="00CB7F0F" w:rsidRDefault="0013706F" w:rsidP="0013706F">
            <w:pPr>
              <w:jc w:val="right"/>
              <w:rPr>
                <w:i/>
                <w:sz w:val="20"/>
              </w:rPr>
            </w:pPr>
            <w:r w:rsidRPr="00CB7F0F">
              <w:rPr>
                <w:i/>
                <w:sz w:val="20"/>
              </w:rPr>
              <w:t>2 775</w:t>
            </w:r>
          </w:p>
          <w:p w14:paraId="2DB047B5" w14:textId="77777777" w:rsidR="0013706F" w:rsidRPr="00CB7F0F" w:rsidRDefault="0013706F" w:rsidP="0013706F">
            <w:pPr>
              <w:jc w:val="right"/>
              <w:rPr>
                <w:i/>
                <w:sz w:val="20"/>
              </w:rPr>
            </w:pPr>
            <w:r w:rsidRPr="00CB7F0F">
              <w:rPr>
                <w:i/>
                <w:sz w:val="20"/>
              </w:rPr>
              <w:t>15 723</w:t>
            </w:r>
          </w:p>
          <w:p w14:paraId="5EBBC0D8" w14:textId="77777777" w:rsidR="0013706F" w:rsidRPr="00CB7F0F" w:rsidRDefault="0013706F" w:rsidP="0013706F">
            <w:pPr>
              <w:jc w:val="right"/>
              <w:rPr>
                <w:i/>
                <w:sz w:val="20"/>
              </w:rPr>
            </w:pPr>
            <w:r w:rsidRPr="00CB7F0F">
              <w:rPr>
                <w:i/>
                <w:sz w:val="20"/>
              </w:rPr>
              <w:t xml:space="preserve"> 223                        114</w:t>
            </w:r>
          </w:p>
          <w:p w14:paraId="63E2135B" w14:textId="77777777" w:rsidR="0013706F" w:rsidRPr="00CB7F0F" w:rsidRDefault="0013706F" w:rsidP="0013706F">
            <w:pPr>
              <w:jc w:val="right"/>
              <w:rPr>
                <w:i/>
                <w:sz w:val="20"/>
              </w:rPr>
            </w:pPr>
            <w:r w:rsidRPr="00CB7F0F">
              <w:rPr>
                <w:i/>
                <w:sz w:val="20"/>
              </w:rPr>
              <w:t>109</w:t>
            </w:r>
          </w:p>
          <w:p w14:paraId="15C638AA" w14:textId="77777777" w:rsidR="0013706F" w:rsidRPr="00C91345" w:rsidRDefault="0013706F" w:rsidP="00413CE9">
            <w:pPr>
              <w:jc w:val="right"/>
              <w:rPr>
                <w:sz w:val="20"/>
              </w:rPr>
            </w:pPr>
          </w:p>
        </w:tc>
        <w:tc>
          <w:tcPr>
            <w:tcW w:w="667" w:type="pct"/>
            <w:tcBorders>
              <w:top w:val="single" w:sz="8" w:space="0" w:color="7F7F7F" w:themeColor="text1" w:themeTint="80"/>
              <w:bottom w:val="dashed" w:sz="4" w:space="0" w:color="auto"/>
            </w:tcBorders>
            <w:shd w:val="clear" w:color="auto" w:fill="auto"/>
          </w:tcPr>
          <w:p w14:paraId="1653CD7F" w14:textId="77777777" w:rsidR="0013706F" w:rsidRPr="0088307E" w:rsidRDefault="0013706F" w:rsidP="0013706F">
            <w:pPr>
              <w:jc w:val="right"/>
              <w:rPr>
                <w:sz w:val="20"/>
              </w:rPr>
            </w:pPr>
            <w:r>
              <w:rPr>
                <w:sz w:val="20"/>
              </w:rPr>
              <w:t>115 503</w:t>
            </w:r>
            <w:r w:rsidRPr="0088307E">
              <w:rPr>
                <w:sz w:val="20"/>
              </w:rPr>
              <w:t xml:space="preserve">  </w:t>
            </w:r>
          </w:p>
          <w:p w14:paraId="27FF47B9" w14:textId="77777777" w:rsidR="0013706F" w:rsidRPr="0088307E" w:rsidRDefault="0013706F" w:rsidP="0013706F">
            <w:pPr>
              <w:jc w:val="right"/>
              <w:rPr>
                <w:i/>
                <w:sz w:val="20"/>
              </w:rPr>
            </w:pPr>
          </w:p>
          <w:p w14:paraId="076F3BBC" w14:textId="77777777" w:rsidR="0013706F" w:rsidRPr="0088307E" w:rsidRDefault="0013706F" w:rsidP="0013706F">
            <w:pPr>
              <w:jc w:val="right"/>
              <w:rPr>
                <w:i/>
                <w:sz w:val="20"/>
              </w:rPr>
            </w:pPr>
            <w:r w:rsidRPr="0088307E">
              <w:rPr>
                <w:i/>
                <w:sz w:val="20"/>
              </w:rPr>
              <w:t xml:space="preserve">26 655 </w:t>
            </w:r>
          </w:p>
          <w:p w14:paraId="51533F43" w14:textId="77777777" w:rsidR="0013706F" w:rsidRPr="0088307E" w:rsidRDefault="0013706F" w:rsidP="0013706F">
            <w:pPr>
              <w:jc w:val="right"/>
              <w:rPr>
                <w:i/>
                <w:sz w:val="20"/>
              </w:rPr>
            </w:pPr>
            <w:r w:rsidRPr="0088307E">
              <w:rPr>
                <w:i/>
                <w:sz w:val="20"/>
              </w:rPr>
              <w:t>0</w:t>
            </w:r>
          </w:p>
          <w:p w14:paraId="01AECE60" w14:textId="77777777" w:rsidR="0013706F" w:rsidRPr="0088307E" w:rsidRDefault="0013706F" w:rsidP="0013706F">
            <w:pPr>
              <w:jc w:val="right"/>
              <w:rPr>
                <w:i/>
                <w:sz w:val="20"/>
              </w:rPr>
            </w:pPr>
            <w:r w:rsidRPr="0088307E">
              <w:rPr>
                <w:i/>
                <w:sz w:val="20"/>
              </w:rPr>
              <w:t>0</w:t>
            </w:r>
          </w:p>
          <w:p w14:paraId="2A2FF4F8" w14:textId="77777777" w:rsidR="0013706F" w:rsidRPr="0088307E" w:rsidRDefault="0013706F" w:rsidP="0013706F">
            <w:pPr>
              <w:jc w:val="right"/>
              <w:rPr>
                <w:i/>
                <w:sz w:val="20"/>
              </w:rPr>
            </w:pPr>
            <w:r w:rsidRPr="0088307E">
              <w:rPr>
                <w:i/>
                <w:sz w:val="20"/>
              </w:rPr>
              <w:t>0</w:t>
            </w:r>
          </w:p>
          <w:p w14:paraId="0CD59B80" w14:textId="77777777" w:rsidR="0013706F" w:rsidRPr="0088307E" w:rsidRDefault="0013706F" w:rsidP="0013706F">
            <w:pPr>
              <w:jc w:val="right"/>
              <w:rPr>
                <w:i/>
                <w:sz w:val="20"/>
              </w:rPr>
            </w:pPr>
            <w:r w:rsidRPr="0088307E">
              <w:rPr>
                <w:i/>
                <w:sz w:val="20"/>
              </w:rPr>
              <w:t xml:space="preserve"> 8 315</w:t>
            </w:r>
          </w:p>
          <w:p w14:paraId="79BB39F7" w14:textId="77777777" w:rsidR="0013706F" w:rsidRPr="0088307E" w:rsidRDefault="0013706F" w:rsidP="0013706F">
            <w:pPr>
              <w:jc w:val="right"/>
              <w:rPr>
                <w:i/>
                <w:sz w:val="20"/>
              </w:rPr>
            </w:pPr>
            <w:r w:rsidRPr="0088307E">
              <w:rPr>
                <w:i/>
                <w:sz w:val="20"/>
              </w:rPr>
              <w:t>1 247</w:t>
            </w:r>
          </w:p>
          <w:p w14:paraId="1EABA8FA" w14:textId="77777777" w:rsidR="0013706F" w:rsidRPr="0088307E" w:rsidRDefault="0013706F" w:rsidP="0013706F">
            <w:pPr>
              <w:jc w:val="right"/>
              <w:rPr>
                <w:i/>
                <w:sz w:val="20"/>
              </w:rPr>
            </w:pPr>
            <w:r w:rsidRPr="0088307E">
              <w:rPr>
                <w:i/>
                <w:sz w:val="20"/>
              </w:rPr>
              <w:t>7 068</w:t>
            </w:r>
          </w:p>
          <w:p w14:paraId="3A7E3631" w14:textId="77777777" w:rsidR="0013706F" w:rsidRPr="0088307E" w:rsidRDefault="0013706F" w:rsidP="0013706F">
            <w:pPr>
              <w:jc w:val="right"/>
              <w:rPr>
                <w:i/>
                <w:sz w:val="20"/>
              </w:rPr>
            </w:pPr>
            <w:r w:rsidRPr="0088307E">
              <w:rPr>
                <w:i/>
                <w:sz w:val="20"/>
              </w:rPr>
              <w:t xml:space="preserve"> 591                       </w:t>
            </w:r>
          </w:p>
          <w:p w14:paraId="16F1D88F" w14:textId="77777777" w:rsidR="0013706F" w:rsidRPr="0088307E" w:rsidRDefault="0013706F" w:rsidP="0013706F">
            <w:pPr>
              <w:jc w:val="right"/>
              <w:rPr>
                <w:i/>
                <w:sz w:val="20"/>
              </w:rPr>
            </w:pPr>
            <w:r w:rsidRPr="0088307E">
              <w:rPr>
                <w:i/>
                <w:sz w:val="20"/>
              </w:rPr>
              <w:t>169</w:t>
            </w:r>
          </w:p>
          <w:p w14:paraId="570DA8DC" w14:textId="77777777" w:rsidR="0013706F" w:rsidRPr="0088307E" w:rsidRDefault="0013706F" w:rsidP="0013706F">
            <w:pPr>
              <w:jc w:val="right"/>
              <w:rPr>
                <w:i/>
                <w:sz w:val="20"/>
              </w:rPr>
            </w:pPr>
            <w:r w:rsidRPr="0088307E">
              <w:rPr>
                <w:i/>
                <w:sz w:val="20"/>
              </w:rPr>
              <w:t>422</w:t>
            </w:r>
          </w:p>
          <w:p w14:paraId="70787F63" w14:textId="77777777" w:rsidR="0013706F" w:rsidRPr="009F618E" w:rsidRDefault="0013706F" w:rsidP="00413CE9">
            <w:pPr>
              <w:jc w:val="right"/>
              <w:rPr>
                <w:sz w:val="20"/>
              </w:rPr>
            </w:pPr>
          </w:p>
        </w:tc>
        <w:tc>
          <w:tcPr>
            <w:tcW w:w="501" w:type="pct"/>
            <w:tcBorders>
              <w:top w:val="single" w:sz="8" w:space="0" w:color="7F7F7F" w:themeColor="text1" w:themeTint="80"/>
              <w:bottom w:val="dashed" w:sz="4" w:space="0" w:color="auto"/>
            </w:tcBorders>
            <w:shd w:val="clear" w:color="auto" w:fill="auto"/>
          </w:tcPr>
          <w:p w14:paraId="5B0514D3" w14:textId="77777777" w:rsidR="0013706F" w:rsidRPr="0088307E" w:rsidRDefault="0013706F" w:rsidP="0013706F">
            <w:pPr>
              <w:jc w:val="right"/>
              <w:rPr>
                <w:sz w:val="20"/>
              </w:rPr>
            </w:pPr>
            <w:r>
              <w:rPr>
                <w:sz w:val="20"/>
              </w:rPr>
              <w:t>111</w:t>
            </w:r>
            <w:r w:rsidRPr="0088307E">
              <w:rPr>
                <w:sz w:val="20"/>
              </w:rPr>
              <w:t>,</w:t>
            </w:r>
            <w:r>
              <w:rPr>
                <w:sz w:val="20"/>
              </w:rPr>
              <w:t>60</w:t>
            </w:r>
          </w:p>
          <w:p w14:paraId="6CFCD883" w14:textId="77777777" w:rsidR="0013706F" w:rsidRPr="0088307E" w:rsidRDefault="0013706F" w:rsidP="0013706F">
            <w:pPr>
              <w:jc w:val="right"/>
              <w:rPr>
                <w:i/>
                <w:sz w:val="20"/>
              </w:rPr>
            </w:pPr>
          </w:p>
          <w:p w14:paraId="3B0B0F14" w14:textId="77777777" w:rsidR="0013706F" w:rsidRPr="0088307E" w:rsidRDefault="0013706F" w:rsidP="0013706F">
            <w:pPr>
              <w:jc w:val="right"/>
              <w:rPr>
                <w:i/>
                <w:sz w:val="20"/>
              </w:rPr>
            </w:pPr>
            <w:r w:rsidRPr="0088307E">
              <w:rPr>
                <w:i/>
                <w:sz w:val="20"/>
              </w:rPr>
              <w:t>134,70</w:t>
            </w:r>
          </w:p>
          <w:p w14:paraId="324E44EA" w14:textId="77777777" w:rsidR="0013706F" w:rsidRPr="0088307E" w:rsidRDefault="0013706F" w:rsidP="0013706F">
            <w:pPr>
              <w:jc w:val="right"/>
              <w:rPr>
                <w:i/>
                <w:sz w:val="20"/>
              </w:rPr>
            </w:pPr>
            <w:r w:rsidRPr="0088307E">
              <w:rPr>
                <w:i/>
                <w:sz w:val="20"/>
              </w:rPr>
              <w:t>0,00</w:t>
            </w:r>
          </w:p>
          <w:p w14:paraId="7FB685E4" w14:textId="77777777" w:rsidR="0013706F" w:rsidRPr="0088307E" w:rsidRDefault="0013706F" w:rsidP="0013706F">
            <w:pPr>
              <w:jc w:val="right"/>
              <w:rPr>
                <w:i/>
                <w:sz w:val="20"/>
              </w:rPr>
            </w:pPr>
            <w:r w:rsidRPr="0088307E">
              <w:rPr>
                <w:i/>
                <w:sz w:val="20"/>
              </w:rPr>
              <w:t>0,00</w:t>
            </w:r>
          </w:p>
          <w:p w14:paraId="183B8792" w14:textId="77777777" w:rsidR="0013706F" w:rsidRPr="0088307E" w:rsidRDefault="0013706F" w:rsidP="0013706F">
            <w:pPr>
              <w:jc w:val="right"/>
              <w:rPr>
                <w:i/>
                <w:sz w:val="20"/>
              </w:rPr>
            </w:pPr>
            <w:r w:rsidRPr="0088307E">
              <w:rPr>
                <w:i/>
                <w:sz w:val="20"/>
              </w:rPr>
              <w:t>0,00</w:t>
            </w:r>
          </w:p>
          <w:p w14:paraId="3ECCBCBD" w14:textId="77777777" w:rsidR="0013706F" w:rsidRPr="0088307E" w:rsidRDefault="0013706F" w:rsidP="0013706F">
            <w:pPr>
              <w:jc w:val="right"/>
              <w:rPr>
                <w:i/>
                <w:sz w:val="20"/>
              </w:rPr>
            </w:pPr>
            <w:r w:rsidRPr="0088307E">
              <w:rPr>
                <w:i/>
                <w:sz w:val="20"/>
              </w:rPr>
              <w:t>44,95</w:t>
            </w:r>
          </w:p>
          <w:p w14:paraId="4F716A30" w14:textId="77777777" w:rsidR="0013706F" w:rsidRPr="0088307E" w:rsidRDefault="0013706F" w:rsidP="0013706F">
            <w:pPr>
              <w:jc w:val="right"/>
              <w:rPr>
                <w:i/>
                <w:sz w:val="20"/>
              </w:rPr>
            </w:pPr>
            <w:r w:rsidRPr="0088307E">
              <w:rPr>
                <w:i/>
                <w:sz w:val="20"/>
              </w:rPr>
              <w:t>44,94</w:t>
            </w:r>
          </w:p>
          <w:p w14:paraId="4D0390DF" w14:textId="77777777" w:rsidR="0013706F" w:rsidRPr="0088307E" w:rsidRDefault="0013706F" w:rsidP="0013706F">
            <w:pPr>
              <w:jc w:val="right"/>
              <w:rPr>
                <w:i/>
                <w:sz w:val="20"/>
              </w:rPr>
            </w:pPr>
            <w:r w:rsidRPr="0088307E">
              <w:rPr>
                <w:i/>
                <w:sz w:val="20"/>
              </w:rPr>
              <w:t>44,95</w:t>
            </w:r>
          </w:p>
          <w:p w14:paraId="1CD9A842" w14:textId="77777777" w:rsidR="0013706F" w:rsidRPr="0088307E" w:rsidRDefault="0013706F" w:rsidP="0013706F">
            <w:pPr>
              <w:jc w:val="right"/>
              <w:rPr>
                <w:i/>
                <w:sz w:val="20"/>
              </w:rPr>
            </w:pPr>
            <w:r w:rsidRPr="0088307E">
              <w:rPr>
                <w:i/>
                <w:sz w:val="20"/>
              </w:rPr>
              <w:t>265,02</w:t>
            </w:r>
          </w:p>
          <w:p w14:paraId="6518BF5F" w14:textId="77777777" w:rsidR="0013706F" w:rsidRPr="0088307E" w:rsidRDefault="0013706F" w:rsidP="0013706F">
            <w:pPr>
              <w:jc w:val="right"/>
              <w:rPr>
                <w:i/>
                <w:sz w:val="20"/>
              </w:rPr>
            </w:pPr>
            <w:r w:rsidRPr="0088307E">
              <w:rPr>
                <w:i/>
                <w:sz w:val="20"/>
              </w:rPr>
              <w:t>148,25</w:t>
            </w:r>
          </w:p>
          <w:p w14:paraId="01727FB9" w14:textId="77777777" w:rsidR="0013706F" w:rsidRPr="0088307E" w:rsidRDefault="0013706F" w:rsidP="0013706F">
            <w:pPr>
              <w:jc w:val="right"/>
              <w:rPr>
                <w:i/>
                <w:sz w:val="20"/>
              </w:rPr>
            </w:pPr>
            <w:r w:rsidRPr="0088307E">
              <w:rPr>
                <w:i/>
                <w:sz w:val="20"/>
              </w:rPr>
              <w:t>387,16</w:t>
            </w:r>
          </w:p>
          <w:p w14:paraId="59BBEA8E" w14:textId="77777777" w:rsidR="0013706F" w:rsidRPr="009F618E" w:rsidRDefault="0013706F" w:rsidP="00413CE9">
            <w:pPr>
              <w:jc w:val="right"/>
              <w:rPr>
                <w:sz w:val="20"/>
              </w:rPr>
            </w:pPr>
          </w:p>
        </w:tc>
      </w:tr>
    </w:tbl>
    <w:p w14:paraId="78303B12" w14:textId="77777777" w:rsidR="00161362" w:rsidRDefault="00161362"/>
    <w:p w14:paraId="70F38D20" w14:textId="77777777" w:rsidR="00161362" w:rsidRDefault="00161362"/>
    <w:tbl>
      <w:tblPr>
        <w:tblStyle w:val="Svtltabulkasmkou1zvraznn1112"/>
        <w:tblW w:w="4998" w:type="pct"/>
        <w:jc w:val="righ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0"/>
        <w:gridCol w:w="1417"/>
        <w:gridCol w:w="1276"/>
        <w:gridCol w:w="1207"/>
        <w:gridCol w:w="907"/>
      </w:tblGrid>
      <w:tr w:rsidR="00961AEB" w:rsidRPr="004760E8" w14:paraId="53F2A102" w14:textId="77777777" w:rsidTr="005D6532">
        <w:trPr>
          <w:trHeight w:val="3803"/>
          <w:jc w:val="right"/>
        </w:trPr>
        <w:tc>
          <w:tcPr>
            <w:tcW w:w="2343" w:type="pct"/>
            <w:tcBorders>
              <w:top w:val="dashed" w:sz="4" w:space="0" w:color="auto"/>
            </w:tcBorders>
            <w:shd w:val="clear" w:color="auto" w:fill="auto"/>
          </w:tcPr>
          <w:p w14:paraId="53784977" w14:textId="77777777" w:rsidR="00961AEB" w:rsidRPr="004C2D04" w:rsidRDefault="00961AEB" w:rsidP="00413CE9">
            <w:pPr>
              <w:tabs>
                <w:tab w:val="left" w:pos="880"/>
              </w:tabs>
              <w:rPr>
                <w:i/>
                <w:sz w:val="20"/>
              </w:rPr>
            </w:pPr>
            <w:r w:rsidRPr="004C2D04">
              <w:rPr>
                <w:i/>
                <w:sz w:val="20"/>
              </w:rPr>
              <w:t xml:space="preserve">          Horizont Evropa 2021+</w:t>
            </w:r>
          </w:p>
          <w:p w14:paraId="48A74574" w14:textId="77777777" w:rsidR="00961AEB" w:rsidRPr="004C2D04" w:rsidRDefault="00961AEB" w:rsidP="00413CE9">
            <w:pPr>
              <w:jc w:val="center"/>
              <w:rPr>
                <w:i/>
                <w:sz w:val="20"/>
              </w:rPr>
            </w:pPr>
            <w:r w:rsidRPr="004C2D04">
              <w:rPr>
                <w:i/>
                <w:sz w:val="20"/>
              </w:rPr>
              <w:t xml:space="preserve">                         v tom: ze SR</w:t>
            </w:r>
          </w:p>
          <w:p w14:paraId="54204A35" w14:textId="77777777" w:rsidR="00961AEB" w:rsidRPr="004C2D04" w:rsidRDefault="00961AEB" w:rsidP="00413CE9">
            <w:pPr>
              <w:tabs>
                <w:tab w:val="left" w:pos="880"/>
              </w:tabs>
              <w:jc w:val="center"/>
              <w:rPr>
                <w:i/>
                <w:sz w:val="20"/>
              </w:rPr>
            </w:pPr>
            <w:r w:rsidRPr="004C2D04">
              <w:rPr>
                <w:i/>
                <w:sz w:val="20"/>
              </w:rPr>
              <w:t xml:space="preserve">                                                  z rozpočtu EU   </w:t>
            </w:r>
          </w:p>
          <w:p w14:paraId="75CBAFA3" w14:textId="77777777" w:rsidR="00961AEB" w:rsidRPr="004C2D04" w:rsidRDefault="00961AEB" w:rsidP="00413CE9">
            <w:pPr>
              <w:tabs>
                <w:tab w:val="left" w:pos="880"/>
              </w:tabs>
              <w:jc w:val="center"/>
              <w:rPr>
                <w:i/>
                <w:sz w:val="20"/>
              </w:rPr>
            </w:pPr>
            <w:r w:rsidRPr="004C2D04">
              <w:rPr>
                <w:i/>
                <w:sz w:val="20"/>
              </w:rPr>
              <w:t xml:space="preserve">         Nástroj pro propojení Evropy (CEF) 2021+ </w:t>
            </w:r>
          </w:p>
          <w:p w14:paraId="221DFEFF" w14:textId="77777777" w:rsidR="00961AEB" w:rsidRPr="004C2D04" w:rsidRDefault="00961AEB" w:rsidP="00413CE9">
            <w:pPr>
              <w:jc w:val="center"/>
              <w:rPr>
                <w:i/>
                <w:sz w:val="20"/>
              </w:rPr>
            </w:pPr>
            <w:r w:rsidRPr="004C2D04">
              <w:rPr>
                <w:i/>
                <w:sz w:val="20"/>
              </w:rPr>
              <w:t xml:space="preserve">                         v tom: ze SR</w:t>
            </w:r>
          </w:p>
          <w:p w14:paraId="73CC3CFF" w14:textId="77777777" w:rsidR="00961AEB" w:rsidRDefault="00961AEB" w:rsidP="00413CE9">
            <w:pPr>
              <w:rPr>
                <w:i/>
                <w:sz w:val="20"/>
              </w:rPr>
            </w:pPr>
            <w:r w:rsidRPr="004C2D04">
              <w:rPr>
                <w:i/>
                <w:sz w:val="20"/>
              </w:rPr>
              <w:t xml:space="preserve">                                                  z rozpočtu EU </w:t>
            </w:r>
          </w:p>
          <w:p w14:paraId="7D4D03F6" w14:textId="77777777" w:rsidR="00961AEB" w:rsidRPr="004C2D04" w:rsidRDefault="00961AEB" w:rsidP="00413CE9">
            <w:pPr>
              <w:rPr>
                <w:i/>
                <w:sz w:val="20"/>
              </w:rPr>
            </w:pPr>
            <w:r>
              <w:rPr>
                <w:i/>
                <w:sz w:val="20"/>
              </w:rPr>
              <w:t xml:space="preserve">          OP Doprava – CF  2021</w:t>
            </w:r>
            <w:r w:rsidRPr="004C2D04">
              <w:rPr>
                <w:i/>
                <w:sz w:val="20"/>
              </w:rPr>
              <w:t xml:space="preserve"> +</w:t>
            </w:r>
          </w:p>
          <w:p w14:paraId="0E9DE1FE" w14:textId="77777777" w:rsidR="00961AEB" w:rsidRPr="004C2D04" w:rsidRDefault="00961AEB" w:rsidP="00413CE9">
            <w:pPr>
              <w:rPr>
                <w:i/>
                <w:sz w:val="20"/>
              </w:rPr>
            </w:pPr>
            <w:r w:rsidRPr="004C2D04">
              <w:rPr>
                <w:i/>
                <w:sz w:val="20"/>
              </w:rPr>
              <w:t xml:space="preserve">                                            v tom: ze SR</w:t>
            </w:r>
          </w:p>
          <w:p w14:paraId="59F376DB" w14:textId="77777777" w:rsidR="00961AEB" w:rsidRDefault="00961AEB" w:rsidP="00413CE9">
            <w:pPr>
              <w:rPr>
                <w:i/>
                <w:sz w:val="20"/>
              </w:rPr>
            </w:pPr>
            <w:r w:rsidRPr="004C2D04">
              <w:rPr>
                <w:i/>
                <w:sz w:val="20"/>
              </w:rPr>
              <w:t xml:space="preserve">                                     </w:t>
            </w:r>
            <w:r>
              <w:rPr>
                <w:i/>
                <w:sz w:val="20"/>
              </w:rPr>
              <w:t xml:space="preserve">                  z rozpočtu EU</w:t>
            </w:r>
            <w:r w:rsidRPr="004C2D04">
              <w:rPr>
                <w:i/>
                <w:sz w:val="20"/>
              </w:rPr>
              <w:t xml:space="preserve">  </w:t>
            </w:r>
          </w:p>
          <w:p w14:paraId="6C23A87E" w14:textId="77777777" w:rsidR="00961AEB" w:rsidRDefault="00961AEB" w:rsidP="00413CE9">
            <w:pPr>
              <w:rPr>
                <w:i/>
                <w:sz w:val="20"/>
              </w:rPr>
            </w:pPr>
            <w:r>
              <w:rPr>
                <w:i/>
                <w:sz w:val="20"/>
              </w:rPr>
              <w:t xml:space="preserve">        BAR-rezerva na vyrovnání se s důsledky   </w:t>
            </w:r>
          </w:p>
          <w:p w14:paraId="2F03CA0F" w14:textId="77777777" w:rsidR="00961AEB" w:rsidRPr="004C2D04" w:rsidRDefault="00961AEB" w:rsidP="00413CE9">
            <w:pPr>
              <w:rPr>
                <w:i/>
                <w:sz w:val="20"/>
              </w:rPr>
            </w:pPr>
            <w:r>
              <w:rPr>
                <w:i/>
                <w:sz w:val="20"/>
              </w:rPr>
              <w:t xml:space="preserve">       </w:t>
            </w:r>
            <w:proofErr w:type="spellStart"/>
            <w:r>
              <w:rPr>
                <w:i/>
                <w:sz w:val="20"/>
              </w:rPr>
              <w:t>Brexitu</w:t>
            </w:r>
            <w:proofErr w:type="spellEnd"/>
          </w:p>
          <w:p w14:paraId="3F6B64A9" w14:textId="77777777" w:rsidR="00961AEB" w:rsidRPr="004C2D04" w:rsidRDefault="00961AEB" w:rsidP="00413CE9">
            <w:pPr>
              <w:rPr>
                <w:i/>
                <w:sz w:val="20"/>
              </w:rPr>
            </w:pPr>
            <w:r w:rsidRPr="004C2D04">
              <w:rPr>
                <w:i/>
                <w:sz w:val="20"/>
              </w:rPr>
              <w:t xml:space="preserve">                                            v tom: ze SR</w:t>
            </w:r>
          </w:p>
          <w:p w14:paraId="16017E9D" w14:textId="77777777" w:rsidR="00961AEB" w:rsidRDefault="00961AEB" w:rsidP="00413CE9">
            <w:pPr>
              <w:rPr>
                <w:i/>
                <w:sz w:val="20"/>
              </w:rPr>
            </w:pPr>
            <w:r w:rsidRPr="004C2D04">
              <w:rPr>
                <w:i/>
                <w:sz w:val="20"/>
              </w:rPr>
              <w:t xml:space="preserve">                                     </w:t>
            </w:r>
            <w:r>
              <w:rPr>
                <w:i/>
                <w:sz w:val="20"/>
              </w:rPr>
              <w:t xml:space="preserve">                  z rozpočtu EU</w:t>
            </w:r>
            <w:r w:rsidRPr="004C2D04">
              <w:rPr>
                <w:i/>
                <w:sz w:val="20"/>
              </w:rPr>
              <w:t xml:space="preserve"> </w:t>
            </w:r>
          </w:p>
          <w:p w14:paraId="526310FF" w14:textId="77777777" w:rsidR="00961AEB" w:rsidRPr="004C2D04" w:rsidRDefault="00961AEB" w:rsidP="00413CE9">
            <w:pPr>
              <w:rPr>
                <w:i/>
                <w:sz w:val="20"/>
              </w:rPr>
            </w:pPr>
            <w:r>
              <w:rPr>
                <w:i/>
                <w:sz w:val="20"/>
              </w:rPr>
              <w:t xml:space="preserve">          Kosmický program Unie</w:t>
            </w:r>
          </w:p>
          <w:p w14:paraId="3D8FD6CF" w14:textId="77777777" w:rsidR="00961AEB" w:rsidRPr="004C2D04" w:rsidRDefault="00961AEB" w:rsidP="00413CE9">
            <w:pPr>
              <w:rPr>
                <w:i/>
                <w:sz w:val="20"/>
              </w:rPr>
            </w:pPr>
            <w:r w:rsidRPr="004C2D04">
              <w:rPr>
                <w:i/>
                <w:sz w:val="20"/>
              </w:rPr>
              <w:t xml:space="preserve">                                            v tom: ze SR</w:t>
            </w:r>
          </w:p>
          <w:p w14:paraId="5230AAAD" w14:textId="77777777" w:rsidR="00961AEB" w:rsidRPr="004C2D04" w:rsidRDefault="00961AEB" w:rsidP="00413CE9">
            <w:pPr>
              <w:rPr>
                <w:i/>
                <w:sz w:val="20"/>
              </w:rPr>
            </w:pPr>
            <w:r w:rsidRPr="004C2D04">
              <w:rPr>
                <w:i/>
                <w:sz w:val="20"/>
              </w:rPr>
              <w:t xml:space="preserve">                                     </w:t>
            </w:r>
            <w:r>
              <w:rPr>
                <w:i/>
                <w:sz w:val="20"/>
              </w:rPr>
              <w:t xml:space="preserve">                  z rozpočtu EU</w:t>
            </w:r>
            <w:r w:rsidRPr="004C2D04">
              <w:rPr>
                <w:i/>
                <w:sz w:val="20"/>
              </w:rPr>
              <w:t xml:space="preserve">                                                                                                                                                                                                                                                                                                                                                                                                                                                                                                                                                                                                                                                                                                                                                                                                                                                                                                                                                                                                                                                                                                                                                                                                                                                                                                                                                                                                                                                                                                                                                                                                                                                                                                                                                                                                                                                                                                                                                                                                                                                                                                                                                                                                                                                                                                                                                                                                                                                                                                                                                                                                                                                                                                                                                                                                                                                                                                                                                                                                                                                                                                                                                                                                                                                                                                                                                                                                                                                                                                                                                                                                                                                                                                                                                                                                                                                                                                                                                                                                                                                                                                                                                                                                                                                                                                                                                                                                                                                                                                                                                                                                                                                                                                                                                                                                                                                                                                                                                                                                                                                                                                                                                                                                                                                                                                                                                                                                                                                                                                                                                                                                                                                                                                                                                                                                                                                                                                                                                                                                                                                                                                                                                                                                                                                                                                                                                                                                                                                                                                                                                                                                                                                                                                                                                                                                                                                                                                                                                                                                                                                                                                                                                                                                                                                                                                                                                                                                                                                                                                                                                                                                                                                                                                                                                                                                                                                                                                                                                                                                                                                                                                                                                                                                                                                                                                                                                                                                                                                                                                </w:t>
            </w:r>
          </w:p>
        </w:tc>
        <w:tc>
          <w:tcPr>
            <w:tcW w:w="783" w:type="pct"/>
            <w:tcBorders>
              <w:top w:val="dashed" w:sz="4" w:space="0" w:color="auto"/>
            </w:tcBorders>
            <w:shd w:val="clear" w:color="auto" w:fill="auto"/>
          </w:tcPr>
          <w:p w14:paraId="149C05C6" w14:textId="77777777" w:rsidR="00961AEB" w:rsidRPr="00CB7F0F" w:rsidRDefault="00961AEB" w:rsidP="00413CE9">
            <w:pPr>
              <w:jc w:val="right"/>
              <w:rPr>
                <w:i/>
                <w:sz w:val="20"/>
                <w:szCs w:val="20"/>
              </w:rPr>
            </w:pPr>
            <w:r w:rsidRPr="00CB7F0F">
              <w:rPr>
                <w:i/>
                <w:sz w:val="20"/>
                <w:szCs w:val="20"/>
              </w:rPr>
              <w:t>0</w:t>
            </w:r>
          </w:p>
          <w:p w14:paraId="409634C0" w14:textId="77777777" w:rsidR="00961AEB" w:rsidRPr="00CB7F0F" w:rsidRDefault="00961AEB" w:rsidP="00413CE9">
            <w:pPr>
              <w:jc w:val="right"/>
              <w:rPr>
                <w:i/>
                <w:sz w:val="20"/>
                <w:szCs w:val="20"/>
              </w:rPr>
            </w:pPr>
            <w:r w:rsidRPr="00CB7F0F">
              <w:rPr>
                <w:i/>
                <w:sz w:val="20"/>
                <w:szCs w:val="20"/>
              </w:rPr>
              <w:t>0</w:t>
            </w:r>
          </w:p>
          <w:p w14:paraId="5D728FF3" w14:textId="77777777" w:rsidR="00961AEB" w:rsidRPr="00CB7F0F" w:rsidRDefault="00961AEB" w:rsidP="00413CE9">
            <w:pPr>
              <w:jc w:val="right"/>
              <w:rPr>
                <w:i/>
                <w:sz w:val="20"/>
                <w:szCs w:val="20"/>
              </w:rPr>
            </w:pPr>
            <w:r w:rsidRPr="00CB7F0F">
              <w:rPr>
                <w:i/>
                <w:sz w:val="20"/>
                <w:szCs w:val="20"/>
              </w:rPr>
              <w:t>0</w:t>
            </w:r>
          </w:p>
          <w:p w14:paraId="0F095431" w14:textId="77777777" w:rsidR="00961AEB" w:rsidRPr="00CB7F0F" w:rsidRDefault="00961AEB" w:rsidP="00413CE9">
            <w:pPr>
              <w:jc w:val="right"/>
              <w:rPr>
                <w:i/>
                <w:sz w:val="20"/>
                <w:szCs w:val="20"/>
              </w:rPr>
            </w:pPr>
            <w:r w:rsidRPr="00CB7F0F">
              <w:rPr>
                <w:i/>
                <w:sz w:val="20"/>
                <w:szCs w:val="20"/>
              </w:rPr>
              <w:t>0</w:t>
            </w:r>
          </w:p>
          <w:p w14:paraId="73EF9964" w14:textId="77777777" w:rsidR="00961AEB" w:rsidRPr="00CB7F0F" w:rsidRDefault="00961AEB" w:rsidP="00413CE9">
            <w:pPr>
              <w:jc w:val="right"/>
              <w:rPr>
                <w:i/>
                <w:sz w:val="20"/>
                <w:szCs w:val="20"/>
              </w:rPr>
            </w:pPr>
            <w:r w:rsidRPr="00CB7F0F">
              <w:rPr>
                <w:i/>
                <w:sz w:val="20"/>
                <w:szCs w:val="20"/>
              </w:rPr>
              <w:t>0</w:t>
            </w:r>
          </w:p>
          <w:p w14:paraId="49DC7701" w14:textId="77777777" w:rsidR="00961AEB" w:rsidRDefault="00961AEB" w:rsidP="00413CE9">
            <w:pPr>
              <w:jc w:val="right"/>
              <w:rPr>
                <w:i/>
                <w:sz w:val="20"/>
                <w:szCs w:val="20"/>
              </w:rPr>
            </w:pPr>
            <w:r w:rsidRPr="00CB7F0F">
              <w:rPr>
                <w:i/>
                <w:sz w:val="20"/>
                <w:szCs w:val="20"/>
              </w:rPr>
              <w:t>0</w:t>
            </w:r>
          </w:p>
          <w:p w14:paraId="29CE4DF0" w14:textId="77777777" w:rsidR="00961AEB" w:rsidRDefault="00961AEB" w:rsidP="00413CE9">
            <w:pPr>
              <w:jc w:val="right"/>
              <w:rPr>
                <w:i/>
                <w:sz w:val="20"/>
                <w:szCs w:val="20"/>
              </w:rPr>
            </w:pPr>
            <w:r>
              <w:rPr>
                <w:i/>
                <w:sz w:val="20"/>
                <w:szCs w:val="20"/>
              </w:rPr>
              <w:t>0</w:t>
            </w:r>
          </w:p>
          <w:p w14:paraId="6A90AB3B" w14:textId="77777777" w:rsidR="00961AEB" w:rsidRDefault="00961AEB" w:rsidP="00413CE9">
            <w:pPr>
              <w:jc w:val="right"/>
              <w:rPr>
                <w:i/>
                <w:sz w:val="20"/>
                <w:szCs w:val="20"/>
              </w:rPr>
            </w:pPr>
            <w:r>
              <w:rPr>
                <w:i/>
                <w:sz w:val="20"/>
                <w:szCs w:val="20"/>
              </w:rPr>
              <w:t>0</w:t>
            </w:r>
          </w:p>
          <w:p w14:paraId="4B05D55E" w14:textId="77777777" w:rsidR="00961AEB" w:rsidRDefault="00961AEB" w:rsidP="00413CE9">
            <w:pPr>
              <w:jc w:val="right"/>
              <w:rPr>
                <w:i/>
                <w:sz w:val="20"/>
                <w:szCs w:val="20"/>
              </w:rPr>
            </w:pPr>
            <w:r>
              <w:rPr>
                <w:i/>
                <w:sz w:val="20"/>
                <w:szCs w:val="20"/>
              </w:rPr>
              <w:t>0</w:t>
            </w:r>
          </w:p>
          <w:p w14:paraId="39D7564F" w14:textId="77777777" w:rsidR="00961AEB" w:rsidRDefault="00961AEB" w:rsidP="00413CE9">
            <w:pPr>
              <w:jc w:val="right"/>
              <w:rPr>
                <w:i/>
                <w:sz w:val="20"/>
                <w:szCs w:val="20"/>
              </w:rPr>
            </w:pPr>
          </w:p>
          <w:p w14:paraId="1516E267" w14:textId="77777777" w:rsidR="00961AEB" w:rsidRDefault="00961AEB" w:rsidP="00413CE9">
            <w:pPr>
              <w:jc w:val="right"/>
              <w:rPr>
                <w:i/>
                <w:sz w:val="20"/>
                <w:szCs w:val="20"/>
              </w:rPr>
            </w:pPr>
            <w:r>
              <w:rPr>
                <w:i/>
                <w:sz w:val="20"/>
                <w:szCs w:val="20"/>
              </w:rPr>
              <w:t>0</w:t>
            </w:r>
          </w:p>
          <w:p w14:paraId="29F84AC2" w14:textId="77777777" w:rsidR="00961AEB" w:rsidRDefault="00961AEB" w:rsidP="00413CE9">
            <w:pPr>
              <w:jc w:val="right"/>
              <w:rPr>
                <w:i/>
                <w:sz w:val="20"/>
                <w:szCs w:val="20"/>
              </w:rPr>
            </w:pPr>
            <w:r>
              <w:rPr>
                <w:i/>
                <w:sz w:val="20"/>
                <w:szCs w:val="20"/>
              </w:rPr>
              <w:t>0</w:t>
            </w:r>
          </w:p>
          <w:p w14:paraId="3558B6F0" w14:textId="77777777" w:rsidR="00961AEB" w:rsidRDefault="00961AEB" w:rsidP="00413CE9">
            <w:pPr>
              <w:jc w:val="right"/>
              <w:rPr>
                <w:i/>
                <w:sz w:val="20"/>
                <w:szCs w:val="20"/>
              </w:rPr>
            </w:pPr>
            <w:r>
              <w:rPr>
                <w:i/>
                <w:sz w:val="20"/>
                <w:szCs w:val="20"/>
              </w:rPr>
              <w:t>0</w:t>
            </w:r>
          </w:p>
          <w:p w14:paraId="276EF373" w14:textId="77777777" w:rsidR="00961AEB" w:rsidRDefault="00961AEB" w:rsidP="00413CE9">
            <w:pPr>
              <w:jc w:val="right"/>
              <w:rPr>
                <w:i/>
                <w:sz w:val="20"/>
                <w:szCs w:val="20"/>
              </w:rPr>
            </w:pPr>
            <w:r>
              <w:rPr>
                <w:i/>
                <w:sz w:val="20"/>
                <w:szCs w:val="20"/>
              </w:rPr>
              <w:t>0</w:t>
            </w:r>
          </w:p>
          <w:p w14:paraId="667E4995" w14:textId="77777777" w:rsidR="00961AEB" w:rsidRDefault="00961AEB" w:rsidP="00413CE9">
            <w:pPr>
              <w:jc w:val="right"/>
              <w:rPr>
                <w:i/>
                <w:sz w:val="20"/>
                <w:szCs w:val="20"/>
              </w:rPr>
            </w:pPr>
            <w:r>
              <w:rPr>
                <w:i/>
                <w:sz w:val="20"/>
                <w:szCs w:val="20"/>
              </w:rPr>
              <w:t>0</w:t>
            </w:r>
          </w:p>
          <w:p w14:paraId="15D9CBEC" w14:textId="77777777" w:rsidR="00961AEB" w:rsidRPr="009F1463" w:rsidRDefault="00961AEB" w:rsidP="00413CE9">
            <w:pPr>
              <w:jc w:val="right"/>
              <w:rPr>
                <w:i/>
                <w:sz w:val="20"/>
                <w:szCs w:val="20"/>
              </w:rPr>
            </w:pPr>
            <w:r>
              <w:rPr>
                <w:i/>
                <w:sz w:val="20"/>
                <w:szCs w:val="20"/>
              </w:rPr>
              <w:t>0</w:t>
            </w:r>
          </w:p>
        </w:tc>
        <w:tc>
          <w:tcPr>
            <w:tcW w:w="705" w:type="pct"/>
            <w:tcBorders>
              <w:top w:val="dashed" w:sz="4" w:space="0" w:color="auto"/>
            </w:tcBorders>
            <w:shd w:val="clear" w:color="auto" w:fill="auto"/>
          </w:tcPr>
          <w:p w14:paraId="2FF10593" w14:textId="32E895DC" w:rsidR="00961AEB" w:rsidRPr="00CB7F0F" w:rsidRDefault="00961AEB" w:rsidP="00413CE9">
            <w:pPr>
              <w:jc w:val="right"/>
              <w:rPr>
                <w:i/>
                <w:sz w:val="20"/>
              </w:rPr>
            </w:pPr>
            <w:r w:rsidRPr="00CB7F0F">
              <w:rPr>
                <w:sz w:val="20"/>
              </w:rPr>
              <w:t xml:space="preserve">  </w:t>
            </w:r>
            <w:r w:rsidRPr="00CB7F0F">
              <w:rPr>
                <w:i/>
                <w:sz w:val="20"/>
              </w:rPr>
              <w:t>81</w:t>
            </w:r>
          </w:p>
          <w:p w14:paraId="4C6FB11E" w14:textId="77777777" w:rsidR="00961AEB" w:rsidRPr="00CB7F0F" w:rsidRDefault="00961AEB" w:rsidP="00413CE9">
            <w:pPr>
              <w:jc w:val="right"/>
              <w:rPr>
                <w:i/>
                <w:sz w:val="20"/>
              </w:rPr>
            </w:pPr>
            <w:r w:rsidRPr="00CB7F0F">
              <w:rPr>
                <w:i/>
                <w:sz w:val="20"/>
              </w:rPr>
              <w:t>0</w:t>
            </w:r>
          </w:p>
          <w:p w14:paraId="73EAA822" w14:textId="77777777" w:rsidR="00961AEB" w:rsidRPr="00CB7F0F" w:rsidRDefault="00961AEB" w:rsidP="00413CE9">
            <w:pPr>
              <w:jc w:val="right"/>
              <w:rPr>
                <w:i/>
                <w:sz w:val="20"/>
              </w:rPr>
            </w:pPr>
            <w:r w:rsidRPr="00CB7F0F">
              <w:rPr>
                <w:i/>
                <w:sz w:val="20"/>
              </w:rPr>
              <w:t>81</w:t>
            </w:r>
          </w:p>
          <w:p w14:paraId="0C411132" w14:textId="77777777" w:rsidR="00961AEB" w:rsidRPr="00CB7F0F" w:rsidRDefault="00961AEB" w:rsidP="00413CE9">
            <w:pPr>
              <w:jc w:val="right"/>
              <w:rPr>
                <w:i/>
                <w:sz w:val="20"/>
              </w:rPr>
            </w:pPr>
            <w:r w:rsidRPr="00CB7F0F">
              <w:rPr>
                <w:i/>
                <w:sz w:val="20"/>
              </w:rPr>
              <w:t>986</w:t>
            </w:r>
          </w:p>
          <w:p w14:paraId="373D73EC" w14:textId="77777777" w:rsidR="00961AEB" w:rsidRPr="00CB7F0F" w:rsidRDefault="00961AEB" w:rsidP="00413CE9">
            <w:pPr>
              <w:jc w:val="right"/>
              <w:rPr>
                <w:i/>
                <w:sz w:val="20"/>
              </w:rPr>
            </w:pPr>
            <w:r w:rsidRPr="00CB7F0F">
              <w:rPr>
                <w:i/>
                <w:sz w:val="20"/>
              </w:rPr>
              <w:t>0</w:t>
            </w:r>
          </w:p>
          <w:p w14:paraId="4B94E685" w14:textId="77777777" w:rsidR="00961AEB" w:rsidRDefault="00961AEB" w:rsidP="00413CE9">
            <w:pPr>
              <w:jc w:val="right"/>
              <w:rPr>
                <w:i/>
                <w:sz w:val="20"/>
              </w:rPr>
            </w:pPr>
            <w:r w:rsidRPr="00CB7F0F">
              <w:rPr>
                <w:i/>
                <w:sz w:val="20"/>
              </w:rPr>
              <w:t>986</w:t>
            </w:r>
          </w:p>
          <w:p w14:paraId="2A5C6897" w14:textId="77777777" w:rsidR="00961AEB" w:rsidRDefault="00961AEB" w:rsidP="00413CE9">
            <w:pPr>
              <w:jc w:val="right"/>
              <w:rPr>
                <w:i/>
                <w:sz w:val="20"/>
              </w:rPr>
            </w:pPr>
            <w:r>
              <w:rPr>
                <w:i/>
                <w:sz w:val="20"/>
              </w:rPr>
              <w:t>0</w:t>
            </w:r>
          </w:p>
          <w:p w14:paraId="36252E64" w14:textId="77777777" w:rsidR="00961AEB" w:rsidRDefault="00961AEB" w:rsidP="00413CE9">
            <w:pPr>
              <w:jc w:val="right"/>
              <w:rPr>
                <w:i/>
                <w:sz w:val="20"/>
              </w:rPr>
            </w:pPr>
            <w:r>
              <w:rPr>
                <w:i/>
                <w:sz w:val="20"/>
              </w:rPr>
              <w:t>0</w:t>
            </w:r>
          </w:p>
          <w:p w14:paraId="4B717B62" w14:textId="77777777" w:rsidR="00961AEB" w:rsidRDefault="00961AEB" w:rsidP="00413CE9">
            <w:pPr>
              <w:jc w:val="right"/>
              <w:rPr>
                <w:i/>
                <w:sz w:val="20"/>
              </w:rPr>
            </w:pPr>
            <w:r>
              <w:rPr>
                <w:i/>
                <w:sz w:val="20"/>
              </w:rPr>
              <w:t>0</w:t>
            </w:r>
          </w:p>
          <w:p w14:paraId="5B973C43" w14:textId="77777777" w:rsidR="00961AEB" w:rsidRDefault="00961AEB" w:rsidP="00413CE9">
            <w:pPr>
              <w:jc w:val="right"/>
              <w:rPr>
                <w:i/>
                <w:sz w:val="20"/>
              </w:rPr>
            </w:pPr>
          </w:p>
          <w:p w14:paraId="53EFB220" w14:textId="77777777" w:rsidR="00961AEB" w:rsidRDefault="00961AEB" w:rsidP="00413CE9">
            <w:pPr>
              <w:jc w:val="right"/>
              <w:rPr>
                <w:i/>
                <w:sz w:val="20"/>
                <w:szCs w:val="20"/>
              </w:rPr>
            </w:pPr>
            <w:r>
              <w:rPr>
                <w:i/>
                <w:sz w:val="20"/>
                <w:szCs w:val="20"/>
              </w:rPr>
              <w:t>0</w:t>
            </w:r>
          </w:p>
          <w:p w14:paraId="2D916306" w14:textId="77777777" w:rsidR="00961AEB" w:rsidRDefault="00961AEB" w:rsidP="00413CE9">
            <w:pPr>
              <w:jc w:val="right"/>
              <w:rPr>
                <w:i/>
                <w:sz w:val="20"/>
                <w:szCs w:val="20"/>
              </w:rPr>
            </w:pPr>
            <w:r>
              <w:rPr>
                <w:i/>
                <w:sz w:val="20"/>
                <w:szCs w:val="20"/>
              </w:rPr>
              <w:t>0</w:t>
            </w:r>
          </w:p>
          <w:p w14:paraId="3D909826" w14:textId="77777777" w:rsidR="00961AEB" w:rsidRDefault="00961AEB" w:rsidP="00413CE9">
            <w:pPr>
              <w:jc w:val="right"/>
              <w:rPr>
                <w:i/>
                <w:sz w:val="20"/>
                <w:szCs w:val="20"/>
              </w:rPr>
            </w:pPr>
            <w:r>
              <w:rPr>
                <w:i/>
                <w:sz w:val="20"/>
                <w:szCs w:val="20"/>
              </w:rPr>
              <w:t>0</w:t>
            </w:r>
          </w:p>
          <w:p w14:paraId="6F29C1C5" w14:textId="77777777" w:rsidR="00961AEB" w:rsidRDefault="00961AEB" w:rsidP="00413CE9">
            <w:pPr>
              <w:jc w:val="right"/>
              <w:rPr>
                <w:i/>
                <w:sz w:val="20"/>
                <w:szCs w:val="20"/>
              </w:rPr>
            </w:pPr>
            <w:r>
              <w:rPr>
                <w:i/>
                <w:sz w:val="20"/>
                <w:szCs w:val="20"/>
              </w:rPr>
              <w:t>0</w:t>
            </w:r>
          </w:p>
          <w:p w14:paraId="2FFB85D9" w14:textId="77777777" w:rsidR="00961AEB" w:rsidRDefault="00961AEB" w:rsidP="00413CE9">
            <w:pPr>
              <w:jc w:val="right"/>
              <w:rPr>
                <w:i/>
                <w:sz w:val="20"/>
                <w:szCs w:val="20"/>
              </w:rPr>
            </w:pPr>
            <w:r>
              <w:rPr>
                <w:i/>
                <w:sz w:val="20"/>
                <w:szCs w:val="20"/>
              </w:rPr>
              <w:t>0</w:t>
            </w:r>
          </w:p>
          <w:p w14:paraId="5F4AA33B" w14:textId="77777777" w:rsidR="00961AEB" w:rsidRPr="00CB7F0F" w:rsidRDefault="00961AEB" w:rsidP="00413CE9">
            <w:pPr>
              <w:jc w:val="right"/>
              <w:rPr>
                <w:i/>
                <w:sz w:val="20"/>
              </w:rPr>
            </w:pPr>
            <w:r>
              <w:rPr>
                <w:i/>
                <w:sz w:val="20"/>
                <w:szCs w:val="20"/>
              </w:rPr>
              <w:t>0</w:t>
            </w:r>
          </w:p>
        </w:tc>
        <w:tc>
          <w:tcPr>
            <w:tcW w:w="667" w:type="pct"/>
            <w:tcBorders>
              <w:top w:val="dashed" w:sz="4" w:space="0" w:color="auto"/>
            </w:tcBorders>
            <w:shd w:val="clear" w:color="auto" w:fill="auto"/>
          </w:tcPr>
          <w:p w14:paraId="63E9496E" w14:textId="77777777" w:rsidR="00961AEB" w:rsidRPr="0088307E" w:rsidRDefault="00961AEB" w:rsidP="00413CE9">
            <w:pPr>
              <w:jc w:val="right"/>
              <w:rPr>
                <w:i/>
                <w:sz w:val="20"/>
              </w:rPr>
            </w:pPr>
            <w:r w:rsidRPr="0088307E">
              <w:rPr>
                <w:i/>
                <w:sz w:val="20"/>
              </w:rPr>
              <w:t>78</w:t>
            </w:r>
          </w:p>
          <w:p w14:paraId="07B2FB06" w14:textId="77777777" w:rsidR="00961AEB" w:rsidRPr="0088307E" w:rsidRDefault="00961AEB" w:rsidP="00413CE9">
            <w:pPr>
              <w:jc w:val="right"/>
              <w:rPr>
                <w:i/>
                <w:sz w:val="20"/>
              </w:rPr>
            </w:pPr>
            <w:r w:rsidRPr="0088307E">
              <w:rPr>
                <w:i/>
                <w:sz w:val="20"/>
              </w:rPr>
              <w:t>0</w:t>
            </w:r>
          </w:p>
          <w:p w14:paraId="7854C488" w14:textId="77777777" w:rsidR="00961AEB" w:rsidRPr="0088307E" w:rsidRDefault="00961AEB" w:rsidP="00413CE9">
            <w:pPr>
              <w:jc w:val="right"/>
              <w:rPr>
                <w:i/>
                <w:sz w:val="20"/>
              </w:rPr>
            </w:pPr>
            <w:r w:rsidRPr="0088307E">
              <w:rPr>
                <w:i/>
                <w:sz w:val="20"/>
              </w:rPr>
              <w:t>78</w:t>
            </w:r>
          </w:p>
          <w:p w14:paraId="67048DD0" w14:textId="77777777" w:rsidR="00961AEB" w:rsidRPr="0088307E" w:rsidRDefault="00961AEB" w:rsidP="00413CE9">
            <w:pPr>
              <w:jc w:val="right"/>
              <w:rPr>
                <w:i/>
                <w:sz w:val="20"/>
              </w:rPr>
            </w:pPr>
            <w:r w:rsidRPr="0088307E">
              <w:rPr>
                <w:i/>
                <w:sz w:val="20"/>
              </w:rPr>
              <w:t>2 704</w:t>
            </w:r>
          </w:p>
          <w:p w14:paraId="34C160DF" w14:textId="77777777" w:rsidR="00961AEB" w:rsidRPr="0088307E" w:rsidRDefault="00961AEB" w:rsidP="00413CE9">
            <w:pPr>
              <w:jc w:val="right"/>
              <w:rPr>
                <w:i/>
                <w:sz w:val="20"/>
              </w:rPr>
            </w:pPr>
            <w:r w:rsidRPr="0088307E">
              <w:rPr>
                <w:i/>
                <w:sz w:val="20"/>
              </w:rPr>
              <w:t>260</w:t>
            </w:r>
          </w:p>
          <w:p w14:paraId="79AE0B99" w14:textId="77777777" w:rsidR="00961AEB" w:rsidRPr="0088307E" w:rsidRDefault="00961AEB" w:rsidP="00413CE9">
            <w:pPr>
              <w:jc w:val="right"/>
              <w:rPr>
                <w:i/>
                <w:sz w:val="20"/>
              </w:rPr>
            </w:pPr>
            <w:r w:rsidRPr="0088307E">
              <w:rPr>
                <w:i/>
                <w:sz w:val="20"/>
              </w:rPr>
              <w:t>2 444</w:t>
            </w:r>
          </w:p>
          <w:p w14:paraId="24FFDC74" w14:textId="77777777" w:rsidR="00961AEB" w:rsidRPr="0088307E" w:rsidRDefault="00961AEB" w:rsidP="00413CE9">
            <w:pPr>
              <w:jc w:val="right"/>
              <w:rPr>
                <w:i/>
                <w:sz w:val="20"/>
              </w:rPr>
            </w:pPr>
            <w:r w:rsidRPr="0088307E">
              <w:rPr>
                <w:i/>
                <w:sz w:val="20"/>
              </w:rPr>
              <w:t>11 116</w:t>
            </w:r>
          </w:p>
          <w:p w14:paraId="06B908F7" w14:textId="77777777" w:rsidR="00961AEB" w:rsidRPr="0088307E" w:rsidRDefault="00961AEB" w:rsidP="00413CE9">
            <w:pPr>
              <w:jc w:val="right"/>
              <w:rPr>
                <w:i/>
                <w:sz w:val="20"/>
              </w:rPr>
            </w:pPr>
            <w:r w:rsidRPr="0088307E">
              <w:rPr>
                <w:i/>
                <w:sz w:val="20"/>
              </w:rPr>
              <w:t>1 667</w:t>
            </w:r>
          </w:p>
          <w:p w14:paraId="03998F66" w14:textId="77777777" w:rsidR="00961AEB" w:rsidRPr="0088307E" w:rsidRDefault="00961AEB" w:rsidP="00413CE9">
            <w:pPr>
              <w:jc w:val="right"/>
              <w:rPr>
                <w:i/>
                <w:sz w:val="20"/>
              </w:rPr>
            </w:pPr>
            <w:r w:rsidRPr="0088307E">
              <w:rPr>
                <w:i/>
                <w:sz w:val="20"/>
              </w:rPr>
              <w:t>9 449</w:t>
            </w:r>
          </w:p>
          <w:p w14:paraId="351F0137" w14:textId="77777777" w:rsidR="00961AEB" w:rsidRPr="0088307E" w:rsidRDefault="00961AEB" w:rsidP="00413CE9">
            <w:pPr>
              <w:jc w:val="right"/>
              <w:rPr>
                <w:i/>
                <w:sz w:val="20"/>
              </w:rPr>
            </w:pPr>
          </w:p>
          <w:p w14:paraId="017E6790" w14:textId="77777777" w:rsidR="00961AEB" w:rsidRPr="0088307E" w:rsidRDefault="00961AEB" w:rsidP="00413CE9">
            <w:pPr>
              <w:jc w:val="right"/>
              <w:rPr>
                <w:i/>
                <w:sz w:val="20"/>
                <w:szCs w:val="20"/>
              </w:rPr>
            </w:pPr>
            <w:r w:rsidRPr="0088307E">
              <w:rPr>
                <w:i/>
                <w:sz w:val="20"/>
                <w:szCs w:val="20"/>
              </w:rPr>
              <w:t>3 650</w:t>
            </w:r>
          </w:p>
          <w:p w14:paraId="6957A4D9" w14:textId="77777777" w:rsidR="00961AEB" w:rsidRPr="0088307E" w:rsidRDefault="00961AEB" w:rsidP="00413CE9">
            <w:pPr>
              <w:jc w:val="right"/>
              <w:rPr>
                <w:i/>
                <w:sz w:val="20"/>
                <w:szCs w:val="20"/>
              </w:rPr>
            </w:pPr>
            <w:r w:rsidRPr="0088307E">
              <w:rPr>
                <w:i/>
                <w:sz w:val="20"/>
                <w:szCs w:val="20"/>
              </w:rPr>
              <w:t>0</w:t>
            </w:r>
          </w:p>
          <w:p w14:paraId="625C191C" w14:textId="77777777" w:rsidR="00961AEB" w:rsidRPr="0088307E" w:rsidRDefault="00961AEB" w:rsidP="00413CE9">
            <w:pPr>
              <w:jc w:val="right"/>
              <w:rPr>
                <w:i/>
                <w:sz w:val="20"/>
                <w:szCs w:val="20"/>
              </w:rPr>
            </w:pPr>
            <w:r w:rsidRPr="0088307E">
              <w:rPr>
                <w:i/>
                <w:sz w:val="20"/>
                <w:szCs w:val="20"/>
              </w:rPr>
              <w:t>3 650</w:t>
            </w:r>
          </w:p>
          <w:p w14:paraId="023C2B48" w14:textId="77777777" w:rsidR="00961AEB" w:rsidRPr="0088307E" w:rsidRDefault="00961AEB" w:rsidP="00413CE9">
            <w:pPr>
              <w:jc w:val="right"/>
              <w:rPr>
                <w:i/>
                <w:sz w:val="20"/>
              </w:rPr>
            </w:pPr>
            <w:r w:rsidRPr="0088307E">
              <w:rPr>
                <w:i/>
                <w:sz w:val="20"/>
              </w:rPr>
              <w:t>201</w:t>
            </w:r>
          </w:p>
          <w:p w14:paraId="5955100B" w14:textId="77777777" w:rsidR="00961AEB" w:rsidRPr="0088307E" w:rsidRDefault="00961AEB" w:rsidP="00413CE9">
            <w:pPr>
              <w:jc w:val="right"/>
              <w:rPr>
                <w:i/>
                <w:sz w:val="20"/>
              </w:rPr>
            </w:pPr>
            <w:r w:rsidRPr="0088307E">
              <w:rPr>
                <w:i/>
                <w:sz w:val="20"/>
              </w:rPr>
              <w:t>40</w:t>
            </w:r>
          </w:p>
          <w:p w14:paraId="2F555A41" w14:textId="77777777" w:rsidR="00961AEB" w:rsidRPr="0088307E" w:rsidRDefault="00961AEB" w:rsidP="00413CE9">
            <w:pPr>
              <w:jc w:val="right"/>
              <w:rPr>
                <w:i/>
                <w:sz w:val="20"/>
              </w:rPr>
            </w:pPr>
            <w:r w:rsidRPr="0088307E">
              <w:rPr>
                <w:i/>
                <w:sz w:val="20"/>
              </w:rPr>
              <w:t>161</w:t>
            </w:r>
          </w:p>
        </w:tc>
        <w:tc>
          <w:tcPr>
            <w:tcW w:w="501" w:type="pct"/>
            <w:tcBorders>
              <w:top w:val="dashed" w:sz="4" w:space="0" w:color="auto"/>
            </w:tcBorders>
            <w:shd w:val="clear" w:color="auto" w:fill="auto"/>
          </w:tcPr>
          <w:p w14:paraId="20E2B320" w14:textId="77777777" w:rsidR="00961AEB" w:rsidRPr="0088307E" w:rsidRDefault="00961AEB" w:rsidP="00413CE9">
            <w:pPr>
              <w:jc w:val="right"/>
              <w:rPr>
                <w:i/>
                <w:sz w:val="20"/>
              </w:rPr>
            </w:pPr>
            <w:r w:rsidRPr="0088307E">
              <w:rPr>
                <w:i/>
                <w:sz w:val="20"/>
              </w:rPr>
              <w:t>96,30</w:t>
            </w:r>
          </w:p>
          <w:p w14:paraId="33FE87AD" w14:textId="77777777" w:rsidR="00961AEB" w:rsidRPr="0088307E" w:rsidRDefault="00961AEB" w:rsidP="00413CE9">
            <w:pPr>
              <w:jc w:val="right"/>
              <w:rPr>
                <w:i/>
                <w:sz w:val="20"/>
              </w:rPr>
            </w:pPr>
            <w:r w:rsidRPr="0088307E">
              <w:rPr>
                <w:i/>
                <w:sz w:val="20"/>
              </w:rPr>
              <w:t>0,00</w:t>
            </w:r>
          </w:p>
          <w:p w14:paraId="46A7C267" w14:textId="77777777" w:rsidR="00961AEB" w:rsidRPr="0088307E" w:rsidRDefault="00961AEB" w:rsidP="00413CE9">
            <w:pPr>
              <w:jc w:val="right"/>
              <w:rPr>
                <w:i/>
                <w:sz w:val="20"/>
              </w:rPr>
            </w:pPr>
            <w:r w:rsidRPr="0088307E">
              <w:rPr>
                <w:i/>
                <w:sz w:val="20"/>
              </w:rPr>
              <w:t>96,30</w:t>
            </w:r>
          </w:p>
          <w:p w14:paraId="2CD9B8FE" w14:textId="77777777" w:rsidR="00961AEB" w:rsidRPr="0088307E" w:rsidRDefault="00961AEB" w:rsidP="00413CE9">
            <w:pPr>
              <w:jc w:val="right"/>
              <w:rPr>
                <w:i/>
                <w:sz w:val="20"/>
              </w:rPr>
            </w:pPr>
            <w:r w:rsidRPr="0088307E">
              <w:rPr>
                <w:i/>
                <w:sz w:val="20"/>
              </w:rPr>
              <w:t>274,24</w:t>
            </w:r>
          </w:p>
          <w:p w14:paraId="379ABE5E" w14:textId="77777777" w:rsidR="00961AEB" w:rsidRPr="0088307E" w:rsidRDefault="00961AEB" w:rsidP="00413CE9">
            <w:pPr>
              <w:jc w:val="right"/>
              <w:rPr>
                <w:i/>
                <w:sz w:val="20"/>
              </w:rPr>
            </w:pPr>
            <w:r w:rsidRPr="0088307E">
              <w:rPr>
                <w:i/>
                <w:sz w:val="20"/>
              </w:rPr>
              <w:t>0,00</w:t>
            </w:r>
          </w:p>
          <w:p w14:paraId="4685EAAC" w14:textId="77777777" w:rsidR="00961AEB" w:rsidRPr="0088307E" w:rsidRDefault="00961AEB" w:rsidP="00413CE9">
            <w:pPr>
              <w:jc w:val="right"/>
              <w:rPr>
                <w:i/>
                <w:sz w:val="20"/>
              </w:rPr>
            </w:pPr>
            <w:r w:rsidRPr="0088307E">
              <w:rPr>
                <w:i/>
                <w:sz w:val="20"/>
              </w:rPr>
              <w:t>247,87</w:t>
            </w:r>
          </w:p>
          <w:p w14:paraId="1A88B01D" w14:textId="77777777" w:rsidR="00961AEB" w:rsidRPr="0088307E" w:rsidRDefault="00961AEB" w:rsidP="00413CE9">
            <w:pPr>
              <w:jc w:val="right"/>
              <w:rPr>
                <w:i/>
                <w:sz w:val="20"/>
              </w:rPr>
            </w:pPr>
            <w:r w:rsidRPr="0088307E">
              <w:rPr>
                <w:i/>
                <w:sz w:val="20"/>
              </w:rPr>
              <w:t>0,00</w:t>
            </w:r>
          </w:p>
          <w:p w14:paraId="08D90408" w14:textId="77777777" w:rsidR="00961AEB" w:rsidRPr="0088307E" w:rsidRDefault="00961AEB" w:rsidP="00413CE9">
            <w:pPr>
              <w:jc w:val="right"/>
              <w:rPr>
                <w:i/>
                <w:sz w:val="20"/>
              </w:rPr>
            </w:pPr>
            <w:r w:rsidRPr="0088307E">
              <w:rPr>
                <w:i/>
                <w:sz w:val="20"/>
              </w:rPr>
              <w:t>0,00</w:t>
            </w:r>
          </w:p>
          <w:p w14:paraId="087C62ED" w14:textId="77777777" w:rsidR="00961AEB" w:rsidRPr="0088307E" w:rsidRDefault="00961AEB" w:rsidP="00413CE9">
            <w:pPr>
              <w:jc w:val="right"/>
              <w:rPr>
                <w:i/>
                <w:sz w:val="20"/>
              </w:rPr>
            </w:pPr>
            <w:r w:rsidRPr="0088307E">
              <w:rPr>
                <w:i/>
                <w:sz w:val="20"/>
              </w:rPr>
              <w:t>0,00</w:t>
            </w:r>
          </w:p>
          <w:p w14:paraId="26EBE488" w14:textId="77777777" w:rsidR="00961AEB" w:rsidRPr="0088307E" w:rsidRDefault="00961AEB" w:rsidP="00413CE9">
            <w:pPr>
              <w:jc w:val="right"/>
              <w:rPr>
                <w:i/>
                <w:sz w:val="20"/>
              </w:rPr>
            </w:pPr>
          </w:p>
          <w:p w14:paraId="42AB055B" w14:textId="77777777" w:rsidR="00961AEB" w:rsidRPr="0088307E" w:rsidRDefault="00961AEB" w:rsidP="00413CE9">
            <w:pPr>
              <w:jc w:val="right"/>
              <w:rPr>
                <w:i/>
                <w:sz w:val="20"/>
              </w:rPr>
            </w:pPr>
            <w:r w:rsidRPr="0088307E">
              <w:rPr>
                <w:i/>
                <w:sz w:val="20"/>
              </w:rPr>
              <w:t>0,00</w:t>
            </w:r>
          </w:p>
          <w:p w14:paraId="35F946A1" w14:textId="77777777" w:rsidR="00961AEB" w:rsidRPr="0088307E" w:rsidRDefault="00961AEB" w:rsidP="00413CE9">
            <w:pPr>
              <w:jc w:val="right"/>
              <w:rPr>
                <w:i/>
                <w:sz w:val="20"/>
              </w:rPr>
            </w:pPr>
            <w:r w:rsidRPr="0088307E">
              <w:rPr>
                <w:i/>
                <w:sz w:val="20"/>
              </w:rPr>
              <w:t>0,00</w:t>
            </w:r>
          </w:p>
          <w:p w14:paraId="37176EC6" w14:textId="77777777" w:rsidR="00961AEB" w:rsidRPr="0088307E" w:rsidRDefault="00961AEB" w:rsidP="00413CE9">
            <w:pPr>
              <w:jc w:val="right"/>
              <w:rPr>
                <w:i/>
                <w:sz w:val="20"/>
              </w:rPr>
            </w:pPr>
            <w:r w:rsidRPr="0088307E">
              <w:rPr>
                <w:i/>
                <w:sz w:val="20"/>
              </w:rPr>
              <w:t>0,00</w:t>
            </w:r>
          </w:p>
          <w:p w14:paraId="19016511" w14:textId="77777777" w:rsidR="00961AEB" w:rsidRPr="0088307E" w:rsidRDefault="00961AEB" w:rsidP="00413CE9">
            <w:pPr>
              <w:jc w:val="right"/>
              <w:rPr>
                <w:i/>
                <w:sz w:val="20"/>
              </w:rPr>
            </w:pPr>
            <w:r w:rsidRPr="0088307E">
              <w:rPr>
                <w:i/>
                <w:sz w:val="20"/>
              </w:rPr>
              <w:t>0,00</w:t>
            </w:r>
          </w:p>
          <w:p w14:paraId="658F0D6C" w14:textId="77777777" w:rsidR="00961AEB" w:rsidRPr="0088307E" w:rsidRDefault="00961AEB" w:rsidP="00413CE9">
            <w:pPr>
              <w:jc w:val="right"/>
              <w:rPr>
                <w:i/>
                <w:sz w:val="20"/>
              </w:rPr>
            </w:pPr>
            <w:r w:rsidRPr="0088307E">
              <w:rPr>
                <w:i/>
                <w:sz w:val="20"/>
              </w:rPr>
              <w:t>0,00</w:t>
            </w:r>
          </w:p>
          <w:p w14:paraId="3C02D6AE" w14:textId="77777777" w:rsidR="00961AEB" w:rsidRPr="00CB1C42" w:rsidRDefault="00961AEB" w:rsidP="00413CE9">
            <w:pPr>
              <w:jc w:val="right"/>
              <w:rPr>
                <w:i/>
                <w:sz w:val="20"/>
              </w:rPr>
            </w:pPr>
            <w:r w:rsidRPr="0088307E">
              <w:rPr>
                <w:i/>
                <w:sz w:val="20"/>
              </w:rPr>
              <w:t>0,00</w:t>
            </w:r>
          </w:p>
        </w:tc>
      </w:tr>
      <w:tr w:rsidR="00961AEB" w:rsidRPr="004760E8" w14:paraId="1E2E005B" w14:textId="77777777" w:rsidTr="0088307E">
        <w:trPr>
          <w:trHeight w:val="4809"/>
          <w:jc w:val="right"/>
        </w:trPr>
        <w:tc>
          <w:tcPr>
            <w:tcW w:w="2343" w:type="pct"/>
            <w:tcBorders>
              <w:bottom w:val="single" w:sz="4" w:space="0" w:color="7F7F7F" w:themeColor="text1" w:themeTint="80"/>
            </w:tcBorders>
            <w:shd w:val="clear" w:color="auto" w:fill="auto"/>
          </w:tcPr>
          <w:p w14:paraId="1E17B4BA" w14:textId="77777777" w:rsidR="00961AEB" w:rsidRPr="004C2D04" w:rsidRDefault="00961AEB" w:rsidP="00413CE9">
            <w:pPr>
              <w:rPr>
                <w:sz w:val="20"/>
              </w:rPr>
            </w:pPr>
            <w:r w:rsidRPr="004C2D04">
              <w:rPr>
                <w:sz w:val="20"/>
              </w:rPr>
              <w:t>příděl FKSP</w:t>
            </w:r>
          </w:p>
          <w:p w14:paraId="0E7D05BC" w14:textId="77777777" w:rsidR="00961AEB" w:rsidRPr="004C2D04" w:rsidRDefault="00961AEB" w:rsidP="00413CE9">
            <w:pPr>
              <w:rPr>
                <w:i/>
                <w:sz w:val="20"/>
              </w:rPr>
            </w:pPr>
            <w:r w:rsidRPr="004C2D04">
              <w:rPr>
                <w:i/>
                <w:sz w:val="20"/>
              </w:rPr>
              <w:t xml:space="preserve">z toho: výdaje na programy spolufinancované         </w:t>
            </w:r>
          </w:p>
          <w:p w14:paraId="6D51BFAE" w14:textId="77777777" w:rsidR="00961AEB" w:rsidRPr="004C2D04" w:rsidRDefault="00961AEB" w:rsidP="00413CE9">
            <w:pPr>
              <w:rPr>
                <w:i/>
                <w:sz w:val="20"/>
              </w:rPr>
            </w:pPr>
            <w:r w:rsidRPr="004C2D04">
              <w:rPr>
                <w:i/>
                <w:sz w:val="20"/>
              </w:rPr>
              <w:t xml:space="preserve">            z rozpočtu EU v tom:                        </w:t>
            </w:r>
          </w:p>
          <w:p w14:paraId="743373DD" w14:textId="77777777" w:rsidR="00961AEB" w:rsidRPr="004C2D04" w:rsidRDefault="00961AEB" w:rsidP="00413CE9">
            <w:pPr>
              <w:rPr>
                <w:i/>
                <w:sz w:val="20"/>
              </w:rPr>
            </w:pPr>
            <w:r w:rsidRPr="004C2D04">
              <w:rPr>
                <w:i/>
                <w:sz w:val="20"/>
              </w:rPr>
              <w:t xml:space="preserve">           OP Zaměstnanost 2014 +</w:t>
            </w:r>
          </w:p>
          <w:p w14:paraId="74F0D6A6" w14:textId="77777777" w:rsidR="00961AEB" w:rsidRPr="004C2D04" w:rsidRDefault="00961AEB" w:rsidP="00413CE9">
            <w:pPr>
              <w:rPr>
                <w:i/>
                <w:sz w:val="20"/>
              </w:rPr>
            </w:pPr>
            <w:r w:rsidRPr="004C2D04">
              <w:rPr>
                <w:i/>
                <w:sz w:val="20"/>
              </w:rPr>
              <w:t xml:space="preserve">                                            v tom: ze SR</w:t>
            </w:r>
          </w:p>
          <w:p w14:paraId="566797C3" w14:textId="77777777" w:rsidR="00961AEB" w:rsidRPr="004C2D04" w:rsidRDefault="00961AEB" w:rsidP="00413CE9">
            <w:pPr>
              <w:rPr>
                <w:i/>
                <w:sz w:val="20"/>
              </w:rPr>
            </w:pPr>
            <w:r w:rsidRPr="004C2D04">
              <w:rPr>
                <w:i/>
                <w:sz w:val="20"/>
              </w:rPr>
              <w:t xml:space="preserve">                                                       z rozpočtu EU               </w:t>
            </w:r>
          </w:p>
          <w:p w14:paraId="5F35FE9C" w14:textId="77777777" w:rsidR="00961AEB" w:rsidRPr="004C2D04" w:rsidRDefault="00961AEB" w:rsidP="00413CE9">
            <w:pPr>
              <w:rPr>
                <w:i/>
                <w:sz w:val="20"/>
              </w:rPr>
            </w:pPr>
            <w:r w:rsidRPr="004C2D04">
              <w:rPr>
                <w:i/>
                <w:sz w:val="20"/>
              </w:rPr>
              <w:t xml:space="preserve">           OP Doprava – CF  2014+</w:t>
            </w:r>
          </w:p>
          <w:p w14:paraId="3575A0A8" w14:textId="77777777" w:rsidR="00961AEB" w:rsidRPr="004C2D04" w:rsidRDefault="00961AEB" w:rsidP="00413CE9">
            <w:pPr>
              <w:rPr>
                <w:i/>
                <w:sz w:val="20"/>
              </w:rPr>
            </w:pPr>
            <w:r w:rsidRPr="004C2D04">
              <w:rPr>
                <w:i/>
                <w:sz w:val="20"/>
              </w:rPr>
              <w:t xml:space="preserve">                                            v tom: ze SR</w:t>
            </w:r>
          </w:p>
          <w:p w14:paraId="7CA11BC7" w14:textId="77777777" w:rsidR="00961AEB" w:rsidRPr="004C2D04" w:rsidRDefault="00961AEB" w:rsidP="00413CE9">
            <w:pPr>
              <w:rPr>
                <w:i/>
                <w:sz w:val="20"/>
              </w:rPr>
            </w:pPr>
            <w:r w:rsidRPr="004C2D04">
              <w:rPr>
                <w:i/>
                <w:sz w:val="20"/>
              </w:rPr>
              <w:t xml:space="preserve">                                                       z rozpočtu EU</w:t>
            </w:r>
          </w:p>
          <w:p w14:paraId="4BB39DD3" w14:textId="77777777" w:rsidR="00961AEB" w:rsidRPr="004C2D04" w:rsidRDefault="00961AEB" w:rsidP="00413CE9">
            <w:pPr>
              <w:tabs>
                <w:tab w:val="left" w:pos="880"/>
              </w:tabs>
              <w:rPr>
                <w:i/>
                <w:sz w:val="20"/>
              </w:rPr>
            </w:pPr>
            <w:r w:rsidRPr="004C2D04">
              <w:rPr>
                <w:i/>
                <w:sz w:val="20"/>
              </w:rPr>
              <w:t xml:space="preserve">          KP Nástroj pro propojení Evropy  2014 +           </w:t>
            </w:r>
          </w:p>
          <w:p w14:paraId="44BA7D4C" w14:textId="77777777" w:rsidR="00961AEB" w:rsidRPr="004C2D04" w:rsidRDefault="00961AEB" w:rsidP="00413CE9">
            <w:pPr>
              <w:rPr>
                <w:i/>
                <w:sz w:val="20"/>
              </w:rPr>
            </w:pPr>
            <w:r w:rsidRPr="004C2D04">
              <w:rPr>
                <w:i/>
                <w:sz w:val="20"/>
              </w:rPr>
              <w:t xml:space="preserve">                                             v tom: ze SR</w:t>
            </w:r>
          </w:p>
          <w:p w14:paraId="416597B0" w14:textId="77777777" w:rsidR="00961AEB" w:rsidRPr="004C2D04" w:rsidRDefault="00961AEB" w:rsidP="00413CE9">
            <w:pPr>
              <w:rPr>
                <w:i/>
                <w:sz w:val="20"/>
              </w:rPr>
            </w:pPr>
            <w:r w:rsidRPr="004C2D04">
              <w:rPr>
                <w:i/>
                <w:sz w:val="20"/>
              </w:rPr>
              <w:t xml:space="preserve">                                                        z rozpočtu EU</w:t>
            </w:r>
          </w:p>
          <w:p w14:paraId="717914EC" w14:textId="77777777" w:rsidR="00961AEB" w:rsidRPr="004C2D04" w:rsidRDefault="00961AEB" w:rsidP="00413CE9">
            <w:pPr>
              <w:tabs>
                <w:tab w:val="left" w:pos="880"/>
              </w:tabs>
              <w:rPr>
                <w:i/>
                <w:sz w:val="20"/>
              </w:rPr>
            </w:pPr>
            <w:r w:rsidRPr="004C2D04">
              <w:rPr>
                <w:i/>
                <w:sz w:val="20"/>
              </w:rPr>
              <w:t xml:space="preserve">          Horizont Evropa 2021+</w:t>
            </w:r>
          </w:p>
          <w:p w14:paraId="4D24A7B5" w14:textId="77777777" w:rsidR="00961AEB" w:rsidRPr="004C2D04" w:rsidRDefault="00961AEB" w:rsidP="00413CE9">
            <w:pPr>
              <w:jc w:val="center"/>
              <w:rPr>
                <w:i/>
                <w:sz w:val="20"/>
              </w:rPr>
            </w:pPr>
            <w:r w:rsidRPr="004C2D04">
              <w:rPr>
                <w:i/>
                <w:sz w:val="20"/>
              </w:rPr>
              <w:t xml:space="preserve">                         v tom: ze SR</w:t>
            </w:r>
          </w:p>
          <w:p w14:paraId="12429BE8" w14:textId="77777777" w:rsidR="00961AEB" w:rsidRPr="004C2D04" w:rsidRDefault="00961AEB" w:rsidP="00413CE9">
            <w:pPr>
              <w:tabs>
                <w:tab w:val="left" w:pos="880"/>
              </w:tabs>
              <w:jc w:val="center"/>
              <w:rPr>
                <w:i/>
                <w:sz w:val="20"/>
              </w:rPr>
            </w:pPr>
            <w:r w:rsidRPr="004C2D04">
              <w:rPr>
                <w:i/>
                <w:sz w:val="20"/>
              </w:rPr>
              <w:t xml:space="preserve">                                                  z rozpočtu EU   </w:t>
            </w:r>
          </w:p>
          <w:p w14:paraId="2063BBE5" w14:textId="77777777" w:rsidR="00961AEB" w:rsidRPr="004C2D04" w:rsidRDefault="00961AEB" w:rsidP="00413CE9">
            <w:pPr>
              <w:tabs>
                <w:tab w:val="left" w:pos="880"/>
              </w:tabs>
              <w:jc w:val="center"/>
              <w:rPr>
                <w:i/>
                <w:sz w:val="20"/>
              </w:rPr>
            </w:pPr>
            <w:r w:rsidRPr="004C2D04">
              <w:rPr>
                <w:i/>
                <w:sz w:val="20"/>
              </w:rPr>
              <w:t xml:space="preserve">         Nástroj pro propojení Evropy (CEF) 2021+ </w:t>
            </w:r>
          </w:p>
          <w:p w14:paraId="2D2C04E7" w14:textId="77777777" w:rsidR="00961AEB" w:rsidRPr="004C2D04" w:rsidRDefault="00961AEB" w:rsidP="00413CE9">
            <w:pPr>
              <w:jc w:val="center"/>
              <w:rPr>
                <w:i/>
                <w:sz w:val="20"/>
              </w:rPr>
            </w:pPr>
            <w:r w:rsidRPr="004C2D04">
              <w:rPr>
                <w:i/>
                <w:sz w:val="20"/>
              </w:rPr>
              <w:t xml:space="preserve">                         v tom: ze SR</w:t>
            </w:r>
          </w:p>
          <w:p w14:paraId="0CC4DB0D" w14:textId="77777777" w:rsidR="00961AEB" w:rsidRDefault="00961AEB" w:rsidP="00413CE9">
            <w:pPr>
              <w:rPr>
                <w:i/>
                <w:sz w:val="20"/>
              </w:rPr>
            </w:pPr>
            <w:r w:rsidRPr="004C2D04">
              <w:rPr>
                <w:i/>
                <w:sz w:val="20"/>
              </w:rPr>
              <w:t xml:space="preserve">                                                  z rozpočtu EU     </w:t>
            </w:r>
          </w:p>
          <w:p w14:paraId="77143FFC" w14:textId="77777777" w:rsidR="00961AEB" w:rsidRPr="004C2D04" w:rsidRDefault="00961AEB" w:rsidP="00413CE9">
            <w:pPr>
              <w:rPr>
                <w:i/>
                <w:sz w:val="20"/>
              </w:rPr>
            </w:pPr>
            <w:r>
              <w:rPr>
                <w:i/>
                <w:sz w:val="20"/>
              </w:rPr>
              <w:t xml:space="preserve">         OP Doprava – CF  2021</w:t>
            </w:r>
            <w:r w:rsidRPr="004C2D04">
              <w:rPr>
                <w:i/>
                <w:sz w:val="20"/>
              </w:rPr>
              <w:t>+</w:t>
            </w:r>
          </w:p>
          <w:p w14:paraId="5EE7A493" w14:textId="77777777" w:rsidR="00961AEB" w:rsidRPr="004C2D04" w:rsidRDefault="00961AEB" w:rsidP="00413CE9">
            <w:pPr>
              <w:rPr>
                <w:i/>
                <w:sz w:val="20"/>
              </w:rPr>
            </w:pPr>
            <w:r w:rsidRPr="004C2D04">
              <w:rPr>
                <w:i/>
                <w:sz w:val="20"/>
              </w:rPr>
              <w:t xml:space="preserve">                                            v tom: ze SR</w:t>
            </w:r>
          </w:p>
          <w:p w14:paraId="77A18952" w14:textId="77777777" w:rsidR="00961AEB" w:rsidRDefault="00961AEB" w:rsidP="00413CE9">
            <w:pPr>
              <w:rPr>
                <w:i/>
                <w:sz w:val="20"/>
              </w:rPr>
            </w:pPr>
            <w:r w:rsidRPr="004C2D04">
              <w:rPr>
                <w:i/>
                <w:sz w:val="20"/>
              </w:rPr>
              <w:t xml:space="preserve">                                     </w:t>
            </w:r>
            <w:r>
              <w:rPr>
                <w:i/>
                <w:sz w:val="20"/>
              </w:rPr>
              <w:t xml:space="preserve">                  z rozpočtu EU</w:t>
            </w:r>
            <w:r w:rsidRPr="004C2D04">
              <w:rPr>
                <w:i/>
                <w:sz w:val="20"/>
              </w:rPr>
              <w:t xml:space="preserve">  </w:t>
            </w:r>
          </w:p>
          <w:p w14:paraId="0B1DFA8A" w14:textId="77777777" w:rsidR="00961AEB" w:rsidRDefault="00961AEB" w:rsidP="00413CE9">
            <w:pPr>
              <w:rPr>
                <w:i/>
                <w:sz w:val="20"/>
              </w:rPr>
            </w:pPr>
            <w:r>
              <w:rPr>
                <w:i/>
                <w:sz w:val="20"/>
              </w:rPr>
              <w:t xml:space="preserve">        BAR-rezerva na vyrovnání se s důsledky   </w:t>
            </w:r>
          </w:p>
          <w:p w14:paraId="18213B67" w14:textId="77777777" w:rsidR="00961AEB" w:rsidRPr="004C2D04" w:rsidRDefault="00961AEB" w:rsidP="00413CE9">
            <w:pPr>
              <w:rPr>
                <w:i/>
                <w:sz w:val="20"/>
              </w:rPr>
            </w:pPr>
            <w:r>
              <w:rPr>
                <w:i/>
                <w:sz w:val="20"/>
              </w:rPr>
              <w:t xml:space="preserve">       </w:t>
            </w:r>
            <w:proofErr w:type="spellStart"/>
            <w:r>
              <w:rPr>
                <w:i/>
                <w:sz w:val="20"/>
              </w:rPr>
              <w:t>Brexitu</w:t>
            </w:r>
            <w:proofErr w:type="spellEnd"/>
          </w:p>
          <w:p w14:paraId="4DF0ABE5" w14:textId="77777777" w:rsidR="00961AEB" w:rsidRPr="004C2D04" w:rsidRDefault="00961AEB" w:rsidP="00413CE9">
            <w:pPr>
              <w:rPr>
                <w:i/>
                <w:sz w:val="20"/>
              </w:rPr>
            </w:pPr>
            <w:r w:rsidRPr="004C2D04">
              <w:rPr>
                <w:i/>
                <w:sz w:val="20"/>
              </w:rPr>
              <w:t xml:space="preserve">                                            v tom: ze SR</w:t>
            </w:r>
          </w:p>
          <w:p w14:paraId="24FF42FD" w14:textId="77777777" w:rsidR="00961AEB" w:rsidRDefault="00961AEB" w:rsidP="00413CE9">
            <w:pPr>
              <w:rPr>
                <w:i/>
                <w:sz w:val="20"/>
              </w:rPr>
            </w:pPr>
            <w:r w:rsidRPr="004C2D04">
              <w:rPr>
                <w:i/>
                <w:sz w:val="20"/>
              </w:rPr>
              <w:t xml:space="preserve">                                     </w:t>
            </w:r>
            <w:r>
              <w:rPr>
                <w:i/>
                <w:sz w:val="20"/>
              </w:rPr>
              <w:t xml:space="preserve">                  z rozpočtu EU</w:t>
            </w:r>
            <w:r w:rsidRPr="004C2D04">
              <w:rPr>
                <w:i/>
                <w:sz w:val="20"/>
              </w:rPr>
              <w:t xml:space="preserve"> </w:t>
            </w:r>
          </w:p>
          <w:p w14:paraId="6FB9B2BB" w14:textId="77777777" w:rsidR="00961AEB" w:rsidRPr="004C2D04" w:rsidRDefault="00961AEB" w:rsidP="00413CE9">
            <w:pPr>
              <w:rPr>
                <w:i/>
                <w:sz w:val="20"/>
              </w:rPr>
            </w:pPr>
            <w:r>
              <w:rPr>
                <w:i/>
                <w:sz w:val="20"/>
              </w:rPr>
              <w:t xml:space="preserve">          Kosmický program Unie</w:t>
            </w:r>
          </w:p>
          <w:p w14:paraId="420AB36F" w14:textId="77777777" w:rsidR="00961AEB" w:rsidRPr="004C2D04" w:rsidRDefault="00961AEB" w:rsidP="00413CE9">
            <w:pPr>
              <w:rPr>
                <w:i/>
                <w:sz w:val="20"/>
              </w:rPr>
            </w:pPr>
            <w:r w:rsidRPr="004C2D04">
              <w:rPr>
                <w:i/>
                <w:sz w:val="20"/>
              </w:rPr>
              <w:t xml:space="preserve">                                            v tom: ze SR</w:t>
            </w:r>
          </w:p>
          <w:p w14:paraId="2F927AC6" w14:textId="77777777" w:rsidR="00961AEB" w:rsidRPr="004C2D04" w:rsidRDefault="00961AEB" w:rsidP="00413CE9">
            <w:pPr>
              <w:rPr>
                <w:i/>
                <w:sz w:val="20"/>
              </w:rPr>
            </w:pPr>
            <w:r w:rsidRPr="004C2D04">
              <w:rPr>
                <w:i/>
                <w:sz w:val="20"/>
              </w:rPr>
              <w:t xml:space="preserve">                                     </w:t>
            </w:r>
            <w:r>
              <w:rPr>
                <w:i/>
                <w:sz w:val="20"/>
              </w:rPr>
              <w:t xml:space="preserve">                  z rozpočtu EU</w:t>
            </w:r>
            <w:r w:rsidRPr="004C2D04">
              <w:rPr>
                <w:i/>
                <w:sz w:val="20"/>
              </w:rPr>
              <w:t xml:space="preserve">                                                                                                                                                                                                                                                                                                                                                                                                                                                                                                                                                                                                                                                                                                                                                                                                                                                                                                                                                                                                                                                                                                                                                                                                                                                                                                                                                                                                                                                                                                                                                                                                                                                                                                                                                                                                                                                                                                                                                                                                                                                                                                                                                                                                                                                                                                                                                                                                                                                                                                                                                                                                                                                                                                                                                                                                                                                                                                                                                                                                                                                                                                                                                                                                                                                                                                                                                                                                                                                                                                                                                                                                                                                                                                                                                                                                                                                                                                                                                                                                                                                                                                                                                                                                                                                                                                                                                                                                                                                                                                                                                                                                                                                                                                                                                                                                                                                                                                                                                                                                                                                                                                                                                                                                                                                                                                                                                                                                                                                                                                                                                                                                                                                                                                                                                                                                                                                                                                                                                                                                                                                                                                                                                                                                                                                                                                                                                                                                                                                                                                                                                                                                                                                                                                                                                                                                                                                                                                                                                                                                                                                                                                                                                                                                                                                                                                                                                                                                                                                                                                                                                                                                                                                                                                                                                                                                                                                                                                                                                                                                                                                                                                                                                                                                                                                                                                                                                                                                                                                                                                                                                                                                                                                                                                                                                                                                                                                                                                                                                                                                                                                                                                                                                                                                                                                                                                                                                                                                                                                                                                                                                                                                                                                                                                                                                                                                                                                                                                                                                                                                                                                                                                                                                                                                                                                                                                                                                                                                                                                                                                                                                                                                                                                                                                                                                                                                                                                                                                                                                                                                                                                                                                                                                                                                                                                                                                                                                                                                                                                                                                                                                                                                                                                                                                                                                                                                                                                                                                                                                                                                                                                                                                                                                                                                                                                                                                                                                                                                                                                                                                                                                                                                                                                                                                                                                                                                                                                                                                                                                                                                                                                                                                                                                                                                                                                                                                                                                                                                                                                                                                                                                                                                                                                                                                                                                                                                                                                                                                                                                                                                                                                                                                                                                                                                                                                                                                                                                                                                                                                                                                                                                                                                                                                                                                                                                                                                                                                                                                                                                                                                                                                                                                                                                                                                                                                                                                                                                                                                                                                                                                                                                                                                                                                                                                                                                                                                                                                                                                                                                                                                                                                                                                                                                                                                                                                                                                                                                                                                                                                                                                                                                                                                                                                                                                                                                                                                                                                                                                                                              </w:t>
            </w:r>
          </w:p>
        </w:tc>
        <w:tc>
          <w:tcPr>
            <w:tcW w:w="783" w:type="pct"/>
            <w:tcBorders>
              <w:bottom w:val="single" w:sz="4" w:space="0" w:color="7F7F7F" w:themeColor="text1" w:themeTint="80"/>
            </w:tcBorders>
            <w:shd w:val="clear" w:color="auto" w:fill="auto"/>
          </w:tcPr>
          <w:p w14:paraId="217CC26B" w14:textId="77777777" w:rsidR="00961AEB" w:rsidRPr="004649BF" w:rsidRDefault="00961AEB" w:rsidP="00413CE9">
            <w:pPr>
              <w:jc w:val="right"/>
              <w:rPr>
                <w:sz w:val="20"/>
              </w:rPr>
            </w:pPr>
            <w:r w:rsidRPr="004649BF">
              <w:rPr>
                <w:sz w:val="20"/>
              </w:rPr>
              <w:t>5 903</w:t>
            </w:r>
          </w:p>
          <w:p w14:paraId="4A3B3719" w14:textId="77777777" w:rsidR="00961AEB" w:rsidRPr="004760E8" w:rsidRDefault="00961AEB" w:rsidP="00413CE9">
            <w:pPr>
              <w:jc w:val="right"/>
              <w:rPr>
                <w:i/>
                <w:color w:val="FF0000"/>
                <w:sz w:val="20"/>
              </w:rPr>
            </w:pPr>
          </w:p>
          <w:p w14:paraId="5CBD84B6" w14:textId="77777777" w:rsidR="00961AEB" w:rsidRPr="004649BF" w:rsidRDefault="00961AEB" w:rsidP="00413CE9">
            <w:pPr>
              <w:jc w:val="right"/>
              <w:rPr>
                <w:i/>
                <w:sz w:val="20"/>
              </w:rPr>
            </w:pPr>
            <w:r w:rsidRPr="004649BF">
              <w:rPr>
                <w:i/>
                <w:sz w:val="20"/>
              </w:rPr>
              <w:t>1 146</w:t>
            </w:r>
          </w:p>
          <w:p w14:paraId="6D9910A8" w14:textId="77777777" w:rsidR="00961AEB" w:rsidRPr="0051136F" w:rsidRDefault="00961AEB" w:rsidP="00413CE9">
            <w:pPr>
              <w:jc w:val="right"/>
              <w:rPr>
                <w:i/>
                <w:sz w:val="20"/>
                <w:szCs w:val="20"/>
              </w:rPr>
            </w:pPr>
            <w:r w:rsidRPr="0051136F">
              <w:rPr>
                <w:i/>
                <w:sz w:val="20"/>
                <w:szCs w:val="20"/>
              </w:rPr>
              <w:t>10</w:t>
            </w:r>
          </w:p>
          <w:p w14:paraId="2420F55E" w14:textId="77777777" w:rsidR="00961AEB" w:rsidRPr="0051136F" w:rsidRDefault="00961AEB" w:rsidP="00413CE9">
            <w:pPr>
              <w:jc w:val="right"/>
              <w:rPr>
                <w:i/>
                <w:sz w:val="20"/>
                <w:szCs w:val="20"/>
              </w:rPr>
            </w:pPr>
            <w:r w:rsidRPr="0051136F">
              <w:rPr>
                <w:i/>
                <w:sz w:val="20"/>
                <w:szCs w:val="20"/>
              </w:rPr>
              <w:t>5</w:t>
            </w:r>
          </w:p>
          <w:p w14:paraId="1F71E633" w14:textId="77777777" w:rsidR="00961AEB" w:rsidRPr="0051136F" w:rsidRDefault="00961AEB" w:rsidP="00413CE9">
            <w:pPr>
              <w:jc w:val="right"/>
              <w:rPr>
                <w:i/>
                <w:sz w:val="20"/>
                <w:szCs w:val="20"/>
              </w:rPr>
            </w:pPr>
            <w:r w:rsidRPr="0051136F">
              <w:rPr>
                <w:i/>
                <w:sz w:val="20"/>
                <w:szCs w:val="20"/>
              </w:rPr>
              <w:t>5</w:t>
            </w:r>
          </w:p>
          <w:p w14:paraId="6F98FE34" w14:textId="77777777" w:rsidR="00961AEB" w:rsidRPr="00EB0B5D" w:rsidRDefault="00961AEB" w:rsidP="00413CE9">
            <w:pPr>
              <w:jc w:val="right"/>
              <w:rPr>
                <w:i/>
                <w:sz w:val="20"/>
                <w:szCs w:val="20"/>
              </w:rPr>
            </w:pPr>
            <w:r w:rsidRPr="00EB0B5D">
              <w:rPr>
                <w:i/>
                <w:sz w:val="20"/>
                <w:szCs w:val="20"/>
              </w:rPr>
              <w:t>1 065</w:t>
            </w:r>
          </w:p>
          <w:p w14:paraId="5B5CFC43" w14:textId="77777777" w:rsidR="00961AEB" w:rsidRPr="00EB0B5D" w:rsidRDefault="00961AEB" w:rsidP="00413CE9">
            <w:pPr>
              <w:jc w:val="right"/>
              <w:rPr>
                <w:i/>
                <w:sz w:val="20"/>
                <w:szCs w:val="20"/>
              </w:rPr>
            </w:pPr>
            <w:r w:rsidRPr="00EB0B5D">
              <w:rPr>
                <w:i/>
                <w:sz w:val="20"/>
                <w:szCs w:val="20"/>
              </w:rPr>
              <w:t>160</w:t>
            </w:r>
          </w:p>
          <w:p w14:paraId="19467B6C" w14:textId="77777777" w:rsidR="00961AEB" w:rsidRPr="00EB0B5D" w:rsidRDefault="00961AEB" w:rsidP="00413CE9">
            <w:pPr>
              <w:jc w:val="right"/>
              <w:rPr>
                <w:i/>
                <w:sz w:val="20"/>
                <w:szCs w:val="20"/>
              </w:rPr>
            </w:pPr>
            <w:r w:rsidRPr="00EB0B5D">
              <w:rPr>
                <w:i/>
                <w:sz w:val="20"/>
                <w:szCs w:val="20"/>
              </w:rPr>
              <w:t xml:space="preserve">905                 </w:t>
            </w:r>
          </w:p>
          <w:p w14:paraId="3FF992FC" w14:textId="77777777" w:rsidR="00961AEB" w:rsidRPr="00B216B5" w:rsidRDefault="00961AEB" w:rsidP="00413CE9">
            <w:pPr>
              <w:jc w:val="right"/>
              <w:rPr>
                <w:i/>
                <w:sz w:val="20"/>
                <w:szCs w:val="20"/>
              </w:rPr>
            </w:pPr>
            <w:r w:rsidRPr="00B216B5">
              <w:rPr>
                <w:i/>
                <w:sz w:val="20"/>
                <w:szCs w:val="20"/>
              </w:rPr>
              <w:t>72</w:t>
            </w:r>
          </w:p>
          <w:p w14:paraId="6488A297" w14:textId="77777777" w:rsidR="00961AEB" w:rsidRPr="00B216B5" w:rsidRDefault="00961AEB" w:rsidP="00413CE9">
            <w:pPr>
              <w:jc w:val="right"/>
              <w:rPr>
                <w:i/>
                <w:sz w:val="20"/>
                <w:szCs w:val="20"/>
              </w:rPr>
            </w:pPr>
            <w:r w:rsidRPr="00B216B5">
              <w:rPr>
                <w:i/>
                <w:sz w:val="20"/>
                <w:szCs w:val="20"/>
              </w:rPr>
              <w:t>11</w:t>
            </w:r>
          </w:p>
          <w:p w14:paraId="68D25AE9" w14:textId="77777777" w:rsidR="00961AEB" w:rsidRPr="00B216B5" w:rsidRDefault="00961AEB" w:rsidP="00413CE9">
            <w:pPr>
              <w:jc w:val="right"/>
              <w:rPr>
                <w:i/>
                <w:sz w:val="20"/>
                <w:szCs w:val="20"/>
              </w:rPr>
            </w:pPr>
            <w:r w:rsidRPr="00B216B5">
              <w:rPr>
                <w:i/>
                <w:sz w:val="20"/>
                <w:szCs w:val="20"/>
              </w:rPr>
              <w:t>60</w:t>
            </w:r>
          </w:p>
          <w:p w14:paraId="68F6979A" w14:textId="77777777" w:rsidR="00961AEB" w:rsidRPr="00B216B5" w:rsidRDefault="00961AEB" w:rsidP="00413CE9">
            <w:pPr>
              <w:jc w:val="right"/>
              <w:rPr>
                <w:i/>
                <w:sz w:val="20"/>
                <w:szCs w:val="20"/>
              </w:rPr>
            </w:pPr>
            <w:r w:rsidRPr="00B216B5">
              <w:rPr>
                <w:i/>
                <w:sz w:val="20"/>
                <w:szCs w:val="20"/>
              </w:rPr>
              <w:t>0</w:t>
            </w:r>
          </w:p>
          <w:p w14:paraId="5722CB8E" w14:textId="77777777" w:rsidR="00961AEB" w:rsidRPr="00B216B5" w:rsidRDefault="00961AEB" w:rsidP="00413CE9">
            <w:pPr>
              <w:jc w:val="right"/>
              <w:rPr>
                <w:i/>
                <w:sz w:val="20"/>
                <w:szCs w:val="20"/>
              </w:rPr>
            </w:pPr>
            <w:r w:rsidRPr="00B216B5">
              <w:rPr>
                <w:i/>
                <w:sz w:val="20"/>
                <w:szCs w:val="20"/>
              </w:rPr>
              <w:t>0</w:t>
            </w:r>
          </w:p>
          <w:p w14:paraId="6CE7F3E7" w14:textId="77777777" w:rsidR="00961AEB" w:rsidRPr="00B216B5" w:rsidRDefault="00961AEB" w:rsidP="00413CE9">
            <w:pPr>
              <w:jc w:val="right"/>
              <w:rPr>
                <w:i/>
                <w:sz w:val="20"/>
                <w:szCs w:val="20"/>
              </w:rPr>
            </w:pPr>
            <w:r w:rsidRPr="00B216B5">
              <w:rPr>
                <w:i/>
                <w:sz w:val="20"/>
                <w:szCs w:val="20"/>
              </w:rPr>
              <w:t>0</w:t>
            </w:r>
          </w:p>
          <w:p w14:paraId="1984E5A6" w14:textId="77777777" w:rsidR="00961AEB" w:rsidRPr="00B216B5" w:rsidRDefault="00961AEB" w:rsidP="00413CE9">
            <w:pPr>
              <w:jc w:val="right"/>
              <w:rPr>
                <w:i/>
                <w:sz w:val="20"/>
                <w:szCs w:val="20"/>
              </w:rPr>
            </w:pPr>
            <w:r w:rsidRPr="00B216B5">
              <w:rPr>
                <w:i/>
                <w:sz w:val="20"/>
                <w:szCs w:val="20"/>
              </w:rPr>
              <w:t>0</w:t>
            </w:r>
          </w:p>
          <w:p w14:paraId="1A6AC72E" w14:textId="77777777" w:rsidR="00961AEB" w:rsidRPr="00B216B5" w:rsidRDefault="00961AEB" w:rsidP="00413CE9">
            <w:pPr>
              <w:jc w:val="right"/>
              <w:rPr>
                <w:i/>
                <w:sz w:val="20"/>
                <w:szCs w:val="20"/>
              </w:rPr>
            </w:pPr>
            <w:r w:rsidRPr="00B216B5">
              <w:rPr>
                <w:i/>
                <w:sz w:val="20"/>
                <w:szCs w:val="20"/>
              </w:rPr>
              <w:t>0</w:t>
            </w:r>
          </w:p>
          <w:p w14:paraId="0D67FA31" w14:textId="77777777" w:rsidR="00961AEB" w:rsidRDefault="00961AEB" w:rsidP="00413CE9">
            <w:pPr>
              <w:jc w:val="right"/>
              <w:rPr>
                <w:i/>
                <w:sz w:val="20"/>
                <w:szCs w:val="20"/>
              </w:rPr>
            </w:pPr>
            <w:r w:rsidRPr="00B216B5">
              <w:rPr>
                <w:i/>
                <w:sz w:val="20"/>
                <w:szCs w:val="20"/>
              </w:rPr>
              <w:t>0</w:t>
            </w:r>
          </w:p>
          <w:p w14:paraId="68F5F267" w14:textId="77777777" w:rsidR="00961AEB" w:rsidRDefault="00961AEB" w:rsidP="00413CE9">
            <w:pPr>
              <w:jc w:val="right"/>
              <w:rPr>
                <w:i/>
                <w:sz w:val="20"/>
                <w:szCs w:val="20"/>
              </w:rPr>
            </w:pPr>
            <w:r>
              <w:rPr>
                <w:i/>
                <w:sz w:val="20"/>
                <w:szCs w:val="20"/>
              </w:rPr>
              <w:t>0</w:t>
            </w:r>
          </w:p>
          <w:p w14:paraId="3E6159FF" w14:textId="77777777" w:rsidR="00961AEB" w:rsidRDefault="00961AEB" w:rsidP="00413CE9">
            <w:pPr>
              <w:jc w:val="right"/>
              <w:rPr>
                <w:i/>
                <w:sz w:val="20"/>
                <w:szCs w:val="20"/>
              </w:rPr>
            </w:pPr>
            <w:r>
              <w:rPr>
                <w:i/>
                <w:sz w:val="20"/>
                <w:szCs w:val="20"/>
              </w:rPr>
              <w:t>0</w:t>
            </w:r>
          </w:p>
          <w:p w14:paraId="37C659CA" w14:textId="77777777" w:rsidR="00961AEB" w:rsidRDefault="00961AEB" w:rsidP="00413CE9">
            <w:pPr>
              <w:jc w:val="right"/>
              <w:rPr>
                <w:i/>
                <w:sz w:val="20"/>
                <w:szCs w:val="20"/>
              </w:rPr>
            </w:pPr>
            <w:r>
              <w:rPr>
                <w:i/>
                <w:sz w:val="20"/>
                <w:szCs w:val="20"/>
              </w:rPr>
              <w:t>0</w:t>
            </w:r>
          </w:p>
          <w:p w14:paraId="4F6F5F2B" w14:textId="77777777" w:rsidR="00961AEB" w:rsidRDefault="00961AEB" w:rsidP="00413CE9">
            <w:pPr>
              <w:jc w:val="center"/>
              <w:rPr>
                <w:i/>
                <w:sz w:val="20"/>
                <w:szCs w:val="20"/>
              </w:rPr>
            </w:pPr>
          </w:p>
          <w:p w14:paraId="7EA2C4B7" w14:textId="77777777" w:rsidR="00961AEB" w:rsidRDefault="00961AEB" w:rsidP="00413CE9">
            <w:pPr>
              <w:jc w:val="right"/>
              <w:rPr>
                <w:i/>
                <w:sz w:val="20"/>
                <w:szCs w:val="20"/>
              </w:rPr>
            </w:pPr>
            <w:r>
              <w:rPr>
                <w:i/>
                <w:sz w:val="20"/>
                <w:szCs w:val="20"/>
              </w:rPr>
              <w:t>0</w:t>
            </w:r>
          </w:p>
          <w:p w14:paraId="4561A75A" w14:textId="77777777" w:rsidR="00961AEB" w:rsidRDefault="00961AEB" w:rsidP="00413CE9">
            <w:pPr>
              <w:jc w:val="right"/>
              <w:rPr>
                <w:i/>
                <w:sz w:val="20"/>
                <w:szCs w:val="20"/>
              </w:rPr>
            </w:pPr>
            <w:r>
              <w:rPr>
                <w:i/>
                <w:sz w:val="20"/>
                <w:szCs w:val="20"/>
              </w:rPr>
              <w:t>0</w:t>
            </w:r>
          </w:p>
          <w:p w14:paraId="4E5DFFBC" w14:textId="77777777" w:rsidR="00961AEB" w:rsidRDefault="00961AEB" w:rsidP="00413CE9">
            <w:pPr>
              <w:jc w:val="right"/>
              <w:rPr>
                <w:i/>
                <w:sz w:val="20"/>
                <w:szCs w:val="20"/>
              </w:rPr>
            </w:pPr>
            <w:r>
              <w:rPr>
                <w:i/>
                <w:sz w:val="20"/>
                <w:szCs w:val="20"/>
              </w:rPr>
              <w:t>0</w:t>
            </w:r>
          </w:p>
          <w:p w14:paraId="0728B98D" w14:textId="77777777" w:rsidR="00961AEB" w:rsidRDefault="00961AEB" w:rsidP="00413CE9">
            <w:pPr>
              <w:jc w:val="right"/>
              <w:rPr>
                <w:i/>
                <w:sz w:val="20"/>
                <w:szCs w:val="20"/>
              </w:rPr>
            </w:pPr>
            <w:r>
              <w:rPr>
                <w:i/>
                <w:sz w:val="20"/>
                <w:szCs w:val="20"/>
              </w:rPr>
              <w:t>0</w:t>
            </w:r>
          </w:p>
          <w:p w14:paraId="4062F911" w14:textId="77777777" w:rsidR="00961AEB" w:rsidRDefault="00961AEB" w:rsidP="00413CE9">
            <w:pPr>
              <w:jc w:val="right"/>
              <w:rPr>
                <w:i/>
                <w:sz w:val="20"/>
                <w:szCs w:val="20"/>
              </w:rPr>
            </w:pPr>
            <w:r>
              <w:rPr>
                <w:i/>
                <w:sz w:val="20"/>
                <w:szCs w:val="20"/>
              </w:rPr>
              <w:t>0</w:t>
            </w:r>
          </w:p>
          <w:p w14:paraId="2FF9C669" w14:textId="77777777" w:rsidR="00961AEB" w:rsidRPr="004760E8" w:rsidRDefault="00961AEB" w:rsidP="00413CE9">
            <w:pPr>
              <w:jc w:val="right"/>
              <w:rPr>
                <w:i/>
                <w:color w:val="FF0000"/>
                <w:sz w:val="20"/>
              </w:rPr>
            </w:pPr>
            <w:r>
              <w:rPr>
                <w:i/>
                <w:sz w:val="20"/>
                <w:szCs w:val="20"/>
              </w:rPr>
              <w:t>0</w:t>
            </w:r>
            <w:r w:rsidRPr="00B216B5">
              <w:rPr>
                <w:i/>
                <w:sz w:val="20"/>
                <w:szCs w:val="20"/>
              </w:rPr>
              <w:t xml:space="preserve">  </w:t>
            </w:r>
            <w:r w:rsidRPr="00B216B5">
              <w:rPr>
                <w:i/>
                <w:sz w:val="20"/>
              </w:rPr>
              <w:t xml:space="preserve"> </w:t>
            </w:r>
          </w:p>
        </w:tc>
        <w:tc>
          <w:tcPr>
            <w:tcW w:w="705" w:type="pct"/>
            <w:tcBorders>
              <w:bottom w:val="single" w:sz="4" w:space="0" w:color="7F7F7F" w:themeColor="text1" w:themeTint="80"/>
            </w:tcBorders>
            <w:shd w:val="clear" w:color="auto" w:fill="auto"/>
          </w:tcPr>
          <w:p w14:paraId="1C3D7DB1" w14:textId="77777777" w:rsidR="00961AEB" w:rsidRPr="00C91345" w:rsidRDefault="00961AEB" w:rsidP="00413CE9">
            <w:pPr>
              <w:jc w:val="right"/>
              <w:rPr>
                <w:sz w:val="20"/>
              </w:rPr>
            </w:pPr>
            <w:r w:rsidRPr="00C91345">
              <w:rPr>
                <w:sz w:val="20"/>
              </w:rPr>
              <w:t>6 037</w:t>
            </w:r>
          </w:p>
          <w:p w14:paraId="7E0BB714" w14:textId="77777777" w:rsidR="00961AEB" w:rsidRPr="00C91345" w:rsidRDefault="00961AEB" w:rsidP="00413CE9">
            <w:pPr>
              <w:jc w:val="right"/>
              <w:rPr>
                <w:i/>
                <w:sz w:val="20"/>
              </w:rPr>
            </w:pPr>
          </w:p>
          <w:p w14:paraId="227B7AEB" w14:textId="77777777" w:rsidR="00961AEB" w:rsidRPr="00C91345" w:rsidRDefault="00961AEB" w:rsidP="00413CE9">
            <w:pPr>
              <w:jc w:val="right"/>
              <w:rPr>
                <w:i/>
                <w:sz w:val="20"/>
              </w:rPr>
            </w:pPr>
            <w:r w:rsidRPr="00C91345">
              <w:rPr>
                <w:i/>
                <w:sz w:val="20"/>
              </w:rPr>
              <w:t xml:space="preserve">      1 167</w:t>
            </w:r>
          </w:p>
          <w:p w14:paraId="76275E90" w14:textId="77777777" w:rsidR="00961AEB" w:rsidRPr="00C91345" w:rsidRDefault="00961AEB" w:rsidP="00413CE9">
            <w:pPr>
              <w:jc w:val="right"/>
              <w:rPr>
                <w:i/>
                <w:sz w:val="20"/>
              </w:rPr>
            </w:pPr>
            <w:r w:rsidRPr="00C91345">
              <w:rPr>
                <w:i/>
                <w:sz w:val="20"/>
              </w:rPr>
              <w:t>0</w:t>
            </w:r>
          </w:p>
          <w:p w14:paraId="5F63A84E" w14:textId="77777777" w:rsidR="00961AEB" w:rsidRPr="00C91345" w:rsidRDefault="00961AEB" w:rsidP="00413CE9">
            <w:pPr>
              <w:jc w:val="right"/>
              <w:rPr>
                <w:i/>
                <w:sz w:val="20"/>
              </w:rPr>
            </w:pPr>
            <w:r w:rsidRPr="00C91345">
              <w:rPr>
                <w:i/>
                <w:sz w:val="20"/>
              </w:rPr>
              <w:t>0</w:t>
            </w:r>
          </w:p>
          <w:p w14:paraId="0D3CAB0E" w14:textId="77777777" w:rsidR="00961AEB" w:rsidRPr="00C91345" w:rsidRDefault="00961AEB" w:rsidP="00413CE9">
            <w:pPr>
              <w:jc w:val="right"/>
              <w:rPr>
                <w:i/>
                <w:sz w:val="20"/>
              </w:rPr>
            </w:pPr>
            <w:r w:rsidRPr="00C91345">
              <w:rPr>
                <w:i/>
                <w:sz w:val="20"/>
              </w:rPr>
              <w:t>0</w:t>
            </w:r>
          </w:p>
          <w:p w14:paraId="6B7AEF15" w14:textId="77777777" w:rsidR="00961AEB" w:rsidRPr="00C91345" w:rsidRDefault="00961AEB" w:rsidP="00413CE9">
            <w:pPr>
              <w:jc w:val="right"/>
              <w:rPr>
                <w:i/>
                <w:sz w:val="20"/>
              </w:rPr>
            </w:pPr>
            <w:r w:rsidRPr="00C91345">
              <w:rPr>
                <w:i/>
                <w:sz w:val="20"/>
              </w:rPr>
              <w:t>1 095</w:t>
            </w:r>
          </w:p>
          <w:p w14:paraId="6632DEE7" w14:textId="77777777" w:rsidR="00961AEB" w:rsidRPr="00C91345" w:rsidRDefault="00961AEB" w:rsidP="00413CE9">
            <w:pPr>
              <w:jc w:val="right"/>
              <w:rPr>
                <w:i/>
                <w:sz w:val="20"/>
              </w:rPr>
            </w:pPr>
            <w:r w:rsidRPr="00C91345">
              <w:rPr>
                <w:i/>
                <w:sz w:val="20"/>
              </w:rPr>
              <w:t>164</w:t>
            </w:r>
          </w:p>
          <w:p w14:paraId="489E41DF" w14:textId="77777777" w:rsidR="00961AEB" w:rsidRPr="00C91345" w:rsidRDefault="00961AEB" w:rsidP="00413CE9">
            <w:pPr>
              <w:jc w:val="right"/>
              <w:rPr>
                <w:i/>
                <w:sz w:val="20"/>
              </w:rPr>
            </w:pPr>
            <w:r w:rsidRPr="00C91345">
              <w:rPr>
                <w:i/>
                <w:sz w:val="20"/>
              </w:rPr>
              <w:t>930</w:t>
            </w:r>
          </w:p>
          <w:p w14:paraId="7A51EECF" w14:textId="77777777" w:rsidR="00961AEB" w:rsidRPr="00C91345" w:rsidRDefault="00961AEB" w:rsidP="00413CE9">
            <w:pPr>
              <w:jc w:val="right"/>
              <w:rPr>
                <w:i/>
                <w:sz w:val="20"/>
              </w:rPr>
            </w:pPr>
            <w:r w:rsidRPr="00C91345">
              <w:rPr>
                <w:i/>
                <w:sz w:val="20"/>
              </w:rPr>
              <w:t>12</w:t>
            </w:r>
          </w:p>
          <w:p w14:paraId="3443837F" w14:textId="77777777" w:rsidR="00961AEB" w:rsidRPr="00C91345" w:rsidRDefault="00961AEB" w:rsidP="00413CE9">
            <w:pPr>
              <w:jc w:val="right"/>
              <w:rPr>
                <w:i/>
                <w:sz w:val="20"/>
              </w:rPr>
            </w:pPr>
            <w:r w:rsidRPr="00C91345">
              <w:rPr>
                <w:i/>
                <w:sz w:val="20"/>
              </w:rPr>
              <w:t>6</w:t>
            </w:r>
          </w:p>
          <w:p w14:paraId="1D186233" w14:textId="77777777" w:rsidR="00961AEB" w:rsidRPr="00C91345" w:rsidRDefault="00961AEB" w:rsidP="00413CE9">
            <w:pPr>
              <w:jc w:val="right"/>
              <w:rPr>
                <w:i/>
                <w:sz w:val="20"/>
              </w:rPr>
            </w:pPr>
            <w:r w:rsidRPr="00C91345">
              <w:rPr>
                <w:i/>
                <w:sz w:val="20"/>
              </w:rPr>
              <w:t>6</w:t>
            </w:r>
          </w:p>
          <w:p w14:paraId="4B7C07CF" w14:textId="77777777" w:rsidR="00961AEB" w:rsidRPr="00C91345" w:rsidRDefault="00961AEB" w:rsidP="00413CE9">
            <w:pPr>
              <w:jc w:val="right"/>
              <w:rPr>
                <w:i/>
                <w:sz w:val="20"/>
              </w:rPr>
            </w:pPr>
            <w:r w:rsidRPr="00C91345">
              <w:rPr>
                <w:i/>
                <w:sz w:val="20"/>
              </w:rPr>
              <w:t>2</w:t>
            </w:r>
          </w:p>
          <w:p w14:paraId="70445C66" w14:textId="77777777" w:rsidR="00961AEB" w:rsidRPr="00C91345" w:rsidRDefault="00961AEB" w:rsidP="00413CE9">
            <w:pPr>
              <w:jc w:val="right"/>
              <w:rPr>
                <w:i/>
                <w:sz w:val="20"/>
              </w:rPr>
            </w:pPr>
            <w:r w:rsidRPr="00C91345">
              <w:rPr>
                <w:i/>
                <w:sz w:val="20"/>
              </w:rPr>
              <w:t>0</w:t>
            </w:r>
          </w:p>
          <w:p w14:paraId="0999AAD8" w14:textId="77777777" w:rsidR="00961AEB" w:rsidRPr="00C91345" w:rsidRDefault="00961AEB" w:rsidP="00413CE9">
            <w:pPr>
              <w:jc w:val="right"/>
              <w:rPr>
                <w:i/>
                <w:sz w:val="20"/>
              </w:rPr>
            </w:pPr>
            <w:r w:rsidRPr="00C91345">
              <w:rPr>
                <w:i/>
                <w:sz w:val="20"/>
              </w:rPr>
              <w:t>2</w:t>
            </w:r>
          </w:p>
          <w:p w14:paraId="673BE89F" w14:textId="77777777" w:rsidR="00961AEB" w:rsidRPr="00C91345" w:rsidRDefault="00961AEB" w:rsidP="00413CE9">
            <w:pPr>
              <w:jc w:val="right"/>
              <w:rPr>
                <w:i/>
                <w:sz w:val="20"/>
              </w:rPr>
            </w:pPr>
            <w:r w:rsidRPr="00C91345">
              <w:rPr>
                <w:i/>
                <w:sz w:val="20"/>
              </w:rPr>
              <w:t>58</w:t>
            </w:r>
          </w:p>
          <w:p w14:paraId="005818E5" w14:textId="77777777" w:rsidR="00961AEB" w:rsidRPr="00C91345" w:rsidRDefault="00961AEB" w:rsidP="00413CE9">
            <w:pPr>
              <w:jc w:val="right"/>
              <w:rPr>
                <w:i/>
                <w:sz w:val="20"/>
              </w:rPr>
            </w:pPr>
            <w:r w:rsidRPr="00C91345">
              <w:rPr>
                <w:i/>
                <w:sz w:val="20"/>
              </w:rPr>
              <w:t>0</w:t>
            </w:r>
          </w:p>
          <w:p w14:paraId="4EBFC9B4" w14:textId="77777777" w:rsidR="00961AEB" w:rsidRDefault="00961AEB" w:rsidP="00413CE9">
            <w:pPr>
              <w:jc w:val="right"/>
              <w:rPr>
                <w:i/>
                <w:sz w:val="20"/>
              </w:rPr>
            </w:pPr>
            <w:r w:rsidRPr="00C91345">
              <w:rPr>
                <w:i/>
                <w:sz w:val="20"/>
              </w:rPr>
              <w:t>58</w:t>
            </w:r>
          </w:p>
          <w:p w14:paraId="2EA9E74B" w14:textId="77777777" w:rsidR="00961AEB" w:rsidRDefault="00961AEB" w:rsidP="00413CE9">
            <w:pPr>
              <w:jc w:val="right"/>
              <w:rPr>
                <w:i/>
                <w:sz w:val="20"/>
              </w:rPr>
            </w:pPr>
            <w:r>
              <w:rPr>
                <w:i/>
                <w:sz w:val="20"/>
              </w:rPr>
              <w:t>0</w:t>
            </w:r>
          </w:p>
          <w:p w14:paraId="471AF57F" w14:textId="77777777" w:rsidR="00961AEB" w:rsidRDefault="00961AEB" w:rsidP="00413CE9">
            <w:pPr>
              <w:jc w:val="right"/>
              <w:rPr>
                <w:i/>
                <w:sz w:val="20"/>
              </w:rPr>
            </w:pPr>
            <w:r>
              <w:rPr>
                <w:i/>
                <w:sz w:val="20"/>
              </w:rPr>
              <w:t>0</w:t>
            </w:r>
          </w:p>
          <w:p w14:paraId="7048ED63" w14:textId="77777777" w:rsidR="00961AEB" w:rsidRDefault="00961AEB" w:rsidP="00413CE9">
            <w:pPr>
              <w:jc w:val="right"/>
              <w:rPr>
                <w:i/>
                <w:sz w:val="20"/>
              </w:rPr>
            </w:pPr>
            <w:r>
              <w:rPr>
                <w:i/>
                <w:sz w:val="20"/>
              </w:rPr>
              <w:t>0</w:t>
            </w:r>
          </w:p>
          <w:p w14:paraId="38C7F084" w14:textId="77777777" w:rsidR="00961AEB" w:rsidRDefault="00961AEB" w:rsidP="00413CE9">
            <w:pPr>
              <w:jc w:val="right"/>
              <w:rPr>
                <w:i/>
                <w:sz w:val="20"/>
              </w:rPr>
            </w:pPr>
          </w:p>
          <w:p w14:paraId="6962D40A" w14:textId="77777777" w:rsidR="00961AEB" w:rsidRDefault="00961AEB" w:rsidP="00413CE9">
            <w:pPr>
              <w:jc w:val="right"/>
              <w:rPr>
                <w:i/>
                <w:sz w:val="20"/>
              </w:rPr>
            </w:pPr>
            <w:r>
              <w:rPr>
                <w:i/>
                <w:sz w:val="20"/>
              </w:rPr>
              <w:t>0</w:t>
            </w:r>
          </w:p>
          <w:p w14:paraId="0F6D668B" w14:textId="77777777" w:rsidR="00961AEB" w:rsidRDefault="00961AEB" w:rsidP="00413CE9">
            <w:pPr>
              <w:jc w:val="right"/>
              <w:rPr>
                <w:i/>
                <w:sz w:val="20"/>
              </w:rPr>
            </w:pPr>
            <w:r>
              <w:rPr>
                <w:i/>
                <w:sz w:val="20"/>
              </w:rPr>
              <w:t>0</w:t>
            </w:r>
          </w:p>
          <w:p w14:paraId="73038CFA" w14:textId="77777777" w:rsidR="00961AEB" w:rsidRDefault="00961AEB" w:rsidP="00413CE9">
            <w:pPr>
              <w:jc w:val="right"/>
              <w:rPr>
                <w:i/>
                <w:sz w:val="20"/>
              </w:rPr>
            </w:pPr>
            <w:r>
              <w:rPr>
                <w:i/>
                <w:sz w:val="20"/>
              </w:rPr>
              <w:t>0</w:t>
            </w:r>
          </w:p>
          <w:p w14:paraId="6A4452A5" w14:textId="77777777" w:rsidR="00961AEB" w:rsidRDefault="00961AEB" w:rsidP="00413CE9">
            <w:pPr>
              <w:jc w:val="right"/>
              <w:rPr>
                <w:i/>
                <w:sz w:val="20"/>
              </w:rPr>
            </w:pPr>
            <w:r>
              <w:rPr>
                <w:i/>
                <w:sz w:val="20"/>
              </w:rPr>
              <w:t>0</w:t>
            </w:r>
          </w:p>
          <w:p w14:paraId="5A237FA6" w14:textId="77777777" w:rsidR="00961AEB" w:rsidRDefault="00961AEB" w:rsidP="00413CE9">
            <w:pPr>
              <w:jc w:val="right"/>
              <w:rPr>
                <w:i/>
                <w:sz w:val="20"/>
              </w:rPr>
            </w:pPr>
            <w:r>
              <w:rPr>
                <w:i/>
                <w:sz w:val="20"/>
              </w:rPr>
              <w:t>0</w:t>
            </w:r>
          </w:p>
          <w:p w14:paraId="1EE4D8E0" w14:textId="77777777" w:rsidR="00961AEB" w:rsidRPr="00C91345" w:rsidRDefault="00961AEB" w:rsidP="00413CE9">
            <w:pPr>
              <w:jc w:val="right"/>
              <w:rPr>
                <w:i/>
                <w:sz w:val="20"/>
              </w:rPr>
            </w:pPr>
            <w:r>
              <w:rPr>
                <w:i/>
                <w:sz w:val="20"/>
              </w:rPr>
              <w:t>0</w:t>
            </w:r>
          </w:p>
        </w:tc>
        <w:tc>
          <w:tcPr>
            <w:tcW w:w="667" w:type="pct"/>
            <w:tcBorders>
              <w:bottom w:val="single" w:sz="4" w:space="0" w:color="7F7F7F" w:themeColor="text1" w:themeTint="80"/>
            </w:tcBorders>
            <w:shd w:val="clear" w:color="auto" w:fill="auto"/>
          </w:tcPr>
          <w:p w14:paraId="4C60CD7C" w14:textId="3562C4F4" w:rsidR="00961AEB" w:rsidRPr="0088307E" w:rsidRDefault="008B3DA5" w:rsidP="00413CE9">
            <w:pPr>
              <w:jc w:val="right"/>
              <w:rPr>
                <w:sz w:val="20"/>
              </w:rPr>
            </w:pPr>
            <w:r>
              <w:rPr>
                <w:sz w:val="20"/>
              </w:rPr>
              <w:t>6 548</w:t>
            </w:r>
          </w:p>
          <w:p w14:paraId="38B7EC28" w14:textId="77777777" w:rsidR="00961AEB" w:rsidRPr="00CB1C42" w:rsidRDefault="00961AEB" w:rsidP="00413CE9">
            <w:pPr>
              <w:jc w:val="right"/>
              <w:rPr>
                <w:i/>
                <w:sz w:val="20"/>
              </w:rPr>
            </w:pPr>
          </w:p>
          <w:p w14:paraId="02EB99C5" w14:textId="77777777" w:rsidR="00961AEB" w:rsidRPr="0088307E" w:rsidRDefault="00961AEB" w:rsidP="00413CE9">
            <w:pPr>
              <w:jc w:val="right"/>
              <w:rPr>
                <w:i/>
                <w:sz w:val="20"/>
              </w:rPr>
            </w:pPr>
            <w:r w:rsidRPr="0088307E">
              <w:rPr>
                <w:i/>
                <w:sz w:val="20"/>
              </w:rPr>
              <w:t xml:space="preserve">      1 421</w:t>
            </w:r>
          </w:p>
          <w:p w14:paraId="2376C8E0" w14:textId="77777777" w:rsidR="00961AEB" w:rsidRPr="0088307E" w:rsidRDefault="00961AEB" w:rsidP="00413CE9">
            <w:pPr>
              <w:jc w:val="right"/>
              <w:rPr>
                <w:i/>
                <w:sz w:val="20"/>
              </w:rPr>
            </w:pPr>
            <w:r w:rsidRPr="0088307E">
              <w:rPr>
                <w:i/>
                <w:sz w:val="20"/>
              </w:rPr>
              <w:t>0</w:t>
            </w:r>
          </w:p>
          <w:p w14:paraId="1F04F699" w14:textId="77777777" w:rsidR="00961AEB" w:rsidRPr="0088307E" w:rsidRDefault="00961AEB" w:rsidP="00413CE9">
            <w:pPr>
              <w:jc w:val="right"/>
              <w:rPr>
                <w:i/>
                <w:sz w:val="20"/>
              </w:rPr>
            </w:pPr>
            <w:r w:rsidRPr="0088307E">
              <w:rPr>
                <w:i/>
                <w:sz w:val="20"/>
              </w:rPr>
              <w:t>0</w:t>
            </w:r>
          </w:p>
          <w:p w14:paraId="1C74FF0F" w14:textId="77777777" w:rsidR="00961AEB" w:rsidRPr="0088307E" w:rsidRDefault="00961AEB" w:rsidP="00413CE9">
            <w:pPr>
              <w:jc w:val="right"/>
              <w:rPr>
                <w:i/>
                <w:sz w:val="20"/>
              </w:rPr>
            </w:pPr>
            <w:r w:rsidRPr="0088307E">
              <w:rPr>
                <w:i/>
                <w:sz w:val="20"/>
              </w:rPr>
              <w:t>0</w:t>
            </w:r>
          </w:p>
          <w:p w14:paraId="4F69B41F" w14:textId="77777777" w:rsidR="00961AEB" w:rsidRPr="0088307E" w:rsidRDefault="00961AEB" w:rsidP="00413CE9">
            <w:pPr>
              <w:jc w:val="right"/>
              <w:rPr>
                <w:i/>
                <w:sz w:val="20"/>
              </w:rPr>
            </w:pPr>
            <w:r w:rsidRPr="0088307E">
              <w:rPr>
                <w:i/>
                <w:sz w:val="20"/>
              </w:rPr>
              <w:t>492</w:t>
            </w:r>
          </w:p>
          <w:p w14:paraId="252FE2A7" w14:textId="77777777" w:rsidR="00961AEB" w:rsidRPr="0088307E" w:rsidRDefault="00961AEB" w:rsidP="00413CE9">
            <w:pPr>
              <w:jc w:val="right"/>
              <w:rPr>
                <w:i/>
                <w:sz w:val="20"/>
              </w:rPr>
            </w:pPr>
            <w:r w:rsidRPr="0088307E">
              <w:rPr>
                <w:i/>
                <w:sz w:val="20"/>
              </w:rPr>
              <w:t>74</w:t>
            </w:r>
          </w:p>
          <w:p w14:paraId="3916EEE5" w14:textId="77777777" w:rsidR="00961AEB" w:rsidRPr="0088307E" w:rsidRDefault="00961AEB" w:rsidP="00413CE9">
            <w:pPr>
              <w:jc w:val="right"/>
              <w:rPr>
                <w:i/>
                <w:sz w:val="20"/>
              </w:rPr>
            </w:pPr>
            <w:r w:rsidRPr="0088307E">
              <w:rPr>
                <w:i/>
                <w:sz w:val="20"/>
              </w:rPr>
              <w:t>418</w:t>
            </w:r>
          </w:p>
          <w:p w14:paraId="3FD792F2" w14:textId="77777777" w:rsidR="00961AEB" w:rsidRPr="0088307E" w:rsidRDefault="00961AEB" w:rsidP="00413CE9">
            <w:pPr>
              <w:jc w:val="right"/>
              <w:rPr>
                <w:i/>
                <w:sz w:val="20"/>
              </w:rPr>
            </w:pPr>
            <w:r w:rsidRPr="0088307E">
              <w:rPr>
                <w:i/>
                <w:sz w:val="20"/>
              </w:rPr>
              <w:t>21</w:t>
            </w:r>
          </w:p>
          <w:p w14:paraId="4C2D19E4" w14:textId="77777777" w:rsidR="00961AEB" w:rsidRPr="0088307E" w:rsidRDefault="00961AEB" w:rsidP="00413CE9">
            <w:pPr>
              <w:jc w:val="right"/>
              <w:rPr>
                <w:i/>
                <w:sz w:val="20"/>
              </w:rPr>
            </w:pPr>
            <w:r w:rsidRPr="0088307E">
              <w:rPr>
                <w:i/>
                <w:sz w:val="20"/>
              </w:rPr>
              <w:t>7</w:t>
            </w:r>
          </w:p>
          <w:p w14:paraId="794720B5" w14:textId="77777777" w:rsidR="00961AEB" w:rsidRPr="0088307E" w:rsidRDefault="00961AEB" w:rsidP="00413CE9">
            <w:pPr>
              <w:jc w:val="right"/>
              <w:rPr>
                <w:i/>
                <w:sz w:val="20"/>
              </w:rPr>
            </w:pPr>
            <w:r w:rsidRPr="0088307E">
              <w:rPr>
                <w:i/>
                <w:sz w:val="20"/>
              </w:rPr>
              <w:t>14</w:t>
            </w:r>
          </w:p>
          <w:p w14:paraId="38BEBAA3" w14:textId="77777777" w:rsidR="00961AEB" w:rsidRPr="0088307E" w:rsidRDefault="00961AEB" w:rsidP="00413CE9">
            <w:pPr>
              <w:jc w:val="right"/>
              <w:rPr>
                <w:i/>
                <w:sz w:val="20"/>
              </w:rPr>
            </w:pPr>
            <w:r w:rsidRPr="0088307E">
              <w:rPr>
                <w:i/>
                <w:sz w:val="20"/>
              </w:rPr>
              <w:t>3</w:t>
            </w:r>
          </w:p>
          <w:p w14:paraId="080AD4DD" w14:textId="77777777" w:rsidR="00961AEB" w:rsidRPr="0088307E" w:rsidRDefault="00961AEB" w:rsidP="00413CE9">
            <w:pPr>
              <w:jc w:val="right"/>
              <w:rPr>
                <w:i/>
                <w:sz w:val="20"/>
              </w:rPr>
            </w:pPr>
            <w:r w:rsidRPr="0088307E">
              <w:rPr>
                <w:i/>
                <w:sz w:val="20"/>
              </w:rPr>
              <w:t>0</w:t>
            </w:r>
          </w:p>
          <w:p w14:paraId="2294C701" w14:textId="77777777" w:rsidR="00961AEB" w:rsidRPr="0088307E" w:rsidRDefault="00961AEB" w:rsidP="00413CE9">
            <w:pPr>
              <w:jc w:val="right"/>
              <w:rPr>
                <w:i/>
                <w:sz w:val="20"/>
              </w:rPr>
            </w:pPr>
            <w:r w:rsidRPr="0088307E">
              <w:rPr>
                <w:i/>
                <w:sz w:val="20"/>
              </w:rPr>
              <w:t>3</w:t>
            </w:r>
          </w:p>
          <w:p w14:paraId="40A324FD" w14:textId="77777777" w:rsidR="00961AEB" w:rsidRPr="0088307E" w:rsidRDefault="00961AEB" w:rsidP="00413CE9">
            <w:pPr>
              <w:jc w:val="right"/>
              <w:rPr>
                <w:i/>
                <w:sz w:val="20"/>
              </w:rPr>
            </w:pPr>
            <w:r w:rsidRPr="0088307E">
              <w:rPr>
                <w:i/>
                <w:sz w:val="20"/>
              </w:rPr>
              <w:t>126</w:t>
            </w:r>
          </w:p>
          <w:p w14:paraId="4DCEDD85" w14:textId="77777777" w:rsidR="00961AEB" w:rsidRPr="0088307E" w:rsidRDefault="00961AEB" w:rsidP="00413CE9">
            <w:pPr>
              <w:jc w:val="right"/>
              <w:rPr>
                <w:i/>
                <w:sz w:val="20"/>
              </w:rPr>
            </w:pPr>
            <w:r w:rsidRPr="0088307E">
              <w:rPr>
                <w:i/>
                <w:sz w:val="20"/>
              </w:rPr>
              <w:t>8</w:t>
            </w:r>
          </w:p>
          <w:p w14:paraId="14150877" w14:textId="77777777" w:rsidR="00961AEB" w:rsidRPr="0088307E" w:rsidRDefault="00961AEB" w:rsidP="00413CE9">
            <w:pPr>
              <w:jc w:val="right"/>
              <w:rPr>
                <w:i/>
                <w:sz w:val="20"/>
              </w:rPr>
            </w:pPr>
            <w:r w:rsidRPr="0088307E">
              <w:rPr>
                <w:i/>
                <w:sz w:val="20"/>
              </w:rPr>
              <w:t>118</w:t>
            </w:r>
          </w:p>
          <w:p w14:paraId="05F28C35" w14:textId="77777777" w:rsidR="00961AEB" w:rsidRPr="0088307E" w:rsidRDefault="00961AEB" w:rsidP="00413CE9">
            <w:pPr>
              <w:jc w:val="right"/>
              <w:rPr>
                <w:i/>
                <w:sz w:val="20"/>
              </w:rPr>
            </w:pPr>
            <w:r w:rsidRPr="0088307E">
              <w:rPr>
                <w:i/>
                <w:sz w:val="20"/>
              </w:rPr>
              <w:t>618</w:t>
            </w:r>
          </w:p>
          <w:p w14:paraId="44F991F7" w14:textId="77777777" w:rsidR="00961AEB" w:rsidRPr="0088307E" w:rsidRDefault="00961AEB" w:rsidP="00413CE9">
            <w:pPr>
              <w:jc w:val="right"/>
              <w:rPr>
                <w:i/>
                <w:sz w:val="20"/>
              </w:rPr>
            </w:pPr>
            <w:r w:rsidRPr="0088307E">
              <w:rPr>
                <w:i/>
                <w:sz w:val="20"/>
              </w:rPr>
              <w:t>93</w:t>
            </w:r>
          </w:p>
          <w:p w14:paraId="356179DD" w14:textId="77777777" w:rsidR="00961AEB" w:rsidRPr="0088307E" w:rsidRDefault="00961AEB" w:rsidP="00413CE9">
            <w:pPr>
              <w:jc w:val="right"/>
              <w:rPr>
                <w:i/>
                <w:sz w:val="20"/>
              </w:rPr>
            </w:pPr>
            <w:r w:rsidRPr="0088307E">
              <w:rPr>
                <w:i/>
                <w:sz w:val="20"/>
              </w:rPr>
              <w:t>525</w:t>
            </w:r>
          </w:p>
          <w:p w14:paraId="778CD18C" w14:textId="77777777" w:rsidR="00961AEB" w:rsidRPr="0088307E" w:rsidRDefault="00961AEB" w:rsidP="00413CE9">
            <w:pPr>
              <w:jc w:val="right"/>
              <w:rPr>
                <w:i/>
                <w:sz w:val="20"/>
              </w:rPr>
            </w:pPr>
          </w:p>
          <w:p w14:paraId="704FE5E3" w14:textId="77777777" w:rsidR="00961AEB" w:rsidRPr="0088307E" w:rsidRDefault="00961AEB" w:rsidP="00413CE9">
            <w:pPr>
              <w:jc w:val="right"/>
              <w:rPr>
                <w:i/>
                <w:sz w:val="20"/>
              </w:rPr>
            </w:pPr>
            <w:r w:rsidRPr="0088307E">
              <w:rPr>
                <w:i/>
                <w:sz w:val="20"/>
              </w:rPr>
              <w:t>156</w:t>
            </w:r>
          </w:p>
          <w:p w14:paraId="44332362" w14:textId="77777777" w:rsidR="00961AEB" w:rsidRPr="0088307E" w:rsidRDefault="00961AEB" w:rsidP="00413CE9">
            <w:pPr>
              <w:jc w:val="right"/>
              <w:rPr>
                <w:i/>
                <w:sz w:val="20"/>
              </w:rPr>
            </w:pPr>
            <w:r w:rsidRPr="0088307E">
              <w:rPr>
                <w:i/>
                <w:sz w:val="20"/>
              </w:rPr>
              <w:t>0</w:t>
            </w:r>
          </w:p>
          <w:p w14:paraId="78E1526C" w14:textId="77777777" w:rsidR="00961AEB" w:rsidRPr="0088307E" w:rsidRDefault="00961AEB" w:rsidP="00413CE9">
            <w:pPr>
              <w:jc w:val="right"/>
              <w:rPr>
                <w:i/>
                <w:sz w:val="20"/>
              </w:rPr>
            </w:pPr>
            <w:r w:rsidRPr="0088307E">
              <w:rPr>
                <w:i/>
                <w:sz w:val="20"/>
              </w:rPr>
              <w:t>156</w:t>
            </w:r>
          </w:p>
          <w:p w14:paraId="7723E1AE" w14:textId="77777777" w:rsidR="00961AEB" w:rsidRPr="0088307E" w:rsidRDefault="00961AEB" w:rsidP="00413CE9">
            <w:pPr>
              <w:jc w:val="right"/>
              <w:rPr>
                <w:i/>
                <w:sz w:val="20"/>
              </w:rPr>
            </w:pPr>
            <w:r w:rsidRPr="0088307E">
              <w:rPr>
                <w:i/>
                <w:sz w:val="20"/>
              </w:rPr>
              <w:t>6</w:t>
            </w:r>
          </w:p>
          <w:p w14:paraId="3695D882" w14:textId="77777777" w:rsidR="00961AEB" w:rsidRPr="0088307E" w:rsidRDefault="00961AEB" w:rsidP="00413CE9">
            <w:pPr>
              <w:jc w:val="right"/>
              <w:rPr>
                <w:i/>
                <w:sz w:val="20"/>
              </w:rPr>
            </w:pPr>
            <w:r w:rsidRPr="0088307E">
              <w:rPr>
                <w:i/>
                <w:sz w:val="20"/>
              </w:rPr>
              <w:t>1</w:t>
            </w:r>
          </w:p>
          <w:p w14:paraId="2D9FB64A" w14:textId="77777777" w:rsidR="00961AEB" w:rsidRPr="00CB1C42" w:rsidRDefault="00961AEB" w:rsidP="00413CE9">
            <w:pPr>
              <w:jc w:val="right"/>
              <w:rPr>
                <w:i/>
                <w:sz w:val="20"/>
              </w:rPr>
            </w:pPr>
            <w:r w:rsidRPr="0088307E">
              <w:rPr>
                <w:i/>
                <w:sz w:val="20"/>
              </w:rPr>
              <w:t>4</w:t>
            </w:r>
          </w:p>
        </w:tc>
        <w:tc>
          <w:tcPr>
            <w:tcW w:w="501" w:type="pct"/>
            <w:tcBorders>
              <w:bottom w:val="single" w:sz="4" w:space="0" w:color="7F7F7F" w:themeColor="text1" w:themeTint="80"/>
            </w:tcBorders>
            <w:shd w:val="clear" w:color="auto" w:fill="auto"/>
          </w:tcPr>
          <w:p w14:paraId="6320FE29" w14:textId="73135035" w:rsidR="00961AEB" w:rsidRPr="0088307E" w:rsidRDefault="008B3DA5" w:rsidP="00413CE9">
            <w:pPr>
              <w:jc w:val="right"/>
              <w:rPr>
                <w:sz w:val="20"/>
              </w:rPr>
            </w:pPr>
            <w:r>
              <w:rPr>
                <w:sz w:val="20"/>
              </w:rPr>
              <w:t>108</w:t>
            </w:r>
            <w:r w:rsidR="00961AEB" w:rsidRPr="0088307E">
              <w:rPr>
                <w:sz w:val="20"/>
              </w:rPr>
              <w:t>,</w:t>
            </w:r>
            <w:r>
              <w:rPr>
                <w:sz w:val="20"/>
              </w:rPr>
              <w:t>46</w:t>
            </w:r>
          </w:p>
          <w:p w14:paraId="03C35D77" w14:textId="77777777" w:rsidR="00961AEB" w:rsidRPr="0088307E" w:rsidRDefault="00961AEB" w:rsidP="00413CE9">
            <w:pPr>
              <w:jc w:val="right"/>
              <w:rPr>
                <w:sz w:val="20"/>
              </w:rPr>
            </w:pPr>
          </w:p>
          <w:p w14:paraId="78E5474A" w14:textId="77777777" w:rsidR="00961AEB" w:rsidRPr="00CB1C42" w:rsidRDefault="00961AEB" w:rsidP="00413CE9">
            <w:pPr>
              <w:jc w:val="right"/>
              <w:rPr>
                <w:i/>
                <w:sz w:val="20"/>
              </w:rPr>
            </w:pPr>
            <w:r w:rsidRPr="0088307E">
              <w:rPr>
                <w:i/>
                <w:sz w:val="20"/>
              </w:rPr>
              <w:t>121,77</w:t>
            </w:r>
          </w:p>
          <w:p w14:paraId="0EECD068" w14:textId="77777777" w:rsidR="00961AEB" w:rsidRPr="0088307E" w:rsidRDefault="00961AEB" w:rsidP="00413CE9">
            <w:pPr>
              <w:jc w:val="right"/>
              <w:rPr>
                <w:i/>
                <w:sz w:val="20"/>
              </w:rPr>
            </w:pPr>
            <w:r w:rsidRPr="0088307E">
              <w:rPr>
                <w:i/>
                <w:sz w:val="20"/>
              </w:rPr>
              <w:t>0,00</w:t>
            </w:r>
          </w:p>
          <w:p w14:paraId="2E03D643" w14:textId="77777777" w:rsidR="00961AEB" w:rsidRPr="0088307E" w:rsidRDefault="00961AEB" w:rsidP="00413CE9">
            <w:pPr>
              <w:jc w:val="right"/>
              <w:rPr>
                <w:i/>
                <w:sz w:val="20"/>
              </w:rPr>
            </w:pPr>
            <w:r w:rsidRPr="0088307E">
              <w:rPr>
                <w:i/>
                <w:sz w:val="20"/>
              </w:rPr>
              <w:t>0,00</w:t>
            </w:r>
          </w:p>
          <w:p w14:paraId="643F8FD2" w14:textId="77777777" w:rsidR="00961AEB" w:rsidRPr="0088307E" w:rsidRDefault="00961AEB" w:rsidP="00413CE9">
            <w:pPr>
              <w:jc w:val="right"/>
              <w:rPr>
                <w:i/>
                <w:sz w:val="20"/>
              </w:rPr>
            </w:pPr>
            <w:r w:rsidRPr="0088307E">
              <w:rPr>
                <w:i/>
                <w:sz w:val="20"/>
              </w:rPr>
              <w:t>0,00</w:t>
            </w:r>
          </w:p>
          <w:p w14:paraId="757D5011" w14:textId="77777777" w:rsidR="00961AEB" w:rsidRPr="0088307E" w:rsidRDefault="00961AEB" w:rsidP="00413CE9">
            <w:pPr>
              <w:jc w:val="right"/>
              <w:rPr>
                <w:i/>
                <w:sz w:val="20"/>
              </w:rPr>
            </w:pPr>
            <w:r w:rsidRPr="0088307E">
              <w:rPr>
                <w:i/>
                <w:sz w:val="20"/>
              </w:rPr>
              <w:t>44,93</w:t>
            </w:r>
          </w:p>
          <w:p w14:paraId="637581C7" w14:textId="77777777" w:rsidR="00961AEB" w:rsidRPr="0088307E" w:rsidRDefault="00961AEB" w:rsidP="00413CE9">
            <w:pPr>
              <w:jc w:val="right"/>
              <w:rPr>
                <w:i/>
                <w:sz w:val="20"/>
              </w:rPr>
            </w:pPr>
            <w:r w:rsidRPr="0088307E">
              <w:rPr>
                <w:i/>
                <w:sz w:val="20"/>
              </w:rPr>
              <w:t>45,12</w:t>
            </w:r>
          </w:p>
          <w:p w14:paraId="2E0094D2" w14:textId="77777777" w:rsidR="00961AEB" w:rsidRPr="0088307E" w:rsidRDefault="00961AEB" w:rsidP="00413CE9">
            <w:pPr>
              <w:jc w:val="right"/>
              <w:rPr>
                <w:i/>
                <w:sz w:val="20"/>
              </w:rPr>
            </w:pPr>
            <w:r w:rsidRPr="0088307E">
              <w:rPr>
                <w:i/>
                <w:sz w:val="20"/>
              </w:rPr>
              <w:t>44,95</w:t>
            </w:r>
          </w:p>
          <w:p w14:paraId="675A1AD9" w14:textId="77777777" w:rsidR="00961AEB" w:rsidRPr="0088307E" w:rsidRDefault="00961AEB" w:rsidP="00413CE9">
            <w:pPr>
              <w:jc w:val="right"/>
              <w:rPr>
                <w:i/>
                <w:sz w:val="20"/>
              </w:rPr>
            </w:pPr>
            <w:r w:rsidRPr="0088307E">
              <w:rPr>
                <w:i/>
                <w:sz w:val="20"/>
              </w:rPr>
              <w:t xml:space="preserve">175,00  </w:t>
            </w:r>
          </w:p>
          <w:p w14:paraId="06C4D984" w14:textId="77777777" w:rsidR="00961AEB" w:rsidRPr="0088307E" w:rsidRDefault="00961AEB" w:rsidP="00413CE9">
            <w:pPr>
              <w:jc w:val="right"/>
              <w:rPr>
                <w:i/>
                <w:sz w:val="20"/>
              </w:rPr>
            </w:pPr>
            <w:r w:rsidRPr="0088307E">
              <w:rPr>
                <w:i/>
                <w:sz w:val="20"/>
              </w:rPr>
              <w:t xml:space="preserve"> 116,67</w:t>
            </w:r>
          </w:p>
          <w:p w14:paraId="48D958E5" w14:textId="77777777" w:rsidR="00961AEB" w:rsidRPr="0088307E" w:rsidRDefault="00961AEB" w:rsidP="00413CE9">
            <w:pPr>
              <w:jc w:val="right"/>
              <w:rPr>
                <w:i/>
                <w:sz w:val="20"/>
              </w:rPr>
            </w:pPr>
            <w:r w:rsidRPr="0088307E">
              <w:rPr>
                <w:i/>
                <w:sz w:val="20"/>
              </w:rPr>
              <w:t xml:space="preserve">233,33      </w:t>
            </w:r>
          </w:p>
          <w:p w14:paraId="55342F05" w14:textId="77777777" w:rsidR="00961AEB" w:rsidRPr="0088307E" w:rsidRDefault="00961AEB" w:rsidP="00413CE9">
            <w:pPr>
              <w:jc w:val="right"/>
              <w:rPr>
                <w:i/>
                <w:sz w:val="20"/>
              </w:rPr>
            </w:pPr>
            <w:r w:rsidRPr="0088307E">
              <w:rPr>
                <w:i/>
                <w:sz w:val="20"/>
              </w:rPr>
              <w:t>150,00</w:t>
            </w:r>
          </w:p>
          <w:p w14:paraId="4DFCA6E3" w14:textId="77777777" w:rsidR="00961AEB" w:rsidRPr="0088307E" w:rsidRDefault="00961AEB" w:rsidP="00413CE9">
            <w:pPr>
              <w:jc w:val="right"/>
              <w:rPr>
                <w:i/>
                <w:sz w:val="20"/>
              </w:rPr>
            </w:pPr>
            <w:r w:rsidRPr="0088307E">
              <w:rPr>
                <w:i/>
                <w:sz w:val="20"/>
              </w:rPr>
              <w:t>0,00</w:t>
            </w:r>
          </w:p>
          <w:p w14:paraId="709B24A9" w14:textId="77777777" w:rsidR="00961AEB" w:rsidRPr="0088307E" w:rsidRDefault="00961AEB" w:rsidP="00413CE9">
            <w:pPr>
              <w:jc w:val="right"/>
              <w:rPr>
                <w:i/>
                <w:sz w:val="20"/>
              </w:rPr>
            </w:pPr>
            <w:r w:rsidRPr="0088307E">
              <w:rPr>
                <w:i/>
                <w:sz w:val="20"/>
              </w:rPr>
              <w:t>150,00</w:t>
            </w:r>
          </w:p>
          <w:p w14:paraId="0ADA4B34" w14:textId="77777777" w:rsidR="00961AEB" w:rsidRPr="0088307E" w:rsidRDefault="00961AEB" w:rsidP="00413CE9">
            <w:pPr>
              <w:jc w:val="right"/>
              <w:rPr>
                <w:i/>
                <w:sz w:val="20"/>
              </w:rPr>
            </w:pPr>
            <w:r w:rsidRPr="0088307E">
              <w:rPr>
                <w:i/>
                <w:sz w:val="20"/>
              </w:rPr>
              <w:t>217,24</w:t>
            </w:r>
          </w:p>
          <w:p w14:paraId="7383BB44" w14:textId="77777777" w:rsidR="00961AEB" w:rsidRPr="0088307E" w:rsidRDefault="00961AEB" w:rsidP="00413CE9">
            <w:pPr>
              <w:jc w:val="right"/>
              <w:rPr>
                <w:i/>
                <w:sz w:val="20"/>
              </w:rPr>
            </w:pPr>
            <w:r w:rsidRPr="0088307E">
              <w:rPr>
                <w:i/>
                <w:sz w:val="20"/>
              </w:rPr>
              <w:t>0,00</w:t>
            </w:r>
          </w:p>
          <w:p w14:paraId="1FB41472" w14:textId="77777777" w:rsidR="00961AEB" w:rsidRPr="0088307E" w:rsidRDefault="00961AEB" w:rsidP="00413CE9">
            <w:pPr>
              <w:jc w:val="right"/>
              <w:rPr>
                <w:i/>
                <w:sz w:val="20"/>
              </w:rPr>
            </w:pPr>
            <w:r w:rsidRPr="0088307E">
              <w:rPr>
                <w:i/>
                <w:sz w:val="20"/>
              </w:rPr>
              <w:t>203,45</w:t>
            </w:r>
          </w:p>
          <w:p w14:paraId="5A810CE3" w14:textId="77777777" w:rsidR="00961AEB" w:rsidRPr="0088307E" w:rsidRDefault="00961AEB" w:rsidP="00413CE9">
            <w:pPr>
              <w:jc w:val="right"/>
              <w:rPr>
                <w:i/>
                <w:sz w:val="20"/>
              </w:rPr>
            </w:pPr>
            <w:r w:rsidRPr="0088307E">
              <w:rPr>
                <w:i/>
                <w:sz w:val="20"/>
              </w:rPr>
              <w:t>0,00</w:t>
            </w:r>
          </w:p>
          <w:p w14:paraId="23D85881" w14:textId="77777777" w:rsidR="00961AEB" w:rsidRPr="0088307E" w:rsidRDefault="00961AEB" w:rsidP="00413CE9">
            <w:pPr>
              <w:jc w:val="right"/>
              <w:rPr>
                <w:i/>
                <w:sz w:val="20"/>
              </w:rPr>
            </w:pPr>
            <w:r w:rsidRPr="0088307E">
              <w:rPr>
                <w:i/>
                <w:sz w:val="20"/>
              </w:rPr>
              <w:t>0,00</w:t>
            </w:r>
          </w:p>
          <w:p w14:paraId="3DC7FFE4" w14:textId="77777777" w:rsidR="00961AEB" w:rsidRPr="0088307E" w:rsidRDefault="00961AEB" w:rsidP="00413CE9">
            <w:pPr>
              <w:jc w:val="right"/>
              <w:rPr>
                <w:i/>
                <w:sz w:val="20"/>
              </w:rPr>
            </w:pPr>
            <w:r w:rsidRPr="0088307E">
              <w:rPr>
                <w:i/>
                <w:sz w:val="20"/>
              </w:rPr>
              <w:t>0,00</w:t>
            </w:r>
          </w:p>
          <w:p w14:paraId="3CB09C0E" w14:textId="77777777" w:rsidR="00961AEB" w:rsidRPr="0088307E" w:rsidRDefault="00961AEB" w:rsidP="00413CE9">
            <w:pPr>
              <w:jc w:val="right"/>
              <w:rPr>
                <w:i/>
                <w:sz w:val="20"/>
              </w:rPr>
            </w:pPr>
          </w:p>
          <w:p w14:paraId="5E5F90D6" w14:textId="77777777" w:rsidR="00961AEB" w:rsidRPr="0088307E" w:rsidRDefault="00961AEB" w:rsidP="00413CE9">
            <w:pPr>
              <w:jc w:val="right"/>
              <w:rPr>
                <w:i/>
                <w:sz w:val="20"/>
              </w:rPr>
            </w:pPr>
            <w:r w:rsidRPr="0088307E">
              <w:rPr>
                <w:i/>
                <w:sz w:val="20"/>
              </w:rPr>
              <w:t>0,00</w:t>
            </w:r>
          </w:p>
          <w:p w14:paraId="13445416" w14:textId="77777777" w:rsidR="00961AEB" w:rsidRPr="0088307E" w:rsidRDefault="00961AEB" w:rsidP="00413CE9">
            <w:pPr>
              <w:jc w:val="right"/>
              <w:rPr>
                <w:i/>
                <w:sz w:val="20"/>
              </w:rPr>
            </w:pPr>
            <w:r w:rsidRPr="0088307E">
              <w:rPr>
                <w:i/>
                <w:sz w:val="20"/>
              </w:rPr>
              <w:t>0,00</w:t>
            </w:r>
          </w:p>
          <w:p w14:paraId="3F5A8A83" w14:textId="77777777" w:rsidR="00961AEB" w:rsidRPr="0088307E" w:rsidRDefault="00961AEB" w:rsidP="00413CE9">
            <w:pPr>
              <w:jc w:val="right"/>
              <w:rPr>
                <w:i/>
                <w:sz w:val="20"/>
              </w:rPr>
            </w:pPr>
            <w:r w:rsidRPr="0088307E">
              <w:rPr>
                <w:i/>
                <w:sz w:val="20"/>
              </w:rPr>
              <w:t>0,00</w:t>
            </w:r>
          </w:p>
          <w:p w14:paraId="0F80981D" w14:textId="77777777" w:rsidR="00961AEB" w:rsidRPr="0088307E" w:rsidRDefault="00961AEB" w:rsidP="00413CE9">
            <w:pPr>
              <w:jc w:val="right"/>
              <w:rPr>
                <w:i/>
                <w:sz w:val="20"/>
              </w:rPr>
            </w:pPr>
            <w:r w:rsidRPr="0088307E">
              <w:rPr>
                <w:i/>
                <w:sz w:val="20"/>
              </w:rPr>
              <w:t>0,00</w:t>
            </w:r>
          </w:p>
          <w:p w14:paraId="53583FD0" w14:textId="77777777" w:rsidR="00961AEB" w:rsidRPr="0088307E" w:rsidRDefault="00961AEB" w:rsidP="00413CE9">
            <w:pPr>
              <w:jc w:val="right"/>
              <w:rPr>
                <w:i/>
                <w:sz w:val="20"/>
              </w:rPr>
            </w:pPr>
            <w:r w:rsidRPr="0088307E">
              <w:rPr>
                <w:i/>
                <w:sz w:val="20"/>
              </w:rPr>
              <w:t>0,00</w:t>
            </w:r>
          </w:p>
          <w:p w14:paraId="7B950000" w14:textId="77777777" w:rsidR="00961AEB" w:rsidRPr="00CB1C42" w:rsidRDefault="00961AEB" w:rsidP="00413CE9">
            <w:pPr>
              <w:jc w:val="right"/>
              <w:rPr>
                <w:b/>
                <w:sz w:val="20"/>
              </w:rPr>
            </w:pPr>
            <w:r w:rsidRPr="0088307E">
              <w:rPr>
                <w:i/>
                <w:sz w:val="20"/>
              </w:rPr>
              <w:t>0,00</w:t>
            </w:r>
          </w:p>
        </w:tc>
      </w:tr>
      <w:tr w:rsidR="00961AEB" w:rsidRPr="004760E8" w14:paraId="4814D048" w14:textId="77777777" w:rsidTr="0088307E">
        <w:trPr>
          <w:trHeight w:val="70"/>
          <w:jc w:val="right"/>
        </w:trPr>
        <w:tc>
          <w:tcPr>
            <w:tcW w:w="2343" w:type="pct"/>
            <w:tcBorders>
              <w:top w:val="single" w:sz="4" w:space="0" w:color="7F7F7F" w:themeColor="text1" w:themeTint="80"/>
              <w:bottom w:val="nil"/>
            </w:tcBorders>
            <w:shd w:val="clear" w:color="auto" w:fill="auto"/>
          </w:tcPr>
          <w:p w14:paraId="65D05C60" w14:textId="77777777" w:rsidR="00961AEB" w:rsidRPr="004C2D04" w:rsidRDefault="00961AEB" w:rsidP="00413CE9">
            <w:pPr>
              <w:rPr>
                <w:sz w:val="20"/>
              </w:rPr>
            </w:pPr>
            <w:r w:rsidRPr="004C2D04">
              <w:rPr>
                <w:sz w:val="20"/>
              </w:rPr>
              <w:t>ostatní neinvestiční výdaje</w:t>
            </w:r>
          </w:p>
        </w:tc>
        <w:tc>
          <w:tcPr>
            <w:tcW w:w="783" w:type="pct"/>
            <w:tcBorders>
              <w:top w:val="single" w:sz="4" w:space="0" w:color="7F7F7F" w:themeColor="text1" w:themeTint="80"/>
              <w:bottom w:val="nil"/>
            </w:tcBorders>
            <w:shd w:val="clear" w:color="auto" w:fill="auto"/>
          </w:tcPr>
          <w:p w14:paraId="0574CD5C" w14:textId="77777777" w:rsidR="00961AEB" w:rsidRPr="004760E8" w:rsidRDefault="00961AEB" w:rsidP="00413CE9">
            <w:pPr>
              <w:jc w:val="right"/>
              <w:rPr>
                <w:color w:val="FF0000"/>
                <w:sz w:val="20"/>
              </w:rPr>
            </w:pPr>
            <w:r w:rsidRPr="009F1119">
              <w:rPr>
                <w:sz w:val="20"/>
              </w:rPr>
              <w:t>4 506 014</w:t>
            </w:r>
          </w:p>
        </w:tc>
        <w:tc>
          <w:tcPr>
            <w:tcW w:w="705" w:type="pct"/>
            <w:tcBorders>
              <w:top w:val="single" w:sz="4" w:space="0" w:color="7F7F7F" w:themeColor="text1" w:themeTint="80"/>
              <w:bottom w:val="nil"/>
            </w:tcBorders>
            <w:shd w:val="clear" w:color="auto" w:fill="auto"/>
          </w:tcPr>
          <w:p w14:paraId="6CF6E6E9" w14:textId="77777777" w:rsidR="00961AEB" w:rsidRPr="00C91345" w:rsidRDefault="00961AEB" w:rsidP="00413CE9">
            <w:pPr>
              <w:jc w:val="right"/>
              <w:rPr>
                <w:sz w:val="20"/>
              </w:rPr>
            </w:pPr>
            <w:r w:rsidRPr="00C91345">
              <w:rPr>
                <w:sz w:val="20"/>
              </w:rPr>
              <w:t xml:space="preserve">1 736 813 </w:t>
            </w:r>
          </w:p>
        </w:tc>
        <w:tc>
          <w:tcPr>
            <w:tcW w:w="667" w:type="pct"/>
            <w:tcBorders>
              <w:top w:val="single" w:sz="4" w:space="0" w:color="7F7F7F" w:themeColor="text1" w:themeTint="80"/>
              <w:bottom w:val="nil"/>
            </w:tcBorders>
            <w:shd w:val="clear" w:color="auto" w:fill="auto"/>
          </w:tcPr>
          <w:p w14:paraId="57056417" w14:textId="4A0C24A1" w:rsidR="00961AEB" w:rsidRPr="00144767" w:rsidRDefault="002E4E2B" w:rsidP="00413CE9">
            <w:pPr>
              <w:jc w:val="right"/>
              <w:rPr>
                <w:color w:val="FF0000"/>
                <w:sz w:val="20"/>
              </w:rPr>
            </w:pPr>
            <w:r>
              <w:rPr>
                <w:sz w:val="20"/>
              </w:rPr>
              <w:t>5 720 375</w:t>
            </w:r>
            <w:r w:rsidR="00961AEB" w:rsidRPr="0088307E">
              <w:rPr>
                <w:sz w:val="20"/>
              </w:rPr>
              <w:t xml:space="preserve"> </w:t>
            </w:r>
          </w:p>
        </w:tc>
        <w:tc>
          <w:tcPr>
            <w:tcW w:w="501" w:type="pct"/>
            <w:tcBorders>
              <w:top w:val="single" w:sz="4" w:space="0" w:color="7F7F7F" w:themeColor="text1" w:themeTint="80"/>
              <w:bottom w:val="nil"/>
            </w:tcBorders>
            <w:shd w:val="clear" w:color="auto" w:fill="auto"/>
          </w:tcPr>
          <w:p w14:paraId="04DDB27B" w14:textId="0D9CC5C5" w:rsidR="00961AEB" w:rsidRPr="00144767" w:rsidRDefault="004A3DDA" w:rsidP="00413CE9">
            <w:pPr>
              <w:jc w:val="right"/>
              <w:rPr>
                <w:color w:val="FF0000"/>
                <w:sz w:val="20"/>
              </w:rPr>
            </w:pPr>
            <w:r>
              <w:rPr>
                <w:color w:val="FF0000"/>
                <w:sz w:val="20"/>
              </w:rPr>
              <w:t xml:space="preserve"> </w:t>
            </w:r>
            <w:r w:rsidR="002E4E2B">
              <w:rPr>
                <w:sz w:val="20"/>
              </w:rPr>
              <w:t>329</w:t>
            </w:r>
            <w:r w:rsidRPr="0088307E">
              <w:rPr>
                <w:sz w:val="20"/>
              </w:rPr>
              <w:t>,</w:t>
            </w:r>
            <w:r w:rsidR="002E4E2B">
              <w:rPr>
                <w:sz w:val="20"/>
              </w:rPr>
              <w:t>36</w:t>
            </w:r>
          </w:p>
        </w:tc>
      </w:tr>
      <w:tr w:rsidR="00961AEB" w:rsidRPr="004760E8" w14:paraId="1D91DD9F" w14:textId="77777777" w:rsidTr="0088307E">
        <w:trPr>
          <w:trHeight w:val="228"/>
          <w:jc w:val="right"/>
        </w:trPr>
        <w:tc>
          <w:tcPr>
            <w:tcW w:w="2343" w:type="pct"/>
            <w:tcBorders>
              <w:top w:val="nil"/>
              <w:bottom w:val="nil"/>
            </w:tcBorders>
            <w:shd w:val="clear" w:color="auto" w:fill="auto"/>
          </w:tcPr>
          <w:p w14:paraId="61872B74" w14:textId="77777777" w:rsidR="00961AEB" w:rsidRPr="004C2D04" w:rsidRDefault="00961AEB" w:rsidP="00413CE9">
            <w:pPr>
              <w:ind w:left="398" w:hanging="398"/>
              <w:jc w:val="left"/>
              <w:rPr>
                <w:i/>
                <w:sz w:val="20"/>
              </w:rPr>
            </w:pPr>
            <w:r w:rsidRPr="004C2D04">
              <w:rPr>
                <w:i/>
                <w:sz w:val="20"/>
              </w:rPr>
              <w:t>z toho: dopravně správní agendy (nákup</w:t>
            </w:r>
            <w:r w:rsidRPr="004C2D04">
              <w:rPr>
                <w:i/>
                <w:sz w:val="20"/>
              </w:rPr>
              <w:br/>
              <w:t>materiálu)</w:t>
            </w:r>
          </w:p>
          <w:p w14:paraId="199ADE0E" w14:textId="77777777" w:rsidR="00961AEB" w:rsidRPr="004C2D04" w:rsidRDefault="00961AEB" w:rsidP="00413CE9">
            <w:pPr>
              <w:rPr>
                <w:i/>
                <w:sz w:val="20"/>
              </w:rPr>
            </w:pPr>
            <w:r w:rsidRPr="004C2D04">
              <w:rPr>
                <w:i/>
                <w:sz w:val="20"/>
              </w:rPr>
              <w:t xml:space="preserve">            kompenzace slev jízdného </w:t>
            </w:r>
          </w:p>
        </w:tc>
        <w:tc>
          <w:tcPr>
            <w:tcW w:w="783" w:type="pct"/>
            <w:tcBorders>
              <w:top w:val="nil"/>
              <w:bottom w:val="nil"/>
            </w:tcBorders>
            <w:shd w:val="clear" w:color="auto" w:fill="auto"/>
          </w:tcPr>
          <w:p w14:paraId="65457B8D" w14:textId="77777777" w:rsidR="00961AEB" w:rsidRPr="009F1119" w:rsidRDefault="00961AEB" w:rsidP="00413CE9">
            <w:pPr>
              <w:jc w:val="right"/>
              <w:rPr>
                <w:i/>
                <w:sz w:val="20"/>
                <w:szCs w:val="20"/>
              </w:rPr>
            </w:pPr>
            <w:r w:rsidRPr="009F1119">
              <w:rPr>
                <w:i/>
                <w:sz w:val="20"/>
                <w:szCs w:val="20"/>
              </w:rPr>
              <w:t xml:space="preserve">         </w:t>
            </w:r>
          </w:p>
          <w:p w14:paraId="35A1C077" w14:textId="77777777" w:rsidR="00961AEB" w:rsidRPr="009F1119" w:rsidRDefault="00961AEB" w:rsidP="00413CE9">
            <w:pPr>
              <w:jc w:val="right"/>
              <w:rPr>
                <w:i/>
                <w:sz w:val="20"/>
                <w:szCs w:val="20"/>
              </w:rPr>
            </w:pPr>
            <w:r w:rsidRPr="009F1119">
              <w:rPr>
                <w:i/>
                <w:sz w:val="20"/>
                <w:szCs w:val="20"/>
              </w:rPr>
              <w:t>188 790</w:t>
            </w:r>
          </w:p>
          <w:p w14:paraId="196172D2" w14:textId="77777777" w:rsidR="00961AEB" w:rsidRPr="009F1119" w:rsidRDefault="00961AEB" w:rsidP="00413CE9">
            <w:pPr>
              <w:jc w:val="right"/>
              <w:rPr>
                <w:i/>
                <w:sz w:val="20"/>
                <w:szCs w:val="20"/>
              </w:rPr>
            </w:pPr>
            <w:r w:rsidRPr="009F1119">
              <w:rPr>
                <w:i/>
                <w:sz w:val="20"/>
                <w:szCs w:val="20"/>
              </w:rPr>
              <w:t>3 856 739</w:t>
            </w:r>
          </w:p>
        </w:tc>
        <w:tc>
          <w:tcPr>
            <w:tcW w:w="705" w:type="pct"/>
            <w:tcBorders>
              <w:top w:val="nil"/>
              <w:bottom w:val="nil"/>
            </w:tcBorders>
            <w:shd w:val="clear" w:color="auto" w:fill="auto"/>
          </w:tcPr>
          <w:p w14:paraId="4A7E90BF" w14:textId="77777777" w:rsidR="00961AEB" w:rsidRPr="00C91345" w:rsidRDefault="00961AEB" w:rsidP="00413CE9">
            <w:pPr>
              <w:jc w:val="right"/>
              <w:rPr>
                <w:i/>
                <w:sz w:val="20"/>
              </w:rPr>
            </w:pPr>
          </w:p>
          <w:p w14:paraId="7483BA89" w14:textId="77777777" w:rsidR="00961AEB" w:rsidRPr="00C91345" w:rsidRDefault="00961AEB" w:rsidP="00413CE9">
            <w:pPr>
              <w:jc w:val="right"/>
              <w:rPr>
                <w:i/>
                <w:sz w:val="20"/>
              </w:rPr>
            </w:pPr>
            <w:r w:rsidRPr="00C91345">
              <w:rPr>
                <w:i/>
                <w:sz w:val="20"/>
              </w:rPr>
              <w:t>224 000</w:t>
            </w:r>
          </w:p>
          <w:p w14:paraId="7C982116" w14:textId="77777777" w:rsidR="00961AEB" w:rsidRPr="00C91345" w:rsidRDefault="00961AEB" w:rsidP="00413CE9">
            <w:pPr>
              <w:jc w:val="right"/>
              <w:rPr>
                <w:i/>
                <w:sz w:val="20"/>
              </w:rPr>
            </w:pPr>
            <w:r w:rsidRPr="00C91345">
              <w:rPr>
                <w:i/>
                <w:sz w:val="20"/>
              </w:rPr>
              <w:t>1 040 000</w:t>
            </w:r>
          </w:p>
        </w:tc>
        <w:tc>
          <w:tcPr>
            <w:tcW w:w="667" w:type="pct"/>
            <w:tcBorders>
              <w:top w:val="nil"/>
              <w:bottom w:val="nil"/>
            </w:tcBorders>
            <w:shd w:val="clear" w:color="auto" w:fill="auto"/>
          </w:tcPr>
          <w:p w14:paraId="733A4AFD" w14:textId="77777777" w:rsidR="00961AEB" w:rsidRPr="0088307E" w:rsidRDefault="00961AEB" w:rsidP="00413CE9">
            <w:pPr>
              <w:jc w:val="right"/>
              <w:rPr>
                <w:i/>
                <w:sz w:val="20"/>
              </w:rPr>
            </w:pPr>
          </w:p>
          <w:p w14:paraId="1E5BD1CF" w14:textId="77777777" w:rsidR="00961AEB" w:rsidRPr="00CB1C42" w:rsidRDefault="00961AEB" w:rsidP="00413CE9">
            <w:pPr>
              <w:jc w:val="right"/>
              <w:rPr>
                <w:i/>
                <w:sz w:val="20"/>
              </w:rPr>
            </w:pPr>
            <w:r w:rsidRPr="00CB1C42">
              <w:rPr>
                <w:i/>
                <w:sz w:val="20"/>
              </w:rPr>
              <w:t>224 000</w:t>
            </w:r>
          </w:p>
          <w:p w14:paraId="438CBC74" w14:textId="77777777" w:rsidR="00961AEB" w:rsidRPr="0088307E" w:rsidRDefault="00961AEB" w:rsidP="00413CE9">
            <w:pPr>
              <w:jc w:val="right"/>
              <w:rPr>
                <w:i/>
                <w:sz w:val="20"/>
              </w:rPr>
            </w:pPr>
            <w:r w:rsidRPr="0088307E">
              <w:rPr>
                <w:i/>
                <w:sz w:val="20"/>
              </w:rPr>
              <w:t>5 000 000</w:t>
            </w:r>
          </w:p>
        </w:tc>
        <w:tc>
          <w:tcPr>
            <w:tcW w:w="501" w:type="pct"/>
            <w:tcBorders>
              <w:top w:val="nil"/>
              <w:bottom w:val="nil"/>
            </w:tcBorders>
            <w:shd w:val="clear" w:color="auto" w:fill="auto"/>
          </w:tcPr>
          <w:p w14:paraId="09268835" w14:textId="77777777" w:rsidR="00961AEB" w:rsidRPr="0088307E" w:rsidRDefault="00961AEB" w:rsidP="00413CE9">
            <w:pPr>
              <w:jc w:val="right"/>
              <w:rPr>
                <w:i/>
                <w:sz w:val="20"/>
              </w:rPr>
            </w:pPr>
          </w:p>
          <w:p w14:paraId="26441978" w14:textId="77777777" w:rsidR="00961AEB" w:rsidRPr="0088307E" w:rsidRDefault="00961AEB" w:rsidP="00413CE9">
            <w:pPr>
              <w:jc w:val="right"/>
              <w:rPr>
                <w:i/>
                <w:sz w:val="20"/>
              </w:rPr>
            </w:pPr>
            <w:r w:rsidRPr="00CB1C42">
              <w:rPr>
                <w:i/>
                <w:sz w:val="20"/>
              </w:rPr>
              <w:t xml:space="preserve">100,00 </w:t>
            </w:r>
            <w:r w:rsidRPr="0088307E">
              <w:rPr>
                <w:i/>
                <w:sz w:val="20"/>
              </w:rPr>
              <w:t>480,77</w:t>
            </w:r>
          </w:p>
        </w:tc>
      </w:tr>
      <w:tr w:rsidR="00961AEB" w:rsidRPr="004760E8" w14:paraId="2CF46328" w14:textId="77777777" w:rsidTr="0088307E">
        <w:trPr>
          <w:trHeight w:val="228"/>
          <w:jc w:val="right"/>
        </w:trPr>
        <w:tc>
          <w:tcPr>
            <w:tcW w:w="2343" w:type="pct"/>
            <w:tcBorders>
              <w:top w:val="nil"/>
              <w:bottom w:val="single" w:sz="4" w:space="0" w:color="auto"/>
            </w:tcBorders>
            <w:shd w:val="clear" w:color="auto" w:fill="auto"/>
          </w:tcPr>
          <w:p w14:paraId="7FEFEC1B" w14:textId="77777777" w:rsidR="00961AEB" w:rsidRPr="004C2D04" w:rsidRDefault="00961AEB" w:rsidP="00413CE9">
            <w:pPr>
              <w:rPr>
                <w:i/>
                <w:sz w:val="20"/>
              </w:rPr>
            </w:pPr>
            <w:r w:rsidRPr="004C2D04">
              <w:rPr>
                <w:i/>
                <w:sz w:val="20"/>
              </w:rPr>
              <w:t xml:space="preserve">            programové financování (EDS/SMVS)</w:t>
            </w:r>
          </w:p>
        </w:tc>
        <w:tc>
          <w:tcPr>
            <w:tcW w:w="783" w:type="pct"/>
            <w:tcBorders>
              <w:top w:val="nil"/>
              <w:bottom w:val="single" w:sz="4" w:space="0" w:color="auto"/>
            </w:tcBorders>
            <w:shd w:val="clear" w:color="auto" w:fill="auto"/>
          </w:tcPr>
          <w:p w14:paraId="3241D5B9" w14:textId="77777777" w:rsidR="00961AEB" w:rsidRPr="009F1119" w:rsidRDefault="00961AEB" w:rsidP="00413CE9">
            <w:pPr>
              <w:jc w:val="right"/>
              <w:rPr>
                <w:i/>
                <w:sz w:val="20"/>
                <w:szCs w:val="20"/>
              </w:rPr>
            </w:pPr>
            <w:r w:rsidRPr="009F1119">
              <w:rPr>
                <w:i/>
                <w:sz w:val="20"/>
                <w:szCs w:val="20"/>
              </w:rPr>
              <w:t>119 113</w:t>
            </w:r>
          </w:p>
        </w:tc>
        <w:tc>
          <w:tcPr>
            <w:tcW w:w="705" w:type="pct"/>
            <w:tcBorders>
              <w:top w:val="nil"/>
              <w:bottom w:val="single" w:sz="4" w:space="0" w:color="auto"/>
            </w:tcBorders>
            <w:shd w:val="clear" w:color="auto" w:fill="auto"/>
          </w:tcPr>
          <w:p w14:paraId="22B0F53F" w14:textId="77777777" w:rsidR="00961AEB" w:rsidRPr="00C91345" w:rsidRDefault="00961AEB" w:rsidP="00413CE9">
            <w:pPr>
              <w:jc w:val="right"/>
              <w:rPr>
                <w:i/>
                <w:sz w:val="20"/>
              </w:rPr>
            </w:pPr>
            <w:r w:rsidRPr="00C91345">
              <w:rPr>
                <w:i/>
                <w:sz w:val="20"/>
              </w:rPr>
              <w:t>87 383</w:t>
            </w:r>
          </w:p>
        </w:tc>
        <w:tc>
          <w:tcPr>
            <w:tcW w:w="667" w:type="pct"/>
            <w:tcBorders>
              <w:top w:val="nil"/>
              <w:bottom w:val="single" w:sz="4" w:space="0" w:color="auto"/>
            </w:tcBorders>
            <w:shd w:val="clear" w:color="auto" w:fill="auto"/>
          </w:tcPr>
          <w:p w14:paraId="79BD3FF5" w14:textId="77777777" w:rsidR="00961AEB" w:rsidRPr="00144767" w:rsidRDefault="00961AEB" w:rsidP="00413CE9">
            <w:pPr>
              <w:jc w:val="right"/>
              <w:rPr>
                <w:i/>
                <w:color w:val="FF0000"/>
                <w:sz w:val="20"/>
              </w:rPr>
            </w:pPr>
            <w:r w:rsidRPr="007C5647">
              <w:rPr>
                <w:i/>
                <w:sz w:val="20"/>
              </w:rPr>
              <w:t>99 864</w:t>
            </w:r>
          </w:p>
        </w:tc>
        <w:tc>
          <w:tcPr>
            <w:tcW w:w="501" w:type="pct"/>
            <w:tcBorders>
              <w:top w:val="nil"/>
              <w:bottom w:val="single" w:sz="4" w:space="0" w:color="auto"/>
            </w:tcBorders>
            <w:shd w:val="clear" w:color="auto" w:fill="auto"/>
          </w:tcPr>
          <w:p w14:paraId="6C4BA48B" w14:textId="77777777" w:rsidR="00961AEB" w:rsidRPr="00144767" w:rsidRDefault="00961AEB" w:rsidP="00413CE9">
            <w:pPr>
              <w:jc w:val="right"/>
              <w:rPr>
                <w:i/>
                <w:color w:val="FF0000"/>
                <w:sz w:val="20"/>
              </w:rPr>
            </w:pPr>
            <w:r w:rsidRPr="008D40DF">
              <w:rPr>
                <w:i/>
                <w:sz w:val="20"/>
              </w:rPr>
              <w:t>114,28</w:t>
            </w:r>
          </w:p>
        </w:tc>
      </w:tr>
      <w:tr w:rsidR="00961AEB" w:rsidRPr="004760E8" w14:paraId="120BA8A9" w14:textId="77777777" w:rsidTr="0088307E">
        <w:trPr>
          <w:trHeight w:val="243"/>
          <w:jc w:val="right"/>
        </w:trPr>
        <w:tc>
          <w:tcPr>
            <w:tcW w:w="2343" w:type="pct"/>
            <w:tcBorders>
              <w:top w:val="single" w:sz="4" w:space="0" w:color="auto"/>
              <w:bottom w:val="nil"/>
            </w:tcBorders>
            <w:shd w:val="clear" w:color="auto" w:fill="auto"/>
          </w:tcPr>
          <w:p w14:paraId="368CB658" w14:textId="77777777" w:rsidR="00961AEB" w:rsidRDefault="00961AEB" w:rsidP="00413CE9">
            <w:pPr>
              <w:rPr>
                <w:i/>
                <w:sz w:val="20"/>
              </w:rPr>
            </w:pPr>
            <w:r w:rsidRPr="004C2D04">
              <w:rPr>
                <w:i/>
                <w:sz w:val="20"/>
              </w:rPr>
              <w:t xml:space="preserve">            výdaje na programy spolufinancované  </w:t>
            </w:r>
          </w:p>
          <w:p w14:paraId="4F3C2C61" w14:textId="77777777" w:rsidR="00961AEB" w:rsidRPr="004C2D04" w:rsidRDefault="00961AEB" w:rsidP="00413CE9">
            <w:pPr>
              <w:rPr>
                <w:i/>
                <w:sz w:val="20"/>
              </w:rPr>
            </w:pPr>
            <w:r>
              <w:rPr>
                <w:i/>
                <w:sz w:val="20"/>
              </w:rPr>
              <w:t xml:space="preserve">            </w:t>
            </w:r>
            <w:r w:rsidRPr="004C2D04">
              <w:rPr>
                <w:i/>
                <w:sz w:val="20"/>
              </w:rPr>
              <w:t>z rozpočtu EU v tom:</w:t>
            </w:r>
          </w:p>
        </w:tc>
        <w:tc>
          <w:tcPr>
            <w:tcW w:w="783" w:type="pct"/>
            <w:tcBorders>
              <w:top w:val="single" w:sz="4" w:space="0" w:color="auto"/>
              <w:bottom w:val="nil"/>
            </w:tcBorders>
            <w:shd w:val="clear" w:color="auto" w:fill="auto"/>
          </w:tcPr>
          <w:p w14:paraId="527F59FB" w14:textId="77777777" w:rsidR="00961AEB" w:rsidRDefault="00961AEB" w:rsidP="00413CE9">
            <w:pPr>
              <w:jc w:val="right"/>
              <w:rPr>
                <w:i/>
                <w:color w:val="FF0000"/>
                <w:sz w:val="20"/>
              </w:rPr>
            </w:pPr>
          </w:p>
          <w:p w14:paraId="7AABDCBA" w14:textId="77777777" w:rsidR="00961AEB" w:rsidRPr="004760E8" w:rsidRDefault="00961AEB" w:rsidP="00413CE9">
            <w:pPr>
              <w:jc w:val="right"/>
              <w:rPr>
                <w:i/>
                <w:color w:val="FF0000"/>
                <w:sz w:val="20"/>
              </w:rPr>
            </w:pPr>
            <w:r w:rsidRPr="00CC4F4C">
              <w:rPr>
                <w:i/>
                <w:sz w:val="20"/>
              </w:rPr>
              <w:t>8 029</w:t>
            </w:r>
          </w:p>
        </w:tc>
        <w:tc>
          <w:tcPr>
            <w:tcW w:w="705" w:type="pct"/>
            <w:tcBorders>
              <w:top w:val="single" w:sz="4" w:space="0" w:color="auto"/>
              <w:bottom w:val="nil"/>
            </w:tcBorders>
            <w:shd w:val="clear" w:color="auto" w:fill="auto"/>
          </w:tcPr>
          <w:p w14:paraId="2E3FD703" w14:textId="77777777" w:rsidR="00961AEB" w:rsidRDefault="00961AEB" w:rsidP="00413CE9">
            <w:pPr>
              <w:jc w:val="right"/>
              <w:rPr>
                <w:i/>
                <w:sz w:val="20"/>
              </w:rPr>
            </w:pPr>
          </w:p>
          <w:p w14:paraId="62286947" w14:textId="77777777" w:rsidR="00961AEB" w:rsidRPr="00C91345" w:rsidRDefault="00961AEB" w:rsidP="00413CE9">
            <w:pPr>
              <w:jc w:val="right"/>
              <w:rPr>
                <w:i/>
                <w:sz w:val="20"/>
              </w:rPr>
            </w:pPr>
            <w:r>
              <w:rPr>
                <w:i/>
                <w:sz w:val="20"/>
              </w:rPr>
              <w:t>1 253</w:t>
            </w:r>
          </w:p>
        </w:tc>
        <w:tc>
          <w:tcPr>
            <w:tcW w:w="667" w:type="pct"/>
            <w:tcBorders>
              <w:top w:val="single" w:sz="4" w:space="0" w:color="auto"/>
              <w:bottom w:val="nil"/>
            </w:tcBorders>
            <w:shd w:val="clear" w:color="auto" w:fill="auto"/>
          </w:tcPr>
          <w:p w14:paraId="435BA4CE" w14:textId="77777777" w:rsidR="00961AEB" w:rsidRPr="00B323EC" w:rsidRDefault="00961AEB" w:rsidP="00413CE9">
            <w:pPr>
              <w:jc w:val="right"/>
              <w:rPr>
                <w:i/>
                <w:color w:val="FF0000"/>
                <w:sz w:val="20"/>
              </w:rPr>
            </w:pPr>
          </w:p>
          <w:p w14:paraId="2DCE4EC6" w14:textId="25C1A20C" w:rsidR="00961AEB" w:rsidRPr="00B323EC" w:rsidRDefault="00F677B6">
            <w:pPr>
              <w:jc w:val="right"/>
              <w:rPr>
                <w:i/>
                <w:color w:val="FF0000"/>
                <w:sz w:val="20"/>
              </w:rPr>
            </w:pPr>
            <w:r w:rsidRPr="0088307E">
              <w:rPr>
                <w:i/>
                <w:sz w:val="20"/>
              </w:rPr>
              <w:t>32 634</w:t>
            </w:r>
          </w:p>
        </w:tc>
        <w:tc>
          <w:tcPr>
            <w:tcW w:w="501" w:type="pct"/>
            <w:tcBorders>
              <w:top w:val="single" w:sz="4" w:space="0" w:color="auto"/>
              <w:bottom w:val="nil"/>
            </w:tcBorders>
            <w:shd w:val="clear" w:color="auto" w:fill="auto"/>
          </w:tcPr>
          <w:p w14:paraId="54FA1A10" w14:textId="77777777" w:rsidR="00F677B6" w:rsidRDefault="00F677B6" w:rsidP="00413CE9">
            <w:pPr>
              <w:rPr>
                <w:i/>
                <w:color w:val="FF0000"/>
                <w:sz w:val="20"/>
              </w:rPr>
            </w:pPr>
          </w:p>
          <w:p w14:paraId="41310EA5" w14:textId="0E971480" w:rsidR="00961AEB" w:rsidRPr="00B323EC" w:rsidRDefault="00F677B6" w:rsidP="0088307E">
            <w:pPr>
              <w:jc w:val="right"/>
              <w:rPr>
                <w:i/>
                <w:color w:val="FF0000"/>
                <w:sz w:val="20"/>
              </w:rPr>
            </w:pPr>
            <w:r w:rsidRPr="0088307E">
              <w:rPr>
                <w:i/>
                <w:sz w:val="20"/>
              </w:rPr>
              <w:t>2604,47</w:t>
            </w:r>
          </w:p>
        </w:tc>
      </w:tr>
      <w:tr w:rsidR="00961AEB" w:rsidRPr="004760E8" w14:paraId="279F2450" w14:textId="77777777" w:rsidTr="0088307E">
        <w:trPr>
          <w:trHeight w:val="243"/>
          <w:jc w:val="right"/>
        </w:trPr>
        <w:tc>
          <w:tcPr>
            <w:tcW w:w="2343" w:type="pct"/>
            <w:tcBorders>
              <w:top w:val="nil"/>
              <w:bottom w:val="nil"/>
            </w:tcBorders>
            <w:shd w:val="clear" w:color="auto" w:fill="auto"/>
          </w:tcPr>
          <w:p w14:paraId="64521144" w14:textId="77777777" w:rsidR="00961AEB" w:rsidRDefault="00961AEB" w:rsidP="00413CE9">
            <w:pPr>
              <w:rPr>
                <w:i/>
                <w:sz w:val="20"/>
              </w:rPr>
            </w:pPr>
            <w:r>
              <w:rPr>
                <w:i/>
                <w:sz w:val="20"/>
              </w:rPr>
              <w:t xml:space="preserve">           OP Zaměstnanost</w:t>
            </w:r>
            <w:r w:rsidRPr="004C2D04">
              <w:rPr>
                <w:i/>
                <w:sz w:val="20"/>
              </w:rPr>
              <w:t xml:space="preserve">  2014 +</w:t>
            </w:r>
          </w:p>
          <w:p w14:paraId="3B6D4E8C" w14:textId="77777777" w:rsidR="00961AEB" w:rsidRPr="004C2D04" w:rsidRDefault="00961AEB" w:rsidP="00413CE9">
            <w:pPr>
              <w:jc w:val="center"/>
              <w:rPr>
                <w:i/>
                <w:sz w:val="20"/>
              </w:rPr>
            </w:pPr>
            <w:r>
              <w:rPr>
                <w:i/>
                <w:sz w:val="20"/>
              </w:rPr>
              <w:t xml:space="preserve">                         </w:t>
            </w:r>
            <w:r w:rsidRPr="004C2D04">
              <w:rPr>
                <w:i/>
                <w:sz w:val="20"/>
              </w:rPr>
              <w:t>v tom: ze SR</w:t>
            </w:r>
          </w:p>
          <w:p w14:paraId="6B6B1976" w14:textId="77777777" w:rsidR="00961AEB" w:rsidRPr="004C2D04" w:rsidRDefault="00961AEB" w:rsidP="00413CE9">
            <w:pPr>
              <w:rPr>
                <w:i/>
                <w:sz w:val="20"/>
              </w:rPr>
            </w:pPr>
            <w:r w:rsidRPr="004C2D04">
              <w:rPr>
                <w:i/>
                <w:sz w:val="20"/>
              </w:rPr>
              <w:t xml:space="preserve">                                                 </w:t>
            </w:r>
            <w:r>
              <w:rPr>
                <w:i/>
                <w:sz w:val="20"/>
              </w:rPr>
              <w:t xml:space="preserve">     </w:t>
            </w:r>
            <w:r w:rsidRPr="004C2D04">
              <w:rPr>
                <w:i/>
                <w:sz w:val="20"/>
              </w:rPr>
              <w:t>z rozpočtu EU</w:t>
            </w:r>
          </w:p>
        </w:tc>
        <w:tc>
          <w:tcPr>
            <w:tcW w:w="783" w:type="pct"/>
            <w:tcBorders>
              <w:top w:val="nil"/>
              <w:bottom w:val="nil"/>
            </w:tcBorders>
            <w:shd w:val="clear" w:color="auto" w:fill="auto"/>
          </w:tcPr>
          <w:p w14:paraId="06BCC473" w14:textId="77777777" w:rsidR="00961AEB" w:rsidRPr="00CC4F4C" w:rsidRDefault="00961AEB" w:rsidP="00413CE9">
            <w:pPr>
              <w:jc w:val="right"/>
              <w:rPr>
                <w:i/>
                <w:sz w:val="20"/>
                <w:szCs w:val="20"/>
              </w:rPr>
            </w:pPr>
            <w:r w:rsidRPr="00CC4F4C">
              <w:rPr>
                <w:i/>
                <w:sz w:val="20"/>
                <w:szCs w:val="20"/>
              </w:rPr>
              <w:t xml:space="preserve">                   10</w:t>
            </w:r>
          </w:p>
          <w:p w14:paraId="12C91791" w14:textId="77777777" w:rsidR="00961AEB" w:rsidRPr="00CC4F4C" w:rsidRDefault="00961AEB" w:rsidP="00413CE9">
            <w:pPr>
              <w:jc w:val="right"/>
              <w:rPr>
                <w:i/>
                <w:sz w:val="20"/>
                <w:szCs w:val="20"/>
              </w:rPr>
            </w:pPr>
            <w:r w:rsidRPr="00CC4F4C">
              <w:rPr>
                <w:i/>
                <w:sz w:val="20"/>
                <w:szCs w:val="20"/>
              </w:rPr>
              <w:t>5</w:t>
            </w:r>
          </w:p>
          <w:p w14:paraId="4799DA76" w14:textId="77777777" w:rsidR="00961AEB" w:rsidRPr="004760E8" w:rsidRDefault="00961AEB" w:rsidP="00413CE9">
            <w:pPr>
              <w:jc w:val="right"/>
              <w:rPr>
                <w:i/>
                <w:color w:val="FF0000"/>
                <w:sz w:val="20"/>
                <w:szCs w:val="20"/>
              </w:rPr>
            </w:pPr>
            <w:r w:rsidRPr="00CC4F4C">
              <w:rPr>
                <w:i/>
                <w:sz w:val="20"/>
                <w:szCs w:val="20"/>
              </w:rPr>
              <w:t>5</w:t>
            </w:r>
          </w:p>
        </w:tc>
        <w:tc>
          <w:tcPr>
            <w:tcW w:w="705" w:type="pct"/>
            <w:tcBorders>
              <w:top w:val="nil"/>
              <w:bottom w:val="nil"/>
            </w:tcBorders>
            <w:shd w:val="clear" w:color="auto" w:fill="auto"/>
          </w:tcPr>
          <w:p w14:paraId="745EB0F6" w14:textId="77777777" w:rsidR="00961AEB" w:rsidRDefault="00961AEB" w:rsidP="00413CE9">
            <w:pPr>
              <w:jc w:val="right"/>
              <w:rPr>
                <w:i/>
                <w:sz w:val="20"/>
              </w:rPr>
            </w:pPr>
            <w:r>
              <w:rPr>
                <w:i/>
                <w:sz w:val="20"/>
              </w:rPr>
              <w:t>0</w:t>
            </w:r>
          </w:p>
          <w:p w14:paraId="6FB7D43C" w14:textId="77777777" w:rsidR="00961AEB" w:rsidRDefault="00961AEB" w:rsidP="00413CE9">
            <w:pPr>
              <w:jc w:val="right"/>
              <w:rPr>
                <w:i/>
                <w:sz w:val="20"/>
              </w:rPr>
            </w:pPr>
            <w:r>
              <w:rPr>
                <w:i/>
                <w:sz w:val="20"/>
              </w:rPr>
              <w:t>0</w:t>
            </w:r>
          </w:p>
          <w:p w14:paraId="7A560033" w14:textId="77777777" w:rsidR="00961AEB" w:rsidRPr="00C91345" w:rsidRDefault="00961AEB" w:rsidP="00413CE9">
            <w:pPr>
              <w:jc w:val="right"/>
              <w:rPr>
                <w:i/>
                <w:sz w:val="20"/>
              </w:rPr>
            </w:pPr>
            <w:r>
              <w:rPr>
                <w:i/>
                <w:sz w:val="20"/>
              </w:rPr>
              <w:t>0</w:t>
            </w:r>
          </w:p>
        </w:tc>
        <w:tc>
          <w:tcPr>
            <w:tcW w:w="667" w:type="pct"/>
            <w:tcBorders>
              <w:top w:val="nil"/>
              <w:bottom w:val="nil"/>
            </w:tcBorders>
            <w:shd w:val="clear" w:color="auto" w:fill="auto"/>
          </w:tcPr>
          <w:p w14:paraId="50528EDA" w14:textId="77777777" w:rsidR="00961AEB" w:rsidRPr="0088307E" w:rsidRDefault="00961AEB" w:rsidP="00413CE9">
            <w:pPr>
              <w:jc w:val="right"/>
              <w:rPr>
                <w:i/>
                <w:sz w:val="20"/>
              </w:rPr>
            </w:pPr>
            <w:r w:rsidRPr="0088307E">
              <w:rPr>
                <w:i/>
                <w:sz w:val="20"/>
              </w:rPr>
              <w:t>0</w:t>
            </w:r>
          </w:p>
          <w:p w14:paraId="0A3F1172" w14:textId="77777777" w:rsidR="00961AEB" w:rsidRPr="0088307E" w:rsidRDefault="00961AEB" w:rsidP="00413CE9">
            <w:pPr>
              <w:jc w:val="right"/>
              <w:rPr>
                <w:i/>
                <w:sz w:val="20"/>
              </w:rPr>
            </w:pPr>
            <w:r w:rsidRPr="0088307E">
              <w:rPr>
                <w:i/>
                <w:sz w:val="20"/>
              </w:rPr>
              <w:t>0</w:t>
            </w:r>
          </w:p>
          <w:p w14:paraId="308D0A7F" w14:textId="77777777" w:rsidR="00961AEB" w:rsidRPr="0088307E" w:rsidRDefault="00961AEB" w:rsidP="00413CE9">
            <w:pPr>
              <w:jc w:val="right"/>
              <w:rPr>
                <w:i/>
                <w:sz w:val="20"/>
              </w:rPr>
            </w:pPr>
            <w:r w:rsidRPr="0088307E">
              <w:rPr>
                <w:i/>
                <w:sz w:val="20"/>
              </w:rPr>
              <w:t>0</w:t>
            </w:r>
          </w:p>
        </w:tc>
        <w:tc>
          <w:tcPr>
            <w:tcW w:w="501" w:type="pct"/>
            <w:tcBorders>
              <w:top w:val="nil"/>
              <w:bottom w:val="nil"/>
            </w:tcBorders>
            <w:shd w:val="clear" w:color="auto" w:fill="auto"/>
          </w:tcPr>
          <w:p w14:paraId="2DD879F0" w14:textId="77777777" w:rsidR="00961AEB" w:rsidRPr="0088307E" w:rsidRDefault="00961AEB" w:rsidP="00413CE9">
            <w:pPr>
              <w:jc w:val="right"/>
              <w:rPr>
                <w:i/>
                <w:sz w:val="20"/>
              </w:rPr>
            </w:pPr>
            <w:r w:rsidRPr="0088307E">
              <w:rPr>
                <w:i/>
                <w:sz w:val="20"/>
              </w:rPr>
              <w:t>0,00</w:t>
            </w:r>
          </w:p>
          <w:p w14:paraId="64CAB0D2" w14:textId="77777777" w:rsidR="00961AEB" w:rsidRPr="0088307E" w:rsidRDefault="00961AEB" w:rsidP="00413CE9">
            <w:pPr>
              <w:jc w:val="right"/>
              <w:rPr>
                <w:i/>
                <w:sz w:val="20"/>
              </w:rPr>
            </w:pPr>
            <w:r w:rsidRPr="0088307E">
              <w:rPr>
                <w:i/>
                <w:sz w:val="20"/>
              </w:rPr>
              <w:t>0,00</w:t>
            </w:r>
          </w:p>
          <w:p w14:paraId="4EEE50D0" w14:textId="77777777" w:rsidR="00961AEB" w:rsidRPr="0088307E" w:rsidRDefault="00961AEB" w:rsidP="00413CE9">
            <w:pPr>
              <w:jc w:val="right"/>
              <w:rPr>
                <w:i/>
                <w:sz w:val="20"/>
              </w:rPr>
            </w:pPr>
            <w:r w:rsidRPr="0088307E">
              <w:rPr>
                <w:i/>
                <w:sz w:val="20"/>
              </w:rPr>
              <w:t>0,00</w:t>
            </w:r>
          </w:p>
        </w:tc>
      </w:tr>
      <w:tr w:rsidR="00961AEB" w:rsidRPr="004760E8" w14:paraId="2B69EDC9" w14:textId="77777777" w:rsidTr="0088307E">
        <w:trPr>
          <w:trHeight w:val="243"/>
          <w:jc w:val="right"/>
        </w:trPr>
        <w:tc>
          <w:tcPr>
            <w:tcW w:w="2343" w:type="pct"/>
            <w:tcBorders>
              <w:top w:val="nil"/>
              <w:bottom w:val="nil"/>
            </w:tcBorders>
            <w:shd w:val="clear" w:color="auto" w:fill="auto"/>
          </w:tcPr>
          <w:p w14:paraId="1F40E85B" w14:textId="77777777" w:rsidR="00961AEB" w:rsidRPr="004C2D04" w:rsidRDefault="00961AEB" w:rsidP="00413CE9">
            <w:pPr>
              <w:rPr>
                <w:i/>
                <w:sz w:val="20"/>
              </w:rPr>
            </w:pPr>
            <w:r>
              <w:rPr>
                <w:i/>
                <w:sz w:val="20"/>
              </w:rPr>
              <w:t xml:space="preserve">         </w:t>
            </w:r>
            <w:r w:rsidRPr="004C2D04">
              <w:rPr>
                <w:i/>
                <w:sz w:val="20"/>
              </w:rPr>
              <w:t xml:space="preserve"> OP Doprava – CF  2014 +</w:t>
            </w:r>
          </w:p>
        </w:tc>
        <w:tc>
          <w:tcPr>
            <w:tcW w:w="783" w:type="pct"/>
            <w:tcBorders>
              <w:top w:val="nil"/>
              <w:bottom w:val="nil"/>
            </w:tcBorders>
            <w:shd w:val="clear" w:color="auto" w:fill="auto"/>
          </w:tcPr>
          <w:p w14:paraId="181EB5FD" w14:textId="77777777" w:rsidR="00961AEB" w:rsidRPr="004760E8" w:rsidRDefault="00961AEB" w:rsidP="00413CE9">
            <w:pPr>
              <w:jc w:val="right"/>
              <w:rPr>
                <w:i/>
                <w:color w:val="FF0000"/>
                <w:sz w:val="20"/>
                <w:szCs w:val="20"/>
              </w:rPr>
            </w:pPr>
            <w:r w:rsidRPr="00B74DDD">
              <w:rPr>
                <w:i/>
                <w:sz w:val="20"/>
                <w:szCs w:val="20"/>
              </w:rPr>
              <w:t>7 470</w:t>
            </w:r>
          </w:p>
        </w:tc>
        <w:tc>
          <w:tcPr>
            <w:tcW w:w="705" w:type="pct"/>
            <w:tcBorders>
              <w:top w:val="nil"/>
              <w:bottom w:val="nil"/>
            </w:tcBorders>
            <w:shd w:val="clear" w:color="auto" w:fill="auto"/>
          </w:tcPr>
          <w:p w14:paraId="6D3876F6" w14:textId="77777777" w:rsidR="00961AEB" w:rsidRPr="00C91345" w:rsidRDefault="00961AEB" w:rsidP="00413CE9">
            <w:pPr>
              <w:jc w:val="right"/>
              <w:rPr>
                <w:i/>
                <w:sz w:val="20"/>
              </w:rPr>
            </w:pPr>
            <w:r w:rsidRPr="00C91345">
              <w:rPr>
                <w:i/>
                <w:sz w:val="20"/>
              </w:rPr>
              <w:t>453</w:t>
            </w:r>
          </w:p>
        </w:tc>
        <w:tc>
          <w:tcPr>
            <w:tcW w:w="667" w:type="pct"/>
            <w:tcBorders>
              <w:top w:val="nil"/>
              <w:bottom w:val="nil"/>
            </w:tcBorders>
            <w:shd w:val="clear" w:color="auto" w:fill="auto"/>
          </w:tcPr>
          <w:p w14:paraId="2A38A338" w14:textId="77777777" w:rsidR="00961AEB" w:rsidRPr="0088307E" w:rsidRDefault="00961AEB" w:rsidP="00413CE9">
            <w:pPr>
              <w:jc w:val="right"/>
              <w:rPr>
                <w:i/>
                <w:sz w:val="20"/>
              </w:rPr>
            </w:pPr>
            <w:r w:rsidRPr="0088307E">
              <w:rPr>
                <w:i/>
                <w:sz w:val="20"/>
              </w:rPr>
              <w:t>0</w:t>
            </w:r>
          </w:p>
        </w:tc>
        <w:tc>
          <w:tcPr>
            <w:tcW w:w="501" w:type="pct"/>
            <w:tcBorders>
              <w:top w:val="nil"/>
              <w:bottom w:val="nil"/>
            </w:tcBorders>
            <w:shd w:val="clear" w:color="auto" w:fill="auto"/>
          </w:tcPr>
          <w:p w14:paraId="59DA6BE4" w14:textId="77777777" w:rsidR="00961AEB" w:rsidRPr="0088307E" w:rsidRDefault="00961AEB" w:rsidP="00413CE9">
            <w:pPr>
              <w:jc w:val="right"/>
              <w:rPr>
                <w:i/>
                <w:sz w:val="20"/>
              </w:rPr>
            </w:pPr>
            <w:r w:rsidRPr="0088307E">
              <w:rPr>
                <w:i/>
                <w:sz w:val="20"/>
              </w:rPr>
              <w:t>0,00</w:t>
            </w:r>
          </w:p>
        </w:tc>
      </w:tr>
      <w:tr w:rsidR="00961AEB" w:rsidRPr="004760E8" w14:paraId="5433F2D6" w14:textId="77777777" w:rsidTr="0088307E">
        <w:trPr>
          <w:trHeight w:val="243"/>
          <w:jc w:val="right"/>
        </w:trPr>
        <w:tc>
          <w:tcPr>
            <w:tcW w:w="2343" w:type="pct"/>
            <w:tcBorders>
              <w:top w:val="nil"/>
              <w:bottom w:val="nil"/>
            </w:tcBorders>
            <w:shd w:val="clear" w:color="auto" w:fill="auto"/>
          </w:tcPr>
          <w:p w14:paraId="19D3F756" w14:textId="77777777" w:rsidR="00961AEB" w:rsidRPr="004C2D04" w:rsidRDefault="00961AEB" w:rsidP="00413CE9">
            <w:pPr>
              <w:rPr>
                <w:i/>
                <w:sz w:val="20"/>
              </w:rPr>
            </w:pPr>
            <w:r w:rsidRPr="004C2D04">
              <w:rPr>
                <w:i/>
                <w:sz w:val="20"/>
              </w:rPr>
              <w:t xml:space="preserve">                                            v tom: ze SR</w:t>
            </w:r>
          </w:p>
        </w:tc>
        <w:tc>
          <w:tcPr>
            <w:tcW w:w="783" w:type="pct"/>
            <w:tcBorders>
              <w:top w:val="nil"/>
              <w:bottom w:val="nil"/>
            </w:tcBorders>
            <w:shd w:val="clear" w:color="auto" w:fill="auto"/>
          </w:tcPr>
          <w:p w14:paraId="73C4645F" w14:textId="77777777" w:rsidR="00961AEB" w:rsidRPr="004760E8" w:rsidRDefault="00961AEB" w:rsidP="00413CE9">
            <w:pPr>
              <w:jc w:val="right"/>
              <w:rPr>
                <w:i/>
                <w:color w:val="FF0000"/>
                <w:sz w:val="20"/>
                <w:szCs w:val="20"/>
              </w:rPr>
            </w:pPr>
            <w:r w:rsidRPr="007A1CF1">
              <w:rPr>
                <w:i/>
                <w:sz w:val="20"/>
                <w:szCs w:val="20"/>
              </w:rPr>
              <w:t>1 120</w:t>
            </w:r>
          </w:p>
        </w:tc>
        <w:tc>
          <w:tcPr>
            <w:tcW w:w="705" w:type="pct"/>
            <w:tcBorders>
              <w:top w:val="nil"/>
              <w:bottom w:val="nil"/>
            </w:tcBorders>
            <w:shd w:val="clear" w:color="auto" w:fill="auto"/>
          </w:tcPr>
          <w:p w14:paraId="504B9150" w14:textId="77777777" w:rsidR="00961AEB" w:rsidRPr="00C91345" w:rsidRDefault="00961AEB" w:rsidP="00413CE9">
            <w:pPr>
              <w:jc w:val="right"/>
              <w:rPr>
                <w:i/>
                <w:sz w:val="20"/>
              </w:rPr>
            </w:pPr>
            <w:r w:rsidRPr="00C91345">
              <w:rPr>
                <w:i/>
                <w:sz w:val="20"/>
              </w:rPr>
              <w:t>68</w:t>
            </w:r>
          </w:p>
        </w:tc>
        <w:tc>
          <w:tcPr>
            <w:tcW w:w="667" w:type="pct"/>
            <w:tcBorders>
              <w:top w:val="nil"/>
              <w:bottom w:val="nil"/>
            </w:tcBorders>
            <w:shd w:val="clear" w:color="auto" w:fill="auto"/>
          </w:tcPr>
          <w:p w14:paraId="7E128D30" w14:textId="77777777" w:rsidR="00961AEB" w:rsidRPr="0088307E" w:rsidRDefault="00961AEB" w:rsidP="00413CE9">
            <w:pPr>
              <w:jc w:val="right"/>
              <w:rPr>
                <w:i/>
                <w:sz w:val="20"/>
              </w:rPr>
            </w:pPr>
            <w:r w:rsidRPr="0088307E">
              <w:rPr>
                <w:i/>
                <w:sz w:val="20"/>
              </w:rPr>
              <w:t>0</w:t>
            </w:r>
          </w:p>
        </w:tc>
        <w:tc>
          <w:tcPr>
            <w:tcW w:w="501" w:type="pct"/>
            <w:tcBorders>
              <w:top w:val="nil"/>
              <w:bottom w:val="nil"/>
            </w:tcBorders>
            <w:shd w:val="clear" w:color="auto" w:fill="auto"/>
          </w:tcPr>
          <w:p w14:paraId="28BF768E" w14:textId="77777777" w:rsidR="00961AEB" w:rsidRPr="0088307E" w:rsidRDefault="00961AEB" w:rsidP="00413CE9">
            <w:pPr>
              <w:jc w:val="right"/>
              <w:rPr>
                <w:i/>
                <w:sz w:val="20"/>
              </w:rPr>
            </w:pPr>
            <w:r w:rsidRPr="0088307E">
              <w:rPr>
                <w:i/>
                <w:sz w:val="20"/>
              </w:rPr>
              <w:t>0,00</w:t>
            </w:r>
          </w:p>
        </w:tc>
      </w:tr>
      <w:tr w:rsidR="00961AEB" w:rsidRPr="004760E8" w14:paraId="6E726FF0" w14:textId="77777777" w:rsidTr="009B5808">
        <w:trPr>
          <w:trHeight w:val="283"/>
          <w:jc w:val="right"/>
        </w:trPr>
        <w:tc>
          <w:tcPr>
            <w:tcW w:w="2343" w:type="pct"/>
            <w:tcBorders>
              <w:top w:val="nil"/>
              <w:bottom w:val="nil"/>
            </w:tcBorders>
            <w:shd w:val="clear" w:color="auto" w:fill="auto"/>
          </w:tcPr>
          <w:p w14:paraId="67F7DFFE" w14:textId="77777777" w:rsidR="00961AEB" w:rsidRPr="004C2D04" w:rsidRDefault="00961AEB" w:rsidP="00413CE9">
            <w:pPr>
              <w:tabs>
                <w:tab w:val="left" w:pos="880"/>
              </w:tabs>
              <w:rPr>
                <w:i/>
                <w:sz w:val="20"/>
              </w:rPr>
            </w:pPr>
            <w:r w:rsidRPr="004C2D04">
              <w:rPr>
                <w:i/>
                <w:sz w:val="20"/>
              </w:rPr>
              <w:t xml:space="preserve">                                                       z rozpočtu EU</w:t>
            </w:r>
          </w:p>
        </w:tc>
        <w:tc>
          <w:tcPr>
            <w:tcW w:w="783" w:type="pct"/>
            <w:tcBorders>
              <w:top w:val="nil"/>
              <w:bottom w:val="nil"/>
            </w:tcBorders>
            <w:shd w:val="clear" w:color="auto" w:fill="auto"/>
          </w:tcPr>
          <w:p w14:paraId="2B5914D3" w14:textId="77777777" w:rsidR="00961AEB" w:rsidRPr="00B74DDD" w:rsidRDefault="00961AEB" w:rsidP="00413CE9">
            <w:pPr>
              <w:jc w:val="right"/>
              <w:rPr>
                <w:i/>
                <w:sz w:val="20"/>
                <w:szCs w:val="20"/>
              </w:rPr>
            </w:pPr>
            <w:r>
              <w:rPr>
                <w:i/>
                <w:sz w:val="20"/>
                <w:szCs w:val="20"/>
              </w:rPr>
              <w:t>6 349</w:t>
            </w:r>
          </w:p>
        </w:tc>
        <w:tc>
          <w:tcPr>
            <w:tcW w:w="705" w:type="pct"/>
            <w:tcBorders>
              <w:top w:val="nil"/>
              <w:bottom w:val="nil"/>
            </w:tcBorders>
            <w:shd w:val="clear" w:color="auto" w:fill="auto"/>
          </w:tcPr>
          <w:p w14:paraId="1380BEAB" w14:textId="77777777" w:rsidR="00961AEB" w:rsidRPr="00B74DDD" w:rsidRDefault="00961AEB" w:rsidP="00413CE9">
            <w:pPr>
              <w:jc w:val="right"/>
              <w:rPr>
                <w:i/>
                <w:sz w:val="20"/>
              </w:rPr>
            </w:pPr>
            <w:r w:rsidRPr="00B74DDD">
              <w:rPr>
                <w:i/>
                <w:sz w:val="20"/>
              </w:rPr>
              <w:t>385</w:t>
            </w:r>
          </w:p>
        </w:tc>
        <w:tc>
          <w:tcPr>
            <w:tcW w:w="667" w:type="pct"/>
            <w:tcBorders>
              <w:top w:val="nil"/>
              <w:bottom w:val="nil"/>
            </w:tcBorders>
            <w:shd w:val="clear" w:color="auto" w:fill="auto"/>
          </w:tcPr>
          <w:p w14:paraId="4D1F5BB2" w14:textId="77777777" w:rsidR="00961AEB" w:rsidRPr="0088307E" w:rsidRDefault="00961AEB" w:rsidP="00413CE9">
            <w:pPr>
              <w:jc w:val="right"/>
              <w:rPr>
                <w:i/>
                <w:sz w:val="20"/>
              </w:rPr>
            </w:pPr>
            <w:r w:rsidRPr="0088307E">
              <w:rPr>
                <w:i/>
                <w:sz w:val="20"/>
              </w:rPr>
              <w:t>0</w:t>
            </w:r>
          </w:p>
        </w:tc>
        <w:tc>
          <w:tcPr>
            <w:tcW w:w="501" w:type="pct"/>
            <w:tcBorders>
              <w:top w:val="nil"/>
              <w:bottom w:val="nil"/>
            </w:tcBorders>
            <w:shd w:val="clear" w:color="auto" w:fill="auto"/>
          </w:tcPr>
          <w:p w14:paraId="470D90A2" w14:textId="77777777" w:rsidR="00961AEB" w:rsidRPr="0088307E" w:rsidRDefault="00961AEB" w:rsidP="00413CE9">
            <w:pPr>
              <w:jc w:val="right"/>
              <w:rPr>
                <w:i/>
                <w:sz w:val="20"/>
              </w:rPr>
            </w:pPr>
            <w:r w:rsidRPr="0088307E">
              <w:rPr>
                <w:i/>
                <w:sz w:val="20"/>
              </w:rPr>
              <w:t>0,00</w:t>
            </w:r>
          </w:p>
        </w:tc>
      </w:tr>
      <w:tr w:rsidR="00961AEB" w:rsidRPr="004760E8" w14:paraId="367E6F2F" w14:textId="77777777" w:rsidTr="009B5808">
        <w:trPr>
          <w:trHeight w:val="65"/>
          <w:jc w:val="right"/>
        </w:trPr>
        <w:tc>
          <w:tcPr>
            <w:tcW w:w="2343" w:type="pct"/>
            <w:tcBorders>
              <w:top w:val="nil"/>
              <w:bottom w:val="dashed" w:sz="4" w:space="0" w:color="auto"/>
            </w:tcBorders>
            <w:shd w:val="clear" w:color="auto" w:fill="auto"/>
          </w:tcPr>
          <w:p w14:paraId="373D4944" w14:textId="77777777" w:rsidR="00961AEB" w:rsidRPr="004C2D04" w:rsidRDefault="00961AEB" w:rsidP="00413CE9">
            <w:pPr>
              <w:tabs>
                <w:tab w:val="left" w:pos="880"/>
              </w:tabs>
              <w:rPr>
                <w:i/>
                <w:sz w:val="20"/>
              </w:rPr>
            </w:pPr>
            <w:r w:rsidRPr="004C2D04">
              <w:rPr>
                <w:i/>
                <w:sz w:val="20"/>
              </w:rPr>
              <w:t xml:space="preserve">          KP Nástroj pro propojení Evropy  2014 +           </w:t>
            </w:r>
          </w:p>
          <w:p w14:paraId="453091F1" w14:textId="77777777" w:rsidR="00961AEB" w:rsidRPr="004C2D04" w:rsidRDefault="00961AEB" w:rsidP="00413CE9">
            <w:pPr>
              <w:jc w:val="center"/>
              <w:rPr>
                <w:i/>
                <w:sz w:val="20"/>
              </w:rPr>
            </w:pPr>
            <w:r w:rsidRPr="004C2D04">
              <w:rPr>
                <w:i/>
                <w:sz w:val="20"/>
              </w:rPr>
              <w:t xml:space="preserve">                         v tom: ze SR</w:t>
            </w:r>
          </w:p>
          <w:p w14:paraId="735B9507" w14:textId="77777777" w:rsidR="00961AEB" w:rsidRPr="004C2D04" w:rsidRDefault="00961AEB" w:rsidP="00413CE9">
            <w:pPr>
              <w:tabs>
                <w:tab w:val="left" w:pos="880"/>
              </w:tabs>
              <w:jc w:val="center"/>
              <w:rPr>
                <w:i/>
                <w:sz w:val="20"/>
              </w:rPr>
            </w:pPr>
            <w:r w:rsidRPr="004C2D04">
              <w:rPr>
                <w:i/>
                <w:sz w:val="20"/>
              </w:rPr>
              <w:t xml:space="preserve">                                                 z rozpočtu EU </w:t>
            </w:r>
          </w:p>
        </w:tc>
        <w:tc>
          <w:tcPr>
            <w:tcW w:w="783" w:type="pct"/>
            <w:tcBorders>
              <w:top w:val="nil"/>
              <w:bottom w:val="dashed" w:sz="4" w:space="0" w:color="auto"/>
            </w:tcBorders>
            <w:shd w:val="clear" w:color="auto" w:fill="auto"/>
          </w:tcPr>
          <w:p w14:paraId="1B711C84" w14:textId="77777777" w:rsidR="00961AEB" w:rsidRPr="007A1CF1" w:rsidRDefault="00961AEB" w:rsidP="00413CE9">
            <w:pPr>
              <w:jc w:val="right"/>
              <w:rPr>
                <w:i/>
                <w:sz w:val="20"/>
                <w:szCs w:val="20"/>
              </w:rPr>
            </w:pPr>
            <w:r w:rsidRPr="007A1CF1">
              <w:rPr>
                <w:i/>
                <w:sz w:val="20"/>
                <w:szCs w:val="20"/>
              </w:rPr>
              <w:t>549</w:t>
            </w:r>
          </w:p>
          <w:p w14:paraId="5D5FA7E1" w14:textId="77777777" w:rsidR="00961AEB" w:rsidRPr="007A1CF1" w:rsidRDefault="00961AEB" w:rsidP="00413CE9">
            <w:pPr>
              <w:jc w:val="right"/>
              <w:rPr>
                <w:i/>
                <w:sz w:val="20"/>
                <w:szCs w:val="20"/>
              </w:rPr>
            </w:pPr>
            <w:r w:rsidRPr="007A1CF1">
              <w:rPr>
                <w:i/>
                <w:sz w:val="20"/>
                <w:szCs w:val="20"/>
              </w:rPr>
              <w:t>151</w:t>
            </w:r>
          </w:p>
          <w:p w14:paraId="39B837DC" w14:textId="77777777" w:rsidR="00961AEB" w:rsidRPr="004760E8" w:rsidRDefault="00961AEB" w:rsidP="00413CE9">
            <w:pPr>
              <w:jc w:val="right"/>
              <w:rPr>
                <w:i/>
                <w:color w:val="FF0000"/>
                <w:sz w:val="20"/>
                <w:szCs w:val="20"/>
              </w:rPr>
            </w:pPr>
            <w:r w:rsidRPr="007A1CF1">
              <w:rPr>
                <w:i/>
                <w:sz w:val="20"/>
                <w:szCs w:val="20"/>
              </w:rPr>
              <w:t>398</w:t>
            </w:r>
          </w:p>
        </w:tc>
        <w:tc>
          <w:tcPr>
            <w:tcW w:w="705" w:type="pct"/>
            <w:tcBorders>
              <w:top w:val="nil"/>
              <w:bottom w:val="dashed" w:sz="4" w:space="0" w:color="auto"/>
            </w:tcBorders>
            <w:shd w:val="clear" w:color="auto" w:fill="auto"/>
          </w:tcPr>
          <w:p w14:paraId="6B43B395" w14:textId="77777777" w:rsidR="00961AEB" w:rsidRPr="00C91345" w:rsidRDefault="00961AEB" w:rsidP="00413CE9">
            <w:pPr>
              <w:jc w:val="right"/>
              <w:rPr>
                <w:i/>
                <w:sz w:val="20"/>
              </w:rPr>
            </w:pPr>
            <w:r w:rsidRPr="00C91345">
              <w:rPr>
                <w:i/>
                <w:sz w:val="20"/>
              </w:rPr>
              <w:t>0</w:t>
            </w:r>
          </w:p>
          <w:p w14:paraId="1F4D51F8" w14:textId="77777777" w:rsidR="00961AEB" w:rsidRPr="00C91345" w:rsidRDefault="00961AEB" w:rsidP="00413CE9">
            <w:pPr>
              <w:jc w:val="right"/>
              <w:rPr>
                <w:i/>
                <w:sz w:val="20"/>
              </w:rPr>
            </w:pPr>
            <w:r w:rsidRPr="00C91345">
              <w:rPr>
                <w:i/>
                <w:sz w:val="20"/>
              </w:rPr>
              <w:t>0</w:t>
            </w:r>
          </w:p>
          <w:p w14:paraId="744E4DDD" w14:textId="77777777" w:rsidR="00961AEB" w:rsidRPr="00C91345" w:rsidRDefault="00961AEB" w:rsidP="00413CE9">
            <w:pPr>
              <w:jc w:val="right"/>
              <w:rPr>
                <w:i/>
                <w:sz w:val="20"/>
              </w:rPr>
            </w:pPr>
            <w:r w:rsidRPr="00C91345">
              <w:rPr>
                <w:i/>
                <w:sz w:val="20"/>
              </w:rPr>
              <w:t>0</w:t>
            </w:r>
          </w:p>
        </w:tc>
        <w:tc>
          <w:tcPr>
            <w:tcW w:w="667" w:type="pct"/>
            <w:tcBorders>
              <w:top w:val="nil"/>
              <w:bottom w:val="dashed" w:sz="4" w:space="0" w:color="auto"/>
            </w:tcBorders>
            <w:shd w:val="clear" w:color="auto" w:fill="auto"/>
          </w:tcPr>
          <w:p w14:paraId="7B0E0F04" w14:textId="77777777" w:rsidR="00961AEB" w:rsidRPr="0088307E" w:rsidRDefault="00961AEB" w:rsidP="00413CE9">
            <w:pPr>
              <w:jc w:val="right"/>
              <w:rPr>
                <w:i/>
                <w:sz w:val="20"/>
              </w:rPr>
            </w:pPr>
            <w:r w:rsidRPr="0088307E">
              <w:rPr>
                <w:i/>
                <w:sz w:val="20"/>
              </w:rPr>
              <w:t>730</w:t>
            </w:r>
          </w:p>
          <w:p w14:paraId="656316D8" w14:textId="77777777" w:rsidR="00961AEB" w:rsidRPr="0088307E" w:rsidRDefault="00961AEB" w:rsidP="00413CE9">
            <w:pPr>
              <w:jc w:val="right"/>
              <w:rPr>
                <w:i/>
                <w:sz w:val="20"/>
              </w:rPr>
            </w:pPr>
            <w:r w:rsidRPr="0088307E">
              <w:rPr>
                <w:i/>
                <w:sz w:val="20"/>
              </w:rPr>
              <w:t>173</w:t>
            </w:r>
          </w:p>
          <w:p w14:paraId="25704931" w14:textId="77777777" w:rsidR="00961AEB" w:rsidRPr="0088307E" w:rsidRDefault="00961AEB" w:rsidP="00413CE9">
            <w:pPr>
              <w:jc w:val="right"/>
              <w:rPr>
                <w:i/>
                <w:sz w:val="20"/>
              </w:rPr>
            </w:pPr>
            <w:r w:rsidRPr="0088307E">
              <w:rPr>
                <w:i/>
                <w:sz w:val="20"/>
              </w:rPr>
              <w:t>558</w:t>
            </w:r>
          </w:p>
        </w:tc>
        <w:tc>
          <w:tcPr>
            <w:tcW w:w="501" w:type="pct"/>
            <w:tcBorders>
              <w:top w:val="nil"/>
              <w:bottom w:val="dashed" w:sz="4" w:space="0" w:color="auto"/>
            </w:tcBorders>
            <w:shd w:val="clear" w:color="auto" w:fill="auto"/>
          </w:tcPr>
          <w:p w14:paraId="5FB4A5C8" w14:textId="77777777" w:rsidR="00961AEB" w:rsidRPr="0088307E" w:rsidRDefault="00961AEB" w:rsidP="00413CE9">
            <w:pPr>
              <w:jc w:val="right"/>
              <w:rPr>
                <w:i/>
                <w:sz w:val="20"/>
              </w:rPr>
            </w:pPr>
            <w:r w:rsidRPr="0088307E">
              <w:rPr>
                <w:i/>
                <w:sz w:val="20"/>
              </w:rPr>
              <w:t>0,00</w:t>
            </w:r>
          </w:p>
          <w:p w14:paraId="3048C059" w14:textId="77777777" w:rsidR="00961AEB" w:rsidRPr="0088307E" w:rsidRDefault="00961AEB" w:rsidP="00413CE9">
            <w:pPr>
              <w:jc w:val="right"/>
              <w:rPr>
                <w:i/>
                <w:sz w:val="20"/>
              </w:rPr>
            </w:pPr>
            <w:r w:rsidRPr="0088307E">
              <w:rPr>
                <w:i/>
                <w:sz w:val="20"/>
              </w:rPr>
              <w:t>0,00</w:t>
            </w:r>
          </w:p>
          <w:p w14:paraId="7207F63D" w14:textId="77777777" w:rsidR="00961AEB" w:rsidRPr="0088307E" w:rsidRDefault="00961AEB" w:rsidP="00413CE9">
            <w:pPr>
              <w:jc w:val="right"/>
              <w:rPr>
                <w:i/>
                <w:sz w:val="20"/>
              </w:rPr>
            </w:pPr>
            <w:r w:rsidRPr="0088307E">
              <w:rPr>
                <w:i/>
                <w:sz w:val="20"/>
              </w:rPr>
              <w:t>0,00</w:t>
            </w:r>
          </w:p>
        </w:tc>
      </w:tr>
      <w:tr w:rsidR="009B5808" w:rsidRPr="004760E8" w14:paraId="25808AF7" w14:textId="77777777" w:rsidTr="009B5808">
        <w:trPr>
          <w:trHeight w:val="2186"/>
          <w:jc w:val="right"/>
        </w:trPr>
        <w:tc>
          <w:tcPr>
            <w:tcW w:w="2343" w:type="pct"/>
            <w:tcBorders>
              <w:top w:val="dashed" w:sz="4" w:space="0" w:color="auto"/>
              <w:bottom w:val="single" w:sz="8" w:space="0" w:color="7F7F7F" w:themeColor="text1" w:themeTint="80"/>
            </w:tcBorders>
            <w:shd w:val="clear" w:color="auto" w:fill="auto"/>
          </w:tcPr>
          <w:p w14:paraId="2B7C1CA4" w14:textId="77777777" w:rsidR="00961AEB" w:rsidRPr="004C2D04" w:rsidRDefault="00961AEB" w:rsidP="00413CE9">
            <w:pPr>
              <w:tabs>
                <w:tab w:val="left" w:pos="880"/>
              </w:tabs>
              <w:rPr>
                <w:i/>
                <w:sz w:val="20"/>
              </w:rPr>
            </w:pPr>
            <w:r w:rsidRPr="004C2D04">
              <w:rPr>
                <w:i/>
                <w:sz w:val="20"/>
              </w:rPr>
              <w:t xml:space="preserve">          Horizont Evropa 2021+</w:t>
            </w:r>
          </w:p>
          <w:p w14:paraId="53638CC1" w14:textId="77777777" w:rsidR="00961AEB" w:rsidRPr="004C2D04" w:rsidRDefault="00961AEB" w:rsidP="00413CE9">
            <w:pPr>
              <w:jc w:val="center"/>
              <w:rPr>
                <w:i/>
                <w:sz w:val="20"/>
              </w:rPr>
            </w:pPr>
            <w:r w:rsidRPr="004C2D04">
              <w:rPr>
                <w:i/>
                <w:sz w:val="20"/>
              </w:rPr>
              <w:t xml:space="preserve">                         v tom: ze SR</w:t>
            </w:r>
          </w:p>
          <w:p w14:paraId="2D1BA567" w14:textId="77777777" w:rsidR="00961AEB" w:rsidRPr="004C2D04" w:rsidRDefault="00961AEB" w:rsidP="00413CE9">
            <w:pPr>
              <w:tabs>
                <w:tab w:val="left" w:pos="880"/>
              </w:tabs>
              <w:jc w:val="center"/>
              <w:rPr>
                <w:i/>
                <w:sz w:val="20"/>
              </w:rPr>
            </w:pPr>
            <w:r w:rsidRPr="004C2D04">
              <w:rPr>
                <w:i/>
                <w:sz w:val="20"/>
              </w:rPr>
              <w:t xml:space="preserve">                                                  z rozpočtu EU   </w:t>
            </w:r>
          </w:p>
          <w:p w14:paraId="18A5195E" w14:textId="77777777" w:rsidR="00961AEB" w:rsidRPr="004C2D04" w:rsidRDefault="00961AEB" w:rsidP="00413CE9">
            <w:pPr>
              <w:tabs>
                <w:tab w:val="left" w:pos="880"/>
              </w:tabs>
              <w:jc w:val="center"/>
              <w:rPr>
                <w:i/>
                <w:sz w:val="20"/>
              </w:rPr>
            </w:pPr>
            <w:r w:rsidRPr="004C2D04">
              <w:rPr>
                <w:i/>
                <w:sz w:val="20"/>
              </w:rPr>
              <w:t xml:space="preserve">         Nástroj pro propojení Evropy (CEF) 2021+ </w:t>
            </w:r>
          </w:p>
          <w:p w14:paraId="10CAE06D" w14:textId="77777777" w:rsidR="00961AEB" w:rsidRPr="004C2D04" w:rsidRDefault="00961AEB" w:rsidP="00413CE9">
            <w:pPr>
              <w:jc w:val="center"/>
              <w:rPr>
                <w:i/>
                <w:sz w:val="20"/>
              </w:rPr>
            </w:pPr>
            <w:r w:rsidRPr="004C2D04">
              <w:rPr>
                <w:i/>
                <w:sz w:val="20"/>
              </w:rPr>
              <w:t xml:space="preserve">                         v tom: ze SR</w:t>
            </w:r>
          </w:p>
          <w:p w14:paraId="52106EB1" w14:textId="77777777" w:rsidR="00961AEB" w:rsidRDefault="00961AEB" w:rsidP="00413CE9">
            <w:pPr>
              <w:tabs>
                <w:tab w:val="left" w:pos="880"/>
              </w:tabs>
              <w:jc w:val="center"/>
              <w:rPr>
                <w:i/>
                <w:sz w:val="20"/>
              </w:rPr>
            </w:pPr>
            <w:r w:rsidRPr="004C2D04">
              <w:rPr>
                <w:i/>
                <w:sz w:val="20"/>
              </w:rPr>
              <w:t xml:space="preserve">                                                  z rozpočtu EU </w:t>
            </w:r>
          </w:p>
          <w:p w14:paraId="5B7365E0" w14:textId="77777777" w:rsidR="00961AEB" w:rsidRPr="004C2D04" w:rsidRDefault="00961AEB" w:rsidP="00413CE9">
            <w:pPr>
              <w:rPr>
                <w:i/>
                <w:sz w:val="20"/>
              </w:rPr>
            </w:pPr>
            <w:r>
              <w:rPr>
                <w:i/>
                <w:sz w:val="20"/>
              </w:rPr>
              <w:t xml:space="preserve">         OP Doprava – CF  2021</w:t>
            </w:r>
            <w:r w:rsidRPr="004C2D04">
              <w:rPr>
                <w:i/>
                <w:sz w:val="20"/>
              </w:rPr>
              <w:t xml:space="preserve"> +</w:t>
            </w:r>
          </w:p>
          <w:p w14:paraId="75181997" w14:textId="77777777" w:rsidR="00961AEB" w:rsidRPr="004C2D04" w:rsidRDefault="00961AEB" w:rsidP="00413CE9">
            <w:pPr>
              <w:rPr>
                <w:i/>
                <w:sz w:val="20"/>
              </w:rPr>
            </w:pPr>
            <w:r w:rsidRPr="004C2D04">
              <w:rPr>
                <w:i/>
                <w:sz w:val="20"/>
              </w:rPr>
              <w:t xml:space="preserve">                                            v tom: ze SR</w:t>
            </w:r>
          </w:p>
          <w:p w14:paraId="389AA02E" w14:textId="77777777" w:rsidR="00961AEB" w:rsidRDefault="00961AEB" w:rsidP="00413CE9">
            <w:pPr>
              <w:tabs>
                <w:tab w:val="left" w:pos="880"/>
              </w:tabs>
              <w:jc w:val="center"/>
              <w:rPr>
                <w:i/>
                <w:sz w:val="20"/>
              </w:rPr>
            </w:pPr>
            <w:r w:rsidRPr="004C2D04">
              <w:rPr>
                <w:i/>
                <w:sz w:val="20"/>
              </w:rPr>
              <w:t xml:space="preserve">                                     </w:t>
            </w:r>
            <w:r>
              <w:rPr>
                <w:i/>
                <w:sz w:val="20"/>
              </w:rPr>
              <w:t xml:space="preserve">                  z rozpočtu EU</w:t>
            </w:r>
            <w:r w:rsidRPr="004C2D04">
              <w:rPr>
                <w:i/>
                <w:sz w:val="20"/>
              </w:rPr>
              <w:t xml:space="preserve"> </w:t>
            </w:r>
          </w:p>
          <w:p w14:paraId="1EFFD4F6" w14:textId="77777777" w:rsidR="00961AEB" w:rsidRPr="004C2D04" w:rsidRDefault="00961AEB" w:rsidP="00413CE9">
            <w:pPr>
              <w:rPr>
                <w:i/>
                <w:sz w:val="20"/>
              </w:rPr>
            </w:pPr>
            <w:r>
              <w:rPr>
                <w:i/>
                <w:sz w:val="20"/>
              </w:rPr>
              <w:t xml:space="preserve">         Kosmický program Unie</w:t>
            </w:r>
          </w:p>
          <w:p w14:paraId="5799A972" w14:textId="77777777" w:rsidR="00961AEB" w:rsidRPr="004C2D04" w:rsidRDefault="00961AEB" w:rsidP="00413CE9">
            <w:pPr>
              <w:rPr>
                <w:i/>
                <w:sz w:val="20"/>
              </w:rPr>
            </w:pPr>
            <w:r w:rsidRPr="004C2D04">
              <w:rPr>
                <w:i/>
                <w:sz w:val="20"/>
              </w:rPr>
              <w:t xml:space="preserve">                                            v tom: ze SR</w:t>
            </w:r>
          </w:p>
          <w:p w14:paraId="3D067094" w14:textId="77777777" w:rsidR="00961AEB" w:rsidRPr="004C2D04" w:rsidRDefault="00961AEB" w:rsidP="00413CE9">
            <w:pPr>
              <w:tabs>
                <w:tab w:val="left" w:pos="880"/>
              </w:tabs>
              <w:jc w:val="center"/>
              <w:rPr>
                <w:i/>
                <w:sz w:val="20"/>
              </w:rPr>
            </w:pPr>
            <w:r w:rsidRPr="004C2D04">
              <w:rPr>
                <w:i/>
                <w:sz w:val="20"/>
              </w:rPr>
              <w:t xml:space="preserve">                                     </w:t>
            </w:r>
            <w:r>
              <w:rPr>
                <w:i/>
                <w:sz w:val="20"/>
              </w:rPr>
              <w:t xml:space="preserve">                  z rozpočtu EU</w:t>
            </w:r>
            <w:r w:rsidRPr="004C2D04">
              <w:rPr>
                <w:i/>
                <w:sz w:val="20"/>
              </w:rPr>
              <w:t xml:space="preserve">                                                                                                                                                                                                                                                                                                                                                                                                                                                                                                                                                                                                                                                                                                                                                                                                                                                                                                                                                                                                                                                                                                                                                                                                                                                                                                                                                                                                                                                                                                                                                                                                                                                                                                                                                                                                                                                                                                                                                                                                                                                                                                                                                                                                                                                                                                                                                                                                                                                                                                                                                                                                                                                                                                                                                                                                                                                                                                                                                                                                                                                                                                                                                                                                                                                                                                                                                                                                                                                                                                                                                                                                                                                                                                                                                                                                                                                                                                                                                                                                                                                                                                                                                                                                                                                                                                                                                                                                                                                                                                                                                                                                                                                                                                                                                                                                                                                                                                                                                                                                                                                                                                                                                                                                                                                                                                                                                                                                                                                                                                                                                                                                                                                                                                                                                                                                                                                                                                                                                                                                                                                                                                                                                                                                                                                                                                                                                                                                                                                                                                                                                                                                                                                                                                                                                                                                                                                                                                                                                                                                                                                                                                                                                                                                                                                                                                                                                                                                                                                                                                                                                                                                                                                                                                                                                                                                                                                                                                                                                                                                                                                                                                                                                                                                                                                                                                                                                                                                                                                                                                                                                                                                                                                                                                                                                                                                                                                                                                                                                                                                                                                                                                                                                                                                                                                                                                                                                                                                                                                                                                                                                                                                                                                                                                                                                                                                                                                                                                                                                                                                                                                                                                                                                                                                                                                                                                                                                                                                                                                                                                                                                                                                                                                                                                                                                                                                                                                                                                                                                                                                                                                                                                                                                                                                                                                                                                                                                                                                                                                                                                                                                                                                                                                                                                                                                                                                                                                                                                                                                                                                                                                                                                                                                                                                                                                                                                                                                                                                                                                                                                                                                                                                                                                                                                                                                                                                                                                                                                                                                                                                                                                                                                                                                                                                                                                                                                                                                                                                                                                                                                                                                                                                                                                                                                                                                                                                                                                                                                                                                                                                                                                                                                                                                                                                                                                                                                                                                                                                                                                                                                                                                                                                                                                                                                                                                                                                                                                                                                                                                                                                                                                                                                                                                                                                                                                                                                                                                                                                                                                                                                                                                                                                                                                                                                                                                                                                                                                                                                                                                                                                                                                                                                                                                                                                                                                                                                                                                                                                                                                                                                                                                                                                                                                                                                                                                                                                                                                                                                                                                                                                                                                                                                                                                                                                                                                                                                                                                                                                                                                                                                                                                                                                                                                                                                                                                                                                                                                                                                                                                                                                                                                                                                                                                                                                                                                                                                                                                                                                                                                                                                                                                                                                                                                                                                                                                                                                                                                                                                                                                                                                                                                                                                                                                                                                                                                                                                                                                                                                                                                                                                                                                                                                                                                                                                                                                                                                                                                                                                                                                                                                                                                                                                                                                                                                                                                                                                                                                                                                                                                                                                                                                                                                                                                                                                                                                                                                                                                                                                                                                                                                                                                                                                                                                                                                                                                                                                                                                                                                                                                                                                                                                                                                                                                                                                                                                                                                                                                                                                                                                                                                                                                                                                                                                                                                                                                                                                                                                                                                                                                                                                                                                                                                                                                                     </w:t>
            </w:r>
          </w:p>
        </w:tc>
        <w:tc>
          <w:tcPr>
            <w:tcW w:w="783" w:type="pct"/>
            <w:tcBorders>
              <w:top w:val="dashed" w:sz="4" w:space="0" w:color="auto"/>
              <w:bottom w:val="single" w:sz="8" w:space="0" w:color="7F7F7F" w:themeColor="text1" w:themeTint="80"/>
            </w:tcBorders>
            <w:shd w:val="clear" w:color="auto" w:fill="auto"/>
          </w:tcPr>
          <w:p w14:paraId="3B19A267" w14:textId="77777777" w:rsidR="00961AEB" w:rsidRPr="00681FF4" w:rsidRDefault="00961AEB" w:rsidP="00413CE9">
            <w:pPr>
              <w:jc w:val="right"/>
              <w:rPr>
                <w:i/>
                <w:sz w:val="20"/>
                <w:szCs w:val="20"/>
              </w:rPr>
            </w:pPr>
            <w:r w:rsidRPr="00681FF4">
              <w:rPr>
                <w:i/>
                <w:sz w:val="20"/>
                <w:szCs w:val="20"/>
              </w:rPr>
              <w:t>0</w:t>
            </w:r>
          </w:p>
          <w:p w14:paraId="61780B94" w14:textId="77777777" w:rsidR="00961AEB" w:rsidRPr="00681FF4" w:rsidRDefault="00961AEB" w:rsidP="00413CE9">
            <w:pPr>
              <w:jc w:val="right"/>
              <w:rPr>
                <w:i/>
                <w:sz w:val="20"/>
                <w:szCs w:val="20"/>
              </w:rPr>
            </w:pPr>
            <w:r w:rsidRPr="00681FF4">
              <w:rPr>
                <w:i/>
                <w:sz w:val="20"/>
                <w:szCs w:val="20"/>
              </w:rPr>
              <w:t>0</w:t>
            </w:r>
          </w:p>
          <w:p w14:paraId="55611584" w14:textId="77777777" w:rsidR="00961AEB" w:rsidRPr="00681FF4" w:rsidRDefault="00961AEB" w:rsidP="00413CE9">
            <w:pPr>
              <w:jc w:val="right"/>
              <w:rPr>
                <w:i/>
                <w:sz w:val="20"/>
                <w:szCs w:val="20"/>
              </w:rPr>
            </w:pPr>
            <w:r w:rsidRPr="00681FF4">
              <w:rPr>
                <w:i/>
                <w:sz w:val="20"/>
                <w:szCs w:val="20"/>
              </w:rPr>
              <w:t>0</w:t>
            </w:r>
          </w:p>
          <w:p w14:paraId="08834040" w14:textId="77777777" w:rsidR="00961AEB" w:rsidRPr="00681FF4" w:rsidRDefault="00961AEB" w:rsidP="00413CE9">
            <w:pPr>
              <w:jc w:val="right"/>
              <w:rPr>
                <w:i/>
                <w:sz w:val="20"/>
                <w:szCs w:val="20"/>
              </w:rPr>
            </w:pPr>
            <w:r w:rsidRPr="00681FF4">
              <w:rPr>
                <w:i/>
                <w:sz w:val="20"/>
                <w:szCs w:val="20"/>
              </w:rPr>
              <w:t>0</w:t>
            </w:r>
          </w:p>
          <w:p w14:paraId="2E447BD1" w14:textId="77777777" w:rsidR="00961AEB" w:rsidRPr="00681FF4" w:rsidRDefault="00961AEB" w:rsidP="00413CE9">
            <w:pPr>
              <w:jc w:val="right"/>
              <w:rPr>
                <w:i/>
                <w:sz w:val="20"/>
                <w:szCs w:val="20"/>
              </w:rPr>
            </w:pPr>
            <w:r w:rsidRPr="00681FF4">
              <w:rPr>
                <w:i/>
                <w:sz w:val="20"/>
                <w:szCs w:val="20"/>
              </w:rPr>
              <w:t>0</w:t>
            </w:r>
          </w:p>
          <w:p w14:paraId="144ECCFB" w14:textId="77777777" w:rsidR="00961AEB" w:rsidRDefault="00961AEB" w:rsidP="00413CE9">
            <w:pPr>
              <w:jc w:val="right"/>
              <w:rPr>
                <w:i/>
                <w:sz w:val="20"/>
                <w:szCs w:val="20"/>
              </w:rPr>
            </w:pPr>
            <w:r w:rsidRPr="00681FF4">
              <w:rPr>
                <w:i/>
                <w:sz w:val="20"/>
                <w:szCs w:val="20"/>
              </w:rPr>
              <w:t>0</w:t>
            </w:r>
          </w:p>
          <w:p w14:paraId="2E1A7AAC" w14:textId="77777777" w:rsidR="00961AEB" w:rsidRDefault="00961AEB" w:rsidP="00413CE9">
            <w:pPr>
              <w:jc w:val="right"/>
              <w:rPr>
                <w:i/>
                <w:sz w:val="20"/>
                <w:szCs w:val="20"/>
              </w:rPr>
            </w:pPr>
            <w:r>
              <w:rPr>
                <w:i/>
                <w:sz w:val="20"/>
                <w:szCs w:val="20"/>
              </w:rPr>
              <w:t>0</w:t>
            </w:r>
          </w:p>
          <w:p w14:paraId="48E0E8E2" w14:textId="77777777" w:rsidR="00961AEB" w:rsidRDefault="00961AEB" w:rsidP="00413CE9">
            <w:pPr>
              <w:jc w:val="right"/>
              <w:rPr>
                <w:i/>
                <w:sz w:val="20"/>
                <w:szCs w:val="20"/>
              </w:rPr>
            </w:pPr>
            <w:r>
              <w:rPr>
                <w:i/>
                <w:sz w:val="20"/>
                <w:szCs w:val="20"/>
              </w:rPr>
              <w:t>0</w:t>
            </w:r>
          </w:p>
          <w:p w14:paraId="7752FC1E" w14:textId="77777777" w:rsidR="00961AEB" w:rsidRDefault="00961AEB" w:rsidP="00413CE9">
            <w:pPr>
              <w:jc w:val="right"/>
              <w:rPr>
                <w:i/>
                <w:sz w:val="20"/>
                <w:szCs w:val="20"/>
              </w:rPr>
            </w:pPr>
            <w:r>
              <w:rPr>
                <w:i/>
                <w:sz w:val="20"/>
                <w:szCs w:val="20"/>
              </w:rPr>
              <w:t>0</w:t>
            </w:r>
          </w:p>
          <w:p w14:paraId="459EF8D1" w14:textId="77777777" w:rsidR="00961AEB" w:rsidRDefault="00961AEB" w:rsidP="00413CE9">
            <w:pPr>
              <w:jc w:val="right"/>
              <w:rPr>
                <w:i/>
                <w:sz w:val="20"/>
                <w:szCs w:val="20"/>
              </w:rPr>
            </w:pPr>
            <w:r>
              <w:rPr>
                <w:i/>
                <w:sz w:val="20"/>
                <w:szCs w:val="20"/>
              </w:rPr>
              <w:t>0</w:t>
            </w:r>
          </w:p>
          <w:p w14:paraId="7EBC55BE" w14:textId="77777777" w:rsidR="00961AEB" w:rsidRDefault="00961AEB" w:rsidP="00413CE9">
            <w:pPr>
              <w:jc w:val="right"/>
              <w:rPr>
                <w:i/>
                <w:sz w:val="20"/>
                <w:szCs w:val="20"/>
              </w:rPr>
            </w:pPr>
            <w:r>
              <w:rPr>
                <w:i/>
                <w:sz w:val="20"/>
                <w:szCs w:val="20"/>
              </w:rPr>
              <w:t>0</w:t>
            </w:r>
          </w:p>
          <w:p w14:paraId="1A3268D7" w14:textId="77777777" w:rsidR="00961AEB" w:rsidRPr="00681FF4" w:rsidRDefault="00961AEB" w:rsidP="00413CE9">
            <w:pPr>
              <w:jc w:val="right"/>
              <w:rPr>
                <w:i/>
                <w:sz w:val="20"/>
                <w:szCs w:val="20"/>
              </w:rPr>
            </w:pPr>
            <w:r>
              <w:rPr>
                <w:i/>
                <w:sz w:val="20"/>
                <w:szCs w:val="20"/>
              </w:rPr>
              <w:t>0</w:t>
            </w:r>
          </w:p>
        </w:tc>
        <w:tc>
          <w:tcPr>
            <w:tcW w:w="705" w:type="pct"/>
            <w:tcBorders>
              <w:top w:val="dashed" w:sz="4" w:space="0" w:color="auto"/>
              <w:bottom w:val="single" w:sz="8" w:space="0" w:color="7F7F7F" w:themeColor="text1" w:themeTint="80"/>
            </w:tcBorders>
            <w:shd w:val="clear" w:color="auto" w:fill="auto"/>
          </w:tcPr>
          <w:p w14:paraId="1AECBBAD" w14:textId="77777777" w:rsidR="00961AEB" w:rsidRPr="00681FF4" w:rsidRDefault="00961AEB" w:rsidP="00413CE9">
            <w:pPr>
              <w:jc w:val="right"/>
              <w:rPr>
                <w:i/>
                <w:sz w:val="20"/>
              </w:rPr>
            </w:pPr>
            <w:r w:rsidRPr="00681FF4">
              <w:rPr>
                <w:i/>
                <w:sz w:val="20"/>
              </w:rPr>
              <w:t>200</w:t>
            </w:r>
          </w:p>
          <w:p w14:paraId="06E89ED6" w14:textId="77777777" w:rsidR="00961AEB" w:rsidRPr="00681FF4" w:rsidRDefault="00961AEB" w:rsidP="00413CE9">
            <w:pPr>
              <w:jc w:val="right"/>
              <w:rPr>
                <w:i/>
                <w:sz w:val="20"/>
              </w:rPr>
            </w:pPr>
            <w:r w:rsidRPr="00681FF4">
              <w:rPr>
                <w:i/>
                <w:sz w:val="20"/>
              </w:rPr>
              <w:t>0</w:t>
            </w:r>
          </w:p>
          <w:p w14:paraId="25223A0E" w14:textId="77777777" w:rsidR="00961AEB" w:rsidRPr="00681FF4" w:rsidRDefault="00961AEB" w:rsidP="00413CE9">
            <w:pPr>
              <w:jc w:val="right"/>
              <w:rPr>
                <w:i/>
                <w:sz w:val="20"/>
              </w:rPr>
            </w:pPr>
            <w:r w:rsidRPr="00681FF4">
              <w:rPr>
                <w:i/>
                <w:sz w:val="20"/>
              </w:rPr>
              <w:t>200</w:t>
            </w:r>
          </w:p>
          <w:p w14:paraId="2D19FB69" w14:textId="77777777" w:rsidR="00961AEB" w:rsidRPr="00681FF4" w:rsidRDefault="00961AEB" w:rsidP="00413CE9">
            <w:pPr>
              <w:jc w:val="right"/>
              <w:rPr>
                <w:i/>
                <w:sz w:val="20"/>
              </w:rPr>
            </w:pPr>
            <w:r w:rsidRPr="00681FF4">
              <w:rPr>
                <w:i/>
                <w:sz w:val="20"/>
              </w:rPr>
              <w:t>600</w:t>
            </w:r>
          </w:p>
          <w:p w14:paraId="58CEBA31" w14:textId="77777777" w:rsidR="00961AEB" w:rsidRPr="00681FF4" w:rsidRDefault="00961AEB" w:rsidP="00413CE9">
            <w:pPr>
              <w:jc w:val="right"/>
              <w:rPr>
                <w:i/>
                <w:sz w:val="20"/>
              </w:rPr>
            </w:pPr>
            <w:r w:rsidRPr="00681FF4">
              <w:rPr>
                <w:i/>
                <w:sz w:val="20"/>
              </w:rPr>
              <w:t>100</w:t>
            </w:r>
          </w:p>
          <w:p w14:paraId="0DC9DBD8" w14:textId="77777777" w:rsidR="00961AEB" w:rsidRDefault="00961AEB" w:rsidP="00413CE9">
            <w:pPr>
              <w:jc w:val="right"/>
              <w:rPr>
                <w:i/>
                <w:sz w:val="20"/>
              </w:rPr>
            </w:pPr>
            <w:r w:rsidRPr="00681FF4">
              <w:rPr>
                <w:i/>
                <w:sz w:val="20"/>
              </w:rPr>
              <w:t>500</w:t>
            </w:r>
          </w:p>
          <w:p w14:paraId="1403B27B" w14:textId="77777777" w:rsidR="00961AEB" w:rsidRDefault="00961AEB" w:rsidP="00413CE9">
            <w:pPr>
              <w:jc w:val="right"/>
              <w:rPr>
                <w:i/>
                <w:sz w:val="20"/>
              </w:rPr>
            </w:pPr>
            <w:r>
              <w:rPr>
                <w:i/>
                <w:sz w:val="20"/>
              </w:rPr>
              <w:t>0</w:t>
            </w:r>
          </w:p>
          <w:p w14:paraId="6CE2D752" w14:textId="77777777" w:rsidR="00961AEB" w:rsidRDefault="00961AEB" w:rsidP="00413CE9">
            <w:pPr>
              <w:jc w:val="right"/>
              <w:rPr>
                <w:i/>
                <w:sz w:val="20"/>
              </w:rPr>
            </w:pPr>
            <w:r>
              <w:rPr>
                <w:i/>
                <w:sz w:val="20"/>
              </w:rPr>
              <w:t>0</w:t>
            </w:r>
          </w:p>
          <w:p w14:paraId="556B5F4C" w14:textId="77777777" w:rsidR="00961AEB" w:rsidRDefault="00961AEB" w:rsidP="00413CE9">
            <w:pPr>
              <w:jc w:val="right"/>
              <w:rPr>
                <w:i/>
                <w:sz w:val="20"/>
              </w:rPr>
            </w:pPr>
            <w:r>
              <w:rPr>
                <w:i/>
                <w:sz w:val="20"/>
              </w:rPr>
              <w:t>0</w:t>
            </w:r>
          </w:p>
          <w:p w14:paraId="1333BFDA" w14:textId="77777777" w:rsidR="00961AEB" w:rsidRDefault="00961AEB" w:rsidP="00413CE9">
            <w:pPr>
              <w:jc w:val="right"/>
              <w:rPr>
                <w:i/>
                <w:sz w:val="20"/>
              </w:rPr>
            </w:pPr>
            <w:r>
              <w:rPr>
                <w:i/>
                <w:sz w:val="20"/>
              </w:rPr>
              <w:t>0</w:t>
            </w:r>
          </w:p>
          <w:p w14:paraId="4353CE7C" w14:textId="77777777" w:rsidR="00961AEB" w:rsidRDefault="00961AEB" w:rsidP="00413CE9">
            <w:pPr>
              <w:jc w:val="right"/>
              <w:rPr>
                <w:i/>
                <w:sz w:val="20"/>
              </w:rPr>
            </w:pPr>
            <w:r>
              <w:rPr>
                <w:i/>
                <w:sz w:val="20"/>
              </w:rPr>
              <w:t>0</w:t>
            </w:r>
          </w:p>
          <w:p w14:paraId="01253F0C" w14:textId="77777777" w:rsidR="00961AEB" w:rsidRPr="00681FF4" w:rsidRDefault="00961AEB" w:rsidP="00413CE9">
            <w:pPr>
              <w:jc w:val="right"/>
              <w:rPr>
                <w:i/>
                <w:sz w:val="20"/>
              </w:rPr>
            </w:pPr>
            <w:r>
              <w:rPr>
                <w:i/>
                <w:sz w:val="20"/>
              </w:rPr>
              <w:t>0</w:t>
            </w:r>
          </w:p>
        </w:tc>
        <w:tc>
          <w:tcPr>
            <w:tcW w:w="667" w:type="pct"/>
            <w:tcBorders>
              <w:top w:val="dashed" w:sz="4" w:space="0" w:color="auto"/>
              <w:bottom w:val="single" w:sz="8" w:space="0" w:color="7F7F7F" w:themeColor="text1" w:themeTint="80"/>
            </w:tcBorders>
            <w:shd w:val="clear" w:color="auto" w:fill="auto"/>
          </w:tcPr>
          <w:p w14:paraId="0CF0543A" w14:textId="77777777" w:rsidR="00961AEB" w:rsidRPr="0088307E" w:rsidRDefault="00961AEB" w:rsidP="00413CE9">
            <w:pPr>
              <w:jc w:val="right"/>
              <w:rPr>
                <w:i/>
                <w:sz w:val="20"/>
              </w:rPr>
            </w:pPr>
            <w:r w:rsidRPr="0088307E">
              <w:rPr>
                <w:i/>
                <w:sz w:val="20"/>
              </w:rPr>
              <w:t>75</w:t>
            </w:r>
          </w:p>
          <w:p w14:paraId="7ADBF6A1" w14:textId="77777777" w:rsidR="00961AEB" w:rsidRPr="0088307E" w:rsidRDefault="00961AEB" w:rsidP="00413CE9">
            <w:pPr>
              <w:jc w:val="right"/>
              <w:rPr>
                <w:i/>
                <w:sz w:val="20"/>
              </w:rPr>
            </w:pPr>
            <w:r w:rsidRPr="0088307E">
              <w:rPr>
                <w:i/>
                <w:sz w:val="20"/>
              </w:rPr>
              <w:t>0</w:t>
            </w:r>
          </w:p>
          <w:p w14:paraId="639187B8" w14:textId="77777777" w:rsidR="00961AEB" w:rsidRPr="00CB1C42" w:rsidRDefault="00961AEB" w:rsidP="00413CE9">
            <w:pPr>
              <w:jc w:val="right"/>
              <w:rPr>
                <w:i/>
                <w:sz w:val="20"/>
              </w:rPr>
            </w:pPr>
            <w:r w:rsidRPr="0088307E">
              <w:rPr>
                <w:i/>
                <w:sz w:val="20"/>
              </w:rPr>
              <w:t>75</w:t>
            </w:r>
          </w:p>
          <w:p w14:paraId="61107E6D" w14:textId="77777777" w:rsidR="00961AEB" w:rsidRPr="0088307E" w:rsidRDefault="00961AEB" w:rsidP="00413CE9">
            <w:pPr>
              <w:jc w:val="right"/>
              <w:rPr>
                <w:i/>
                <w:sz w:val="20"/>
              </w:rPr>
            </w:pPr>
            <w:r w:rsidRPr="0088307E">
              <w:rPr>
                <w:i/>
                <w:sz w:val="20"/>
              </w:rPr>
              <w:t>8 560</w:t>
            </w:r>
          </w:p>
          <w:p w14:paraId="50CEFA9B" w14:textId="77777777" w:rsidR="00961AEB" w:rsidRPr="0088307E" w:rsidRDefault="00961AEB" w:rsidP="00413CE9">
            <w:pPr>
              <w:jc w:val="right"/>
              <w:rPr>
                <w:i/>
                <w:sz w:val="20"/>
              </w:rPr>
            </w:pPr>
            <w:r w:rsidRPr="0088307E">
              <w:rPr>
                <w:i/>
                <w:sz w:val="20"/>
              </w:rPr>
              <w:t>280</w:t>
            </w:r>
          </w:p>
          <w:p w14:paraId="2F70F270" w14:textId="77777777" w:rsidR="00961AEB" w:rsidRPr="0088307E" w:rsidRDefault="00961AEB" w:rsidP="00413CE9">
            <w:pPr>
              <w:jc w:val="right"/>
              <w:rPr>
                <w:i/>
                <w:sz w:val="20"/>
              </w:rPr>
            </w:pPr>
            <w:r w:rsidRPr="0088307E">
              <w:rPr>
                <w:i/>
                <w:sz w:val="20"/>
              </w:rPr>
              <w:t>8 280</w:t>
            </w:r>
          </w:p>
          <w:p w14:paraId="1B117C45" w14:textId="4B15F5E3" w:rsidR="00961AEB" w:rsidRPr="0088307E" w:rsidRDefault="00416139" w:rsidP="00413CE9">
            <w:pPr>
              <w:jc w:val="right"/>
              <w:rPr>
                <w:i/>
                <w:sz w:val="20"/>
              </w:rPr>
            </w:pPr>
            <w:r>
              <w:rPr>
                <w:i/>
                <w:sz w:val="20"/>
              </w:rPr>
              <w:t>23 11</w:t>
            </w:r>
            <w:r w:rsidR="00961AEB" w:rsidRPr="0088307E">
              <w:rPr>
                <w:i/>
                <w:sz w:val="20"/>
              </w:rPr>
              <w:t>9</w:t>
            </w:r>
          </w:p>
          <w:p w14:paraId="08D924C8" w14:textId="77777777" w:rsidR="00961AEB" w:rsidRPr="0088307E" w:rsidRDefault="00961AEB" w:rsidP="00413CE9">
            <w:pPr>
              <w:jc w:val="right"/>
              <w:rPr>
                <w:i/>
                <w:sz w:val="20"/>
              </w:rPr>
            </w:pPr>
            <w:r w:rsidRPr="0088307E">
              <w:rPr>
                <w:i/>
                <w:sz w:val="20"/>
              </w:rPr>
              <w:t>3 468</w:t>
            </w:r>
          </w:p>
          <w:p w14:paraId="0D64CB99" w14:textId="77777777" w:rsidR="00961AEB" w:rsidRPr="0088307E" w:rsidRDefault="00961AEB" w:rsidP="00413CE9">
            <w:pPr>
              <w:jc w:val="center"/>
              <w:rPr>
                <w:i/>
                <w:sz w:val="20"/>
              </w:rPr>
            </w:pPr>
            <w:r w:rsidRPr="0088307E">
              <w:rPr>
                <w:i/>
                <w:sz w:val="20"/>
              </w:rPr>
              <w:t xml:space="preserve">        19 651</w:t>
            </w:r>
          </w:p>
          <w:p w14:paraId="6EE3763C" w14:textId="77777777" w:rsidR="00961AEB" w:rsidRPr="0088307E" w:rsidRDefault="00961AEB" w:rsidP="00413CE9">
            <w:pPr>
              <w:jc w:val="right"/>
              <w:rPr>
                <w:i/>
                <w:sz w:val="20"/>
              </w:rPr>
            </w:pPr>
            <w:r w:rsidRPr="0088307E">
              <w:rPr>
                <w:i/>
                <w:sz w:val="20"/>
              </w:rPr>
              <w:t>150</w:t>
            </w:r>
          </w:p>
          <w:p w14:paraId="273BCAD8" w14:textId="77777777" w:rsidR="00961AEB" w:rsidRPr="0088307E" w:rsidRDefault="00961AEB" w:rsidP="00413CE9">
            <w:pPr>
              <w:jc w:val="right"/>
              <w:rPr>
                <w:i/>
                <w:sz w:val="20"/>
              </w:rPr>
            </w:pPr>
            <w:r w:rsidRPr="0088307E">
              <w:rPr>
                <w:i/>
                <w:sz w:val="20"/>
              </w:rPr>
              <w:t>30</w:t>
            </w:r>
          </w:p>
          <w:p w14:paraId="3BE17B70" w14:textId="77777777" w:rsidR="00961AEB" w:rsidRPr="0088307E" w:rsidRDefault="00961AEB" w:rsidP="00413CE9">
            <w:pPr>
              <w:jc w:val="right"/>
              <w:rPr>
                <w:i/>
                <w:sz w:val="20"/>
              </w:rPr>
            </w:pPr>
            <w:r w:rsidRPr="0088307E">
              <w:rPr>
                <w:i/>
                <w:sz w:val="20"/>
              </w:rPr>
              <w:t>120</w:t>
            </w:r>
          </w:p>
        </w:tc>
        <w:tc>
          <w:tcPr>
            <w:tcW w:w="501" w:type="pct"/>
            <w:tcBorders>
              <w:top w:val="dashed" w:sz="4" w:space="0" w:color="auto"/>
              <w:bottom w:val="single" w:sz="8" w:space="0" w:color="7F7F7F" w:themeColor="text1" w:themeTint="80"/>
            </w:tcBorders>
            <w:shd w:val="clear" w:color="auto" w:fill="auto"/>
          </w:tcPr>
          <w:p w14:paraId="54494FA7" w14:textId="77777777" w:rsidR="00961AEB" w:rsidRPr="0088307E" w:rsidRDefault="00961AEB" w:rsidP="00413CE9">
            <w:pPr>
              <w:jc w:val="right"/>
              <w:rPr>
                <w:i/>
                <w:sz w:val="20"/>
              </w:rPr>
            </w:pPr>
            <w:r w:rsidRPr="0088307E">
              <w:rPr>
                <w:i/>
                <w:sz w:val="20"/>
              </w:rPr>
              <w:t>37,50</w:t>
            </w:r>
          </w:p>
          <w:p w14:paraId="1B819CF3" w14:textId="77777777" w:rsidR="00961AEB" w:rsidRPr="0088307E" w:rsidRDefault="00961AEB" w:rsidP="00413CE9">
            <w:pPr>
              <w:jc w:val="right"/>
              <w:rPr>
                <w:i/>
                <w:sz w:val="20"/>
              </w:rPr>
            </w:pPr>
            <w:r w:rsidRPr="0088307E">
              <w:rPr>
                <w:i/>
                <w:sz w:val="20"/>
              </w:rPr>
              <w:t>0,00</w:t>
            </w:r>
          </w:p>
          <w:p w14:paraId="566EE39A" w14:textId="77777777" w:rsidR="00961AEB" w:rsidRPr="0088307E" w:rsidRDefault="00961AEB" w:rsidP="00413CE9">
            <w:pPr>
              <w:jc w:val="right"/>
              <w:rPr>
                <w:i/>
                <w:sz w:val="20"/>
              </w:rPr>
            </w:pPr>
            <w:r w:rsidRPr="0088307E">
              <w:rPr>
                <w:i/>
                <w:sz w:val="20"/>
              </w:rPr>
              <w:t>37,50</w:t>
            </w:r>
          </w:p>
          <w:p w14:paraId="771E762A" w14:textId="77777777" w:rsidR="00961AEB" w:rsidRPr="0088307E" w:rsidRDefault="00961AEB" w:rsidP="00413CE9">
            <w:pPr>
              <w:jc w:val="right"/>
              <w:rPr>
                <w:i/>
                <w:sz w:val="20"/>
              </w:rPr>
            </w:pPr>
            <w:r w:rsidRPr="0088307E">
              <w:rPr>
                <w:i/>
                <w:sz w:val="20"/>
              </w:rPr>
              <w:t>1426,67</w:t>
            </w:r>
          </w:p>
          <w:p w14:paraId="66A826B0" w14:textId="77777777" w:rsidR="00961AEB" w:rsidRPr="0088307E" w:rsidRDefault="00961AEB" w:rsidP="00413CE9">
            <w:pPr>
              <w:jc w:val="right"/>
              <w:rPr>
                <w:i/>
                <w:sz w:val="20"/>
              </w:rPr>
            </w:pPr>
            <w:r w:rsidRPr="0088307E">
              <w:rPr>
                <w:i/>
                <w:sz w:val="20"/>
              </w:rPr>
              <w:t>280,00</w:t>
            </w:r>
          </w:p>
          <w:p w14:paraId="5BE10A79" w14:textId="77777777" w:rsidR="00961AEB" w:rsidRPr="0088307E" w:rsidRDefault="00961AEB" w:rsidP="00413CE9">
            <w:pPr>
              <w:jc w:val="right"/>
              <w:rPr>
                <w:i/>
                <w:sz w:val="20"/>
              </w:rPr>
            </w:pPr>
            <w:r w:rsidRPr="0088307E">
              <w:rPr>
                <w:i/>
                <w:sz w:val="20"/>
              </w:rPr>
              <w:t>1656,00</w:t>
            </w:r>
          </w:p>
          <w:p w14:paraId="635BAA4F" w14:textId="77777777" w:rsidR="00961AEB" w:rsidRPr="0088307E" w:rsidRDefault="00961AEB" w:rsidP="00413CE9">
            <w:pPr>
              <w:jc w:val="right"/>
              <w:rPr>
                <w:i/>
                <w:sz w:val="20"/>
              </w:rPr>
            </w:pPr>
            <w:r w:rsidRPr="0088307E">
              <w:rPr>
                <w:i/>
                <w:sz w:val="20"/>
              </w:rPr>
              <w:t>0,00</w:t>
            </w:r>
          </w:p>
          <w:p w14:paraId="4EA1772F" w14:textId="77777777" w:rsidR="00961AEB" w:rsidRPr="0088307E" w:rsidRDefault="00961AEB" w:rsidP="00413CE9">
            <w:pPr>
              <w:jc w:val="right"/>
              <w:rPr>
                <w:i/>
                <w:sz w:val="20"/>
              </w:rPr>
            </w:pPr>
            <w:r w:rsidRPr="0088307E">
              <w:rPr>
                <w:i/>
                <w:sz w:val="20"/>
              </w:rPr>
              <w:t>0,00</w:t>
            </w:r>
          </w:p>
          <w:p w14:paraId="236621CA" w14:textId="77777777" w:rsidR="00961AEB" w:rsidRPr="0088307E" w:rsidRDefault="00961AEB" w:rsidP="00413CE9">
            <w:pPr>
              <w:jc w:val="right"/>
              <w:rPr>
                <w:i/>
                <w:sz w:val="20"/>
              </w:rPr>
            </w:pPr>
            <w:r w:rsidRPr="0088307E">
              <w:rPr>
                <w:i/>
                <w:sz w:val="20"/>
              </w:rPr>
              <w:t>0,00</w:t>
            </w:r>
          </w:p>
          <w:p w14:paraId="202B0273" w14:textId="77777777" w:rsidR="00961AEB" w:rsidRPr="0088307E" w:rsidRDefault="00961AEB" w:rsidP="00413CE9">
            <w:pPr>
              <w:jc w:val="right"/>
              <w:rPr>
                <w:i/>
                <w:sz w:val="20"/>
              </w:rPr>
            </w:pPr>
            <w:r w:rsidRPr="0088307E">
              <w:rPr>
                <w:i/>
                <w:sz w:val="20"/>
              </w:rPr>
              <w:t>0,00</w:t>
            </w:r>
          </w:p>
          <w:p w14:paraId="2D09B4DE" w14:textId="77777777" w:rsidR="00961AEB" w:rsidRPr="0088307E" w:rsidRDefault="00961AEB" w:rsidP="00413CE9">
            <w:pPr>
              <w:jc w:val="right"/>
              <w:rPr>
                <w:i/>
                <w:sz w:val="20"/>
              </w:rPr>
            </w:pPr>
            <w:r w:rsidRPr="0088307E">
              <w:rPr>
                <w:i/>
                <w:sz w:val="20"/>
              </w:rPr>
              <w:t>0,00</w:t>
            </w:r>
          </w:p>
          <w:p w14:paraId="686C803D" w14:textId="77777777" w:rsidR="00961AEB" w:rsidRPr="0088307E" w:rsidRDefault="00961AEB" w:rsidP="00413CE9">
            <w:pPr>
              <w:jc w:val="right"/>
              <w:rPr>
                <w:i/>
                <w:sz w:val="20"/>
              </w:rPr>
            </w:pPr>
            <w:r w:rsidRPr="0088307E">
              <w:rPr>
                <w:i/>
                <w:sz w:val="20"/>
              </w:rPr>
              <w:t>0,00</w:t>
            </w:r>
          </w:p>
        </w:tc>
      </w:tr>
    </w:tbl>
    <w:p w14:paraId="6C64E78D" w14:textId="77777777" w:rsidR="00961AEB" w:rsidRPr="0088307E" w:rsidRDefault="00961AEB" w:rsidP="0088307E"/>
    <w:p w14:paraId="0F2B3CD7" w14:textId="2B7BA33D" w:rsidR="00C34217" w:rsidRDefault="00C34217" w:rsidP="005D06F6">
      <w:pPr>
        <w:pStyle w:val="Styl1"/>
        <w:rPr>
          <w:color w:val="FF0000"/>
        </w:rPr>
      </w:pPr>
      <w:r w:rsidRPr="0088307E">
        <w:t xml:space="preserve">Navrhovaný objem běžných výdajů na rok 2023 </w:t>
      </w:r>
      <w:r w:rsidRPr="00592010">
        <w:t xml:space="preserve">ve výši </w:t>
      </w:r>
      <w:r w:rsidRPr="0088307E">
        <w:t xml:space="preserve">6 184 153 </w:t>
      </w:r>
      <w:r w:rsidRPr="00592010">
        <w:t xml:space="preserve">tis. Kč </w:t>
      </w:r>
      <w:r w:rsidRPr="0088307E">
        <w:t xml:space="preserve">tvoří výdaje na platy zaměstnanců a ostatní platby za provedenou práci a s tím související povinné platby (pojistné </w:t>
      </w:r>
      <w:r w:rsidRPr="0088307E">
        <w:br/>
        <w:t xml:space="preserve">a příděl FKSP) ve výši 463 777 tis. Kč </w:t>
      </w:r>
      <w:r w:rsidRPr="00592010">
        <w:t xml:space="preserve">a ostatní neinvestiční výdaje ve </w:t>
      </w:r>
      <w:r w:rsidRPr="0088307E">
        <w:t xml:space="preserve">výši 5 720 375 </w:t>
      </w:r>
      <w:r w:rsidRPr="00592010">
        <w:t>tis. Kč</w:t>
      </w:r>
      <w:r w:rsidRPr="00F55AD6">
        <w:t>.</w:t>
      </w:r>
    </w:p>
    <w:p w14:paraId="7D4DF117" w14:textId="71DB7602" w:rsidR="005D06F6" w:rsidRDefault="0028302B" w:rsidP="005D06F6">
      <w:pPr>
        <w:pStyle w:val="Styl1"/>
      </w:pPr>
      <w:r w:rsidRPr="0088307E">
        <w:t>Počet zaměstnanců  pro rok 2023  je navržen ve výši  470 zaměstnanců (v tom: 69 zaměstnanců v pracovním poměru a 401 státních zaměstnanců).</w:t>
      </w:r>
    </w:p>
    <w:p w14:paraId="3789F508" w14:textId="0B4B319A" w:rsidR="00C34217" w:rsidRPr="0088307E" w:rsidRDefault="00C34217" w:rsidP="005D06F6">
      <w:pPr>
        <w:pStyle w:val="Styl1"/>
      </w:pPr>
      <w:r w:rsidRPr="00592010">
        <w:t xml:space="preserve">Na navrhovaném objemu ostatních neinvestičních výdajů na rok 2023 ve </w:t>
      </w:r>
      <w:r w:rsidRPr="0088307E">
        <w:t>výši 5 720 375 tis</w:t>
      </w:r>
      <w:r w:rsidRPr="00592010">
        <w:t xml:space="preserve">. Kč </w:t>
      </w:r>
      <w:r w:rsidRPr="0088307E">
        <w:t>se nejvíce podílí výdaje na kompenzaci ztráty vznikající dopravcům ve veřejné osobní dopravě přiznáváním státem nařízených slev ve výši 5 000 000 tis. Kč.</w:t>
      </w:r>
    </w:p>
    <w:p w14:paraId="65A4351F" w14:textId="7E7A53FB" w:rsidR="00A3658D" w:rsidRPr="0088307E" w:rsidRDefault="00A3658D" w:rsidP="005D06F6">
      <w:pPr>
        <w:pStyle w:val="Styl1"/>
        <w:rPr>
          <w:color w:val="000000" w:themeColor="text1"/>
        </w:rPr>
      </w:pPr>
      <w:r w:rsidRPr="003F730C">
        <w:rPr>
          <w:color w:val="000000" w:themeColor="text1"/>
        </w:rPr>
        <w:t xml:space="preserve">Mezi další objemově významné výdaje patří zejména financování činností dopravně správních agend, které jsou na rok 2023 rozpočtovány ve výši 224 000 tis. Kč. </w:t>
      </w:r>
    </w:p>
    <w:p w14:paraId="2AD9C76E" w14:textId="33D3F90D" w:rsidR="00E77360" w:rsidRPr="00EC3C89" w:rsidRDefault="00E77360" w:rsidP="00E77360">
      <w:pPr>
        <w:pStyle w:val="Styl1"/>
      </w:pPr>
      <w:r w:rsidRPr="00EC3C89">
        <w:t xml:space="preserve">Podíl státního rozpočtu na programech spolufinancovaných z rozpočtu EU (včetně prostředků na platy a příslušenství) je rozpočtován ve výši 17 529 tis. Kč (v tom:  technická pomoc OP Doprava CF 2014 + ve výši 5 011 tis. Kč, Komunitární programy – Nástroj pro propojení Evropy 2014 +   ve výši 849 tis. Kč, Nástroj pro propojení Evropy (CEF) 2021 +   ve výši </w:t>
      </w:r>
      <w:r w:rsidR="00161362">
        <w:br/>
      </w:r>
      <w:r w:rsidRPr="00EC3C89">
        <w:t xml:space="preserve">1 318 tis. Kč, technická pomoc OP Doprava CF 2021 + ve výši 10 161 tis. Kč a Kosmický program Unie ve výši 190 tis. Kč).  Podíl prostředků z rozpočtu EU je rozpočtován ve výši </w:t>
      </w:r>
      <w:r w:rsidR="00161362">
        <w:br/>
      </w:r>
      <w:r w:rsidRPr="00EC3C89">
        <w:t xml:space="preserve">122 043 tis. Kč (v tom: technická  pomoc OP Doprava CF 2014 + ve výši 28 398 tis. Kč, Komunitární programy – Nástroj pro propojení Evropy 2014 + ve výši 2 243 tis. Kč, Horizont Evropa 2021+ ve výši 385 tis. Kč, Nástroj pro propojení Evropy (CEF) 2021 + ve výši </w:t>
      </w:r>
      <w:r w:rsidR="00161362">
        <w:br/>
      </w:r>
      <w:r w:rsidRPr="00EC3C89">
        <w:t xml:space="preserve">18 071 tis. Kč, technická pomoc OP Doprava CF 2021 + ve výši 57 580 tis. Kč, Kosmický program Unie ve výši 760 tis. Kč a BAR – rezerva na vyrovnání se s důsledky </w:t>
      </w:r>
      <w:proofErr w:type="spellStart"/>
      <w:r w:rsidRPr="00EC3C89">
        <w:t>Brexitu</w:t>
      </w:r>
      <w:proofErr w:type="spellEnd"/>
      <w:r w:rsidRPr="00EC3C89">
        <w:t xml:space="preserve"> ve výši 14 606 tis. Kč).</w:t>
      </w:r>
    </w:p>
    <w:p w14:paraId="5FACDFD4" w14:textId="7C955B86" w:rsidR="00E77360" w:rsidRPr="0088307E" w:rsidRDefault="00E77360" w:rsidP="00B06722">
      <w:pPr>
        <w:pStyle w:val="Styl1"/>
        <w:rPr>
          <w:color w:val="FF0000"/>
          <w:sz w:val="22"/>
          <w:szCs w:val="22"/>
        </w:rPr>
      </w:pPr>
      <w:r w:rsidRPr="003F730C">
        <w:t xml:space="preserve">Prostředky ke krytí úkolů krizového řízení jsou v návrhu rozpočtu na rok 2023 rozpočtovány v celkové výši 532 tis. Kč, z toho dle zákona č. 240/2000 Sb. ve výši 507 tis. Kč. Na prevenci v oblasti bezpečnosti silničního provozu (BESIP) jsou zajištěny prostředky ve výši </w:t>
      </w:r>
      <w:r w:rsidRPr="00B2170F">
        <w:rPr>
          <w:color w:val="FF0000"/>
        </w:rPr>
        <w:br/>
      </w:r>
      <w:r w:rsidRPr="003F730C">
        <w:t>3 788  tis. Kč.</w:t>
      </w:r>
    </w:p>
    <w:p w14:paraId="3232454B" w14:textId="66063D4A" w:rsidR="001B037B" w:rsidRPr="0088307E" w:rsidRDefault="00B06722" w:rsidP="00B06722">
      <w:pPr>
        <w:pStyle w:val="Styl1"/>
      </w:pPr>
      <w:r w:rsidRPr="0088307E">
        <w:t>Stejně jako v minulých letech, tak i v roce 202</w:t>
      </w:r>
      <w:r w:rsidR="00A3658D" w:rsidRPr="0088307E">
        <w:t>3</w:t>
      </w:r>
      <w:r w:rsidRPr="0088307E">
        <w:t xml:space="preserve">, budou vzdělávací aktivity týkající </w:t>
      </w:r>
      <w:r w:rsidRPr="0088307E">
        <w:br/>
        <w:t>se prosazování rovnosti mužů a žen zabezpečovány prostřednictvím Institutu státní správy a ostatní genderové výdaje budou zahrnuty v rámci ostatních běžných výdajů ústředního orgánu Ministerstva dopravy.</w:t>
      </w:r>
      <w:r w:rsidR="001B037B" w:rsidRPr="0088307E">
        <w:t xml:space="preserve"> </w:t>
      </w:r>
    </w:p>
    <w:p w14:paraId="4D9927EF" w14:textId="77777777" w:rsidR="00BD28A7" w:rsidRPr="0088307E" w:rsidRDefault="00BD28A7" w:rsidP="00A66629">
      <w:pPr>
        <w:pStyle w:val="Nadpis9"/>
      </w:pPr>
      <w:r w:rsidRPr="0088307E">
        <w:t xml:space="preserve">Úřad pro civilní letectví </w:t>
      </w:r>
    </w:p>
    <w:p w14:paraId="079DE5ED" w14:textId="7000D13A" w:rsidR="00535DE4" w:rsidRPr="0088307E" w:rsidRDefault="00535DE4" w:rsidP="00535DE4">
      <w:pPr>
        <w:pStyle w:val="Styl1"/>
      </w:pPr>
      <w:r w:rsidRPr="0088307E">
        <w:t xml:space="preserve">Úřad pro civilní letectví byl zřízen zákonem č. 49/1997 Sb., o civilním letectví, ve znění pozdějších předpisů, jako správní úřad pro výkon státní správy ve věcech civilního letectví </w:t>
      </w:r>
      <w:r w:rsidRPr="0088307E">
        <w:br/>
        <w:t xml:space="preserve">a je podřízen Ministerstvu dopravy. Mezi hlavní oblasti činnosti patří zejména vedení leteckého rejstříku (evidence letadel), schvalování typů letadel a jejich součástí, schvalování letové způsobilosti letadel, vydávání osvědčení a ověřování letové způsobilosti, schvalování nebo uznávání způsobilosti výrobků letecké techniky, vedení evidence leteckého personálu a vydávání průkazů způsobilosti leteckého personálu, </w:t>
      </w:r>
      <w:r w:rsidR="00130C53">
        <w:t>správa registru provozovatelů bezpilotních systém</w:t>
      </w:r>
      <w:r w:rsidR="00035CD3">
        <w:t>ů</w:t>
      </w:r>
      <w:r w:rsidR="00130C53">
        <w:t>, udělování oprávnění, omezování a odním</w:t>
      </w:r>
      <w:r w:rsidRPr="0088307E">
        <w:t>á</w:t>
      </w:r>
      <w:r w:rsidR="00130C53">
        <w:t>ní oprávnění provozovatelů</w:t>
      </w:r>
      <w:r w:rsidR="005C67B9">
        <w:t>m</w:t>
      </w:r>
      <w:r w:rsidR="00130C53">
        <w:t xml:space="preserve"> bezpilotních systémů,</w:t>
      </w:r>
      <w:r w:rsidRPr="0088307E">
        <w:t xml:space="preserve"> </w:t>
      </w:r>
      <w:r w:rsidR="00130C53">
        <w:t xml:space="preserve">vydávání </w:t>
      </w:r>
      <w:r w:rsidRPr="0088307E">
        <w:t>povolení k provozování letiště</w:t>
      </w:r>
      <w:r w:rsidR="00130C53">
        <w:t xml:space="preserve"> a rozhodování o jeho </w:t>
      </w:r>
      <w:proofErr w:type="spellStart"/>
      <w:proofErr w:type="gramStart"/>
      <w:r w:rsidR="00130C53">
        <w:t>zrušení</w:t>
      </w:r>
      <w:r w:rsidRPr="0088307E">
        <w:t>,</w:t>
      </w:r>
      <w:r w:rsidR="00130C53">
        <w:t>vedení</w:t>
      </w:r>
      <w:proofErr w:type="spellEnd"/>
      <w:proofErr w:type="gramEnd"/>
      <w:r w:rsidR="00130C53">
        <w:t xml:space="preserve"> evidence letišť,</w:t>
      </w:r>
      <w:r w:rsidRPr="0088307E">
        <w:t xml:space="preserve"> výkon funkce speciálního stavebního úřadu pro letecké stavby a vydávání osvědčení leteckého dopravce.</w:t>
      </w:r>
    </w:p>
    <w:p w14:paraId="4F8A705E" w14:textId="756B60B4" w:rsidR="00535DE4" w:rsidRPr="0088307E" w:rsidRDefault="00535DE4" w:rsidP="00535DE4">
      <w:pPr>
        <w:pStyle w:val="Titulek"/>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10</w:t>
      </w:r>
      <w:r w:rsidRPr="0088307E">
        <w:rPr>
          <w:noProof/>
        </w:rPr>
        <w:fldChar w:fldCharType="end"/>
      </w:r>
      <w:r w:rsidRPr="0088307E">
        <w:t xml:space="preserve"> Úřad pro civilní letectví – běžné výdaje (v tis. Kč)</w:t>
      </w:r>
    </w:p>
    <w:tbl>
      <w:tblPr>
        <w:tblStyle w:val="Svtltabulkasmkou1zvraznn1"/>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02"/>
        <w:gridCol w:w="1416"/>
        <w:gridCol w:w="1273"/>
        <w:gridCol w:w="1131"/>
        <w:gridCol w:w="929"/>
      </w:tblGrid>
      <w:tr w:rsidR="00E8518E" w:rsidRPr="00E8518E" w14:paraId="7F22734D" w14:textId="77777777" w:rsidTr="00776B6E">
        <w:trPr>
          <w:trHeight w:val="790"/>
        </w:trPr>
        <w:tc>
          <w:tcPr>
            <w:tcW w:w="237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0593A1" w14:textId="77777777" w:rsidR="00535DE4" w:rsidRPr="0088307E" w:rsidRDefault="00535DE4" w:rsidP="00776B6E">
            <w:pPr>
              <w:jc w:val="center"/>
              <w:rPr>
                <w:rFonts w:eastAsia="Times New Roman" w:cs="Times New Roman"/>
                <w:b/>
                <w:lang w:eastAsia="cs-CZ"/>
              </w:rPr>
            </w:pPr>
            <w:r w:rsidRPr="0088307E">
              <w:rPr>
                <w:rFonts w:eastAsia="Times New Roman" w:cs="Times New Roman"/>
                <w:b/>
                <w:lang w:eastAsia="cs-CZ"/>
              </w:rPr>
              <w:t>Ukazatel</w:t>
            </w:r>
          </w:p>
        </w:tc>
        <w:tc>
          <w:tcPr>
            <w:tcW w:w="78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FD33EC" w14:textId="77777777" w:rsidR="00535DE4" w:rsidRPr="0088307E" w:rsidRDefault="00535DE4" w:rsidP="00776B6E">
            <w:pPr>
              <w:jc w:val="center"/>
              <w:rPr>
                <w:rFonts w:eastAsia="Times New Roman" w:cs="Times New Roman"/>
                <w:b/>
                <w:lang w:eastAsia="cs-CZ"/>
              </w:rPr>
            </w:pPr>
            <w:r w:rsidRPr="0088307E">
              <w:rPr>
                <w:rFonts w:eastAsia="Times New Roman" w:cs="Times New Roman"/>
                <w:b/>
                <w:lang w:eastAsia="cs-CZ"/>
              </w:rPr>
              <w:t>Skutečnost</w:t>
            </w:r>
          </w:p>
          <w:p w14:paraId="71BDB38E" w14:textId="6A6781A6" w:rsidR="00535DE4" w:rsidRPr="0088307E" w:rsidRDefault="002C6533" w:rsidP="00776B6E">
            <w:pPr>
              <w:jc w:val="center"/>
              <w:rPr>
                <w:rFonts w:eastAsia="Times New Roman" w:cs="Times New Roman"/>
                <w:b/>
                <w:lang w:eastAsia="cs-CZ"/>
              </w:rPr>
            </w:pPr>
            <w:r w:rsidRPr="0088307E">
              <w:rPr>
                <w:rFonts w:eastAsia="Times New Roman" w:cs="Times New Roman"/>
                <w:b/>
                <w:lang w:eastAsia="cs-CZ"/>
              </w:rPr>
              <w:t>2021</w:t>
            </w:r>
          </w:p>
        </w:tc>
        <w:tc>
          <w:tcPr>
            <w:tcW w:w="70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9E5217" w14:textId="77777777" w:rsidR="00535DE4" w:rsidRPr="0088307E" w:rsidRDefault="00535DE4" w:rsidP="00776B6E">
            <w:pPr>
              <w:jc w:val="center"/>
              <w:rPr>
                <w:rFonts w:eastAsia="Times New Roman" w:cs="Times New Roman"/>
                <w:b/>
                <w:lang w:eastAsia="cs-CZ"/>
              </w:rPr>
            </w:pPr>
            <w:r w:rsidRPr="0088307E">
              <w:rPr>
                <w:rFonts w:eastAsia="Times New Roman" w:cs="Times New Roman"/>
                <w:b/>
                <w:lang w:eastAsia="cs-CZ"/>
              </w:rPr>
              <w:t>Schválený</w:t>
            </w:r>
          </w:p>
          <w:p w14:paraId="75BFE770" w14:textId="77777777" w:rsidR="00535DE4" w:rsidRPr="0088307E" w:rsidRDefault="00535DE4" w:rsidP="00776B6E">
            <w:pPr>
              <w:jc w:val="center"/>
              <w:rPr>
                <w:rFonts w:eastAsia="Times New Roman" w:cs="Times New Roman"/>
                <w:b/>
                <w:lang w:eastAsia="cs-CZ"/>
              </w:rPr>
            </w:pPr>
            <w:r w:rsidRPr="0088307E">
              <w:rPr>
                <w:rFonts w:eastAsia="Times New Roman" w:cs="Times New Roman"/>
                <w:b/>
                <w:lang w:eastAsia="cs-CZ"/>
              </w:rPr>
              <w:t>rozpočet</w:t>
            </w:r>
          </w:p>
          <w:p w14:paraId="5E1E9E89" w14:textId="1FE5A695" w:rsidR="00535DE4" w:rsidRPr="0088307E" w:rsidRDefault="002C6533" w:rsidP="00776B6E">
            <w:pPr>
              <w:jc w:val="center"/>
              <w:rPr>
                <w:rFonts w:eastAsia="Times New Roman" w:cs="Times New Roman"/>
                <w:b/>
                <w:lang w:eastAsia="cs-CZ"/>
              </w:rPr>
            </w:pPr>
            <w:r w:rsidRPr="0088307E">
              <w:rPr>
                <w:rFonts w:eastAsia="Times New Roman" w:cs="Times New Roman"/>
                <w:b/>
                <w:lang w:eastAsia="cs-CZ"/>
              </w:rPr>
              <w:t>2022</w:t>
            </w:r>
          </w:p>
        </w:tc>
        <w:tc>
          <w:tcPr>
            <w:tcW w:w="62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B4C882" w14:textId="77777777" w:rsidR="00535DE4" w:rsidRPr="0088307E" w:rsidRDefault="00535DE4" w:rsidP="00776B6E">
            <w:pPr>
              <w:jc w:val="center"/>
              <w:rPr>
                <w:rFonts w:eastAsia="Times New Roman" w:cs="Times New Roman"/>
                <w:b/>
                <w:lang w:eastAsia="cs-CZ"/>
              </w:rPr>
            </w:pPr>
            <w:r w:rsidRPr="0088307E">
              <w:rPr>
                <w:rFonts w:eastAsia="Times New Roman" w:cs="Times New Roman"/>
                <w:b/>
                <w:lang w:eastAsia="cs-CZ"/>
              </w:rPr>
              <w:t>Návrh</w:t>
            </w:r>
          </w:p>
          <w:p w14:paraId="4D7CFBCB" w14:textId="77777777" w:rsidR="00535DE4" w:rsidRPr="0088307E" w:rsidRDefault="00535DE4" w:rsidP="00776B6E">
            <w:pPr>
              <w:jc w:val="center"/>
              <w:rPr>
                <w:rFonts w:eastAsia="Times New Roman" w:cs="Times New Roman"/>
                <w:b/>
                <w:lang w:eastAsia="cs-CZ"/>
              </w:rPr>
            </w:pPr>
            <w:r w:rsidRPr="0088307E">
              <w:rPr>
                <w:rFonts w:eastAsia="Times New Roman" w:cs="Times New Roman"/>
                <w:b/>
                <w:lang w:eastAsia="cs-CZ"/>
              </w:rPr>
              <w:t>rozpočtu</w:t>
            </w:r>
          </w:p>
          <w:p w14:paraId="4ED4690C" w14:textId="48345D79" w:rsidR="00535DE4" w:rsidRPr="0088307E" w:rsidRDefault="002C6533" w:rsidP="00776B6E">
            <w:pPr>
              <w:jc w:val="center"/>
              <w:rPr>
                <w:rFonts w:eastAsia="Times New Roman" w:cs="Times New Roman"/>
                <w:b/>
                <w:lang w:eastAsia="cs-CZ"/>
              </w:rPr>
            </w:pPr>
            <w:r w:rsidRPr="0088307E">
              <w:rPr>
                <w:rFonts w:eastAsia="Times New Roman" w:cs="Times New Roman"/>
                <w:b/>
                <w:lang w:eastAsia="cs-CZ"/>
              </w:rPr>
              <w:t>2023</w:t>
            </w:r>
          </w:p>
        </w:tc>
        <w:tc>
          <w:tcPr>
            <w:tcW w:w="51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45CEC415" w14:textId="77777777" w:rsidR="00535DE4" w:rsidRPr="0088307E" w:rsidRDefault="00535DE4" w:rsidP="00776B6E">
            <w:pPr>
              <w:jc w:val="center"/>
              <w:rPr>
                <w:rFonts w:eastAsia="Times New Roman" w:cs="Times New Roman"/>
                <w:b/>
                <w:lang w:eastAsia="cs-CZ"/>
              </w:rPr>
            </w:pPr>
            <w:r w:rsidRPr="0088307E">
              <w:rPr>
                <w:rFonts w:eastAsia="Times New Roman" w:cs="Times New Roman"/>
                <w:b/>
                <w:lang w:eastAsia="cs-CZ"/>
              </w:rPr>
              <w:t>Index</w:t>
            </w:r>
          </w:p>
          <w:p w14:paraId="2845217D" w14:textId="4AA5A118" w:rsidR="00535DE4" w:rsidRPr="0088307E" w:rsidRDefault="002C6533" w:rsidP="00776B6E">
            <w:pPr>
              <w:jc w:val="center"/>
              <w:rPr>
                <w:rFonts w:eastAsia="Times New Roman" w:cs="Times New Roman"/>
                <w:b/>
                <w:lang w:eastAsia="cs-CZ"/>
              </w:rPr>
            </w:pPr>
            <w:r w:rsidRPr="0088307E">
              <w:rPr>
                <w:rFonts w:eastAsia="Times New Roman" w:cs="Times New Roman"/>
                <w:b/>
                <w:lang w:eastAsia="cs-CZ"/>
              </w:rPr>
              <w:t>2023</w:t>
            </w:r>
            <w:r w:rsidR="00535DE4" w:rsidRPr="0088307E">
              <w:rPr>
                <w:rFonts w:eastAsia="Times New Roman" w:cs="Times New Roman"/>
                <w:b/>
                <w:lang w:eastAsia="cs-CZ"/>
              </w:rPr>
              <w:t xml:space="preserve">/ </w:t>
            </w:r>
            <w:r w:rsidRPr="0088307E">
              <w:rPr>
                <w:rFonts w:eastAsia="Times New Roman" w:cs="Times New Roman"/>
                <w:b/>
                <w:lang w:eastAsia="cs-CZ"/>
              </w:rPr>
              <w:t xml:space="preserve">2022 </w:t>
            </w:r>
            <w:r w:rsidR="00535DE4" w:rsidRPr="0088307E">
              <w:rPr>
                <w:rFonts w:eastAsia="Times New Roman" w:cs="Times New Roman"/>
                <w:b/>
                <w:lang w:eastAsia="cs-CZ"/>
              </w:rPr>
              <w:t>(v %)</w:t>
            </w:r>
          </w:p>
        </w:tc>
      </w:tr>
      <w:tr w:rsidR="00E8518E" w:rsidRPr="00E8518E" w14:paraId="1E6E283A" w14:textId="77777777" w:rsidTr="00776B6E">
        <w:trPr>
          <w:trHeight w:val="248"/>
        </w:trPr>
        <w:tc>
          <w:tcPr>
            <w:tcW w:w="2377" w:type="pct"/>
            <w:tcBorders>
              <w:top w:val="single" w:sz="4" w:space="0" w:color="7F7F7F" w:themeColor="text1" w:themeTint="80"/>
              <w:bottom w:val="single" w:sz="8" w:space="0" w:color="7F7F7F" w:themeColor="text1" w:themeTint="80"/>
            </w:tcBorders>
            <w:shd w:val="clear" w:color="auto" w:fill="auto"/>
          </w:tcPr>
          <w:p w14:paraId="67AE4855"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a</w:t>
            </w:r>
          </w:p>
        </w:tc>
        <w:tc>
          <w:tcPr>
            <w:tcW w:w="782" w:type="pct"/>
            <w:tcBorders>
              <w:top w:val="single" w:sz="4" w:space="0" w:color="7F7F7F" w:themeColor="text1" w:themeTint="80"/>
              <w:bottom w:val="single" w:sz="8" w:space="0" w:color="7F7F7F" w:themeColor="text1" w:themeTint="80"/>
            </w:tcBorders>
            <w:shd w:val="clear" w:color="auto" w:fill="auto"/>
          </w:tcPr>
          <w:p w14:paraId="2419CC5B"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1</w:t>
            </w:r>
          </w:p>
        </w:tc>
        <w:tc>
          <w:tcPr>
            <w:tcW w:w="703" w:type="pct"/>
            <w:tcBorders>
              <w:top w:val="single" w:sz="4" w:space="0" w:color="7F7F7F" w:themeColor="text1" w:themeTint="80"/>
              <w:bottom w:val="single" w:sz="8" w:space="0" w:color="7F7F7F" w:themeColor="text1" w:themeTint="80"/>
            </w:tcBorders>
            <w:shd w:val="clear" w:color="auto" w:fill="auto"/>
          </w:tcPr>
          <w:p w14:paraId="0CC192FB"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2</w:t>
            </w:r>
          </w:p>
        </w:tc>
        <w:tc>
          <w:tcPr>
            <w:tcW w:w="625" w:type="pct"/>
            <w:tcBorders>
              <w:top w:val="single" w:sz="4" w:space="0" w:color="7F7F7F" w:themeColor="text1" w:themeTint="80"/>
              <w:bottom w:val="single" w:sz="8" w:space="0" w:color="7F7F7F" w:themeColor="text1" w:themeTint="80"/>
            </w:tcBorders>
            <w:shd w:val="clear" w:color="auto" w:fill="auto"/>
          </w:tcPr>
          <w:p w14:paraId="79306B71"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3</w:t>
            </w:r>
          </w:p>
        </w:tc>
        <w:tc>
          <w:tcPr>
            <w:tcW w:w="513" w:type="pct"/>
            <w:tcBorders>
              <w:top w:val="single" w:sz="4" w:space="0" w:color="7F7F7F" w:themeColor="text1" w:themeTint="80"/>
              <w:bottom w:val="single" w:sz="8" w:space="0" w:color="7F7F7F" w:themeColor="text1" w:themeTint="80"/>
            </w:tcBorders>
            <w:shd w:val="clear" w:color="auto" w:fill="auto"/>
          </w:tcPr>
          <w:p w14:paraId="5196BA19"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4</w:t>
            </w:r>
          </w:p>
        </w:tc>
      </w:tr>
      <w:tr w:rsidR="00E8518E" w:rsidRPr="00E8518E" w14:paraId="739CAFE7" w14:textId="77777777" w:rsidTr="00374DD4">
        <w:trPr>
          <w:trHeight w:val="486"/>
        </w:trPr>
        <w:tc>
          <w:tcPr>
            <w:tcW w:w="2377" w:type="pct"/>
            <w:tcBorders>
              <w:top w:val="single" w:sz="8" w:space="0" w:color="7F7F7F" w:themeColor="text1" w:themeTint="80"/>
              <w:bottom w:val="single" w:sz="8" w:space="0" w:color="7F7F7F" w:themeColor="text1" w:themeTint="80"/>
            </w:tcBorders>
            <w:shd w:val="clear" w:color="auto" w:fill="auto"/>
          </w:tcPr>
          <w:p w14:paraId="0309F611" w14:textId="77777777" w:rsidR="00D978F6" w:rsidRPr="0088307E" w:rsidRDefault="00D978F6" w:rsidP="00D978F6">
            <w:pPr>
              <w:spacing w:before="54"/>
              <w:rPr>
                <w:rFonts w:eastAsia="Times New Roman" w:cs="Times New Roman"/>
                <w:b/>
                <w:lang w:eastAsia="cs-CZ"/>
              </w:rPr>
            </w:pPr>
            <w:r w:rsidRPr="0088307E">
              <w:rPr>
                <w:rFonts w:eastAsia="Times New Roman" w:cs="Times New Roman"/>
                <w:b/>
                <w:iCs/>
                <w:lang w:eastAsia="cs-CZ"/>
              </w:rPr>
              <w:t xml:space="preserve">Běžné výdaje </w:t>
            </w:r>
            <w:r w:rsidRPr="0088307E">
              <w:rPr>
                <w:rFonts w:eastAsia="Times New Roman" w:cs="Times New Roman"/>
                <w:lang w:eastAsia="cs-CZ"/>
              </w:rPr>
              <w:t>v tom:</w:t>
            </w:r>
            <w:r w:rsidRPr="0088307E">
              <w:rPr>
                <w:rFonts w:eastAsia="Times New Roman" w:cs="Times New Roman"/>
                <w:b/>
                <w:lang w:eastAsia="cs-CZ"/>
              </w:rPr>
              <w:t xml:space="preserve"> </w:t>
            </w:r>
          </w:p>
        </w:tc>
        <w:tc>
          <w:tcPr>
            <w:tcW w:w="782" w:type="pct"/>
            <w:tcBorders>
              <w:top w:val="single" w:sz="8" w:space="0" w:color="7F7F7F" w:themeColor="text1" w:themeTint="80"/>
              <w:bottom w:val="single" w:sz="8" w:space="0" w:color="7F7F7F" w:themeColor="text1" w:themeTint="80"/>
            </w:tcBorders>
            <w:shd w:val="clear" w:color="auto" w:fill="auto"/>
            <w:vAlign w:val="center"/>
          </w:tcPr>
          <w:p w14:paraId="3031981C" w14:textId="4F21E4EB" w:rsidR="00D978F6" w:rsidRPr="0088307E" w:rsidRDefault="00F10E9B" w:rsidP="00D978F6">
            <w:pPr>
              <w:jc w:val="right"/>
              <w:rPr>
                <w:rFonts w:eastAsia="Times New Roman" w:cs="Times New Roman"/>
                <w:b/>
                <w:bCs/>
                <w:lang w:eastAsia="cs-CZ"/>
              </w:rPr>
            </w:pPr>
            <w:r w:rsidRPr="0088307E">
              <w:rPr>
                <w:rFonts w:eastAsia="Times New Roman" w:cs="Times New Roman"/>
                <w:b/>
                <w:bCs/>
                <w:lang w:eastAsia="cs-CZ"/>
              </w:rPr>
              <w:t>186 999</w:t>
            </w:r>
          </w:p>
        </w:tc>
        <w:tc>
          <w:tcPr>
            <w:tcW w:w="703" w:type="pct"/>
            <w:tcBorders>
              <w:top w:val="single" w:sz="8" w:space="0" w:color="7F7F7F" w:themeColor="text1" w:themeTint="80"/>
              <w:bottom w:val="single" w:sz="8" w:space="0" w:color="7F7F7F" w:themeColor="text1" w:themeTint="80"/>
            </w:tcBorders>
            <w:shd w:val="clear" w:color="auto" w:fill="auto"/>
            <w:vAlign w:val="center"/>
          </w:tcPr>
          <w:p w14:paraId="79A52AE9" w14:textId="6257E4FC" w:rsidR="00D978F6" w:rsidRPr="0088307E" w:rsidRDefault="00F10E9B" w:rsidP="00D978F6">
            <w:pPr>
              <w:jc w:val="right"/>
              <w:rPr>
                <w:rFonts w:eastAsia="Times New Roman" w:cs="Times New Roman"/>
                <w:b/>
                <w:bCs/>
                <w:lang w:eastAsia="cs-CZ"/>
              </w:rPr>
            </w:pPr>
            <w:r w:rsidRPr="0088307E">
              <w:rPr>
                <w:rFonts w:eastAsia="Times New Roman" w:cs="Times New Roman"/>
                <w:b/>
                <w:bCs/>
                <w:lang w:eastAsia="cs-CZ"/>
              </w:rPr>
              <w:t>186 466</w:t>
            </w:r>
          </w:p>
        </w:tc>
        <w:tc>
          <w:tcPr>
            <w:tcW w:w="625" w:type="pct"/>
            <w:tcBorders>
              <w:top w:val="single" w:sz="8" w:space="0" w:color="7F7F7F" w:themeColor="text1" w:themeTint="80"/>
              <w:bottom w:val="single" w:sz="8" w:space="0" w:color="7F7F7F" w:themeColor="text1" w:themeTint="80"/>
            </w:tcBorders>
            <w:shd w:val="clear" w:color="auto" w:fill="auto"/>
            <w:vAlign w:val="center"/>
          </w:tcPr>
          <w:p w14:paraId="506C1B17" w14:textId="60F87AAD" w:rsidR="00D978F6" w:rsidRPr="0088307E" w:rsidRDefault="00DC4596" w:rsidP="00D978F6">
            <w:pPr>
              <w:jc w:val="right"/>
              <w:rPr>
                <w:rFonts w:eastAsia="Times New Roman" w:cs="Times New Roman"/>
                <w:b/>
                <w:bCs/>
                <w:lang w:eastAsia="cs-CZ"/>
              </w:rPr>
            </w:pPr>
            <w:r>
              <w:rPr>
                <w:rFonts w:eastAsia="Times New Roman" w:cs="Times New Roman"/>
                <w:b/>
                <w:bCs/>
                <w:lang w:eastAsia="cs-CZ"/>
              </w:rPr>
              <w:t>196 595</w:t>
            </w:r>
          </w:p>
        </w:tc>
        <w:tc>
          <w:tcPr>
            <w:tcW w:w="513" w:type="pct"/>
            <w:tcBorders>
              <w:top w:val="single" w:sz="8" w:space="0" w:color="7F7F7F" w:themeColor="text1" w:themeTint="80"/>
              <w:bottom w:val="single" w:sz="8" w:space="0" w:color="7F7F7F" w:themeColor="text1" w:themeTint="80"/>
            </w:tcBorders>
            <w:shd w:val="clear" w:color="auto" w:fill="auto"/>
          </w:tcPr>
          <w:p w14:paraId="5E58114D" w14:textId="3787249A" w:rsidR="00D978F6" w:rsidRPr="0088307E" w:rsidRDefault="00DC4596" w:rsidP="00D978F6">
            <w:pPr>
              <w:spacing w:before="81"/>
              <w:jc w:val="right"/>
              <w:rPr>
                <w:rFonts w:eastAsia="Times New Roman" w:cs="Times New Roman"/>
                <w:b/>
                <w:bCs/>
                <w:lang w:eastAsia="cs-CZ"/>
              </w:rPr>
            </w:pPr>
            <w:r>
              <w:rPr>
                <w:rFonts w:eastAsia="Times New Roman" w:cs="Times New Roman"/>
                <w:b/>
                <w:bCs/>
                <w:lang w:eastAsia="cs-CZ"/>
              </w:rPr>
              <w:t>105,43</w:t>
            </w:r>
          </w:p>
        </w:tc>
      </w:tr>
      <w:tr w:rsidR="00E8518E" w:rsidRPr="00E8518E" w14:paraId="351A8407" w14:textId="77777777" w:rsidTr="00776B6E">
        <w:trPr>
          <w:trHeight w:val="408"/>
        </w:trPr>
        <w:tc>
          <w:tcPr>
            <w:tcW w:w="2377" w:type="pct"/>
            <w:tcBorders>
              <w:top w:val="single" w:sz="8" w:space="0" w:color="7F7F7F" w:themeColor="text1" w:themeTint="80"/>
              <w:bottom w:val="single" w:sz="8" w:space="0" w:color="7F7F7F" w:themeColor="text1" w:themeTint="80"/>
            </w:tcBorders>
            <w:shd w:val="clear" w:color="auto" w:fill="auto"/>
          </w:tcPr>
          <w:p w14:paraId="5D153790" w14:textId="77777777" w:rsidR="00D978F6" w:rsidRPr="0088307E" w:rsidRDefault="00D978F6" w:rsidP="00D978F6">
            <w:pPr>
              <w:rPr>
                <w:rFonts w:eastAsia="Times New Roman" w:cs="Times New Roman"/>
                <w:b/>
                <w:iCs/>
                <w:lang w:eastAsia="cs-CZ"/>
              </w:rPr>
            </w:pPr>
            <w:r w:rsidRPr="0088307E">
              <w:rPr>
                <w:rFonts w:eastAsia="Times New Roman" w:cs="Times New Roman"/>
                <w:lang w:eastAsia="cs-CZ"/>
              </w:rPr>
              <w:t>platy zaměstnanců a ostatní platby                 za provedenou práci</w:t>
            </w:r>
          </w:p>
        </w:tc>
        <w:tc>
          <w:tcPr>
            <w:tcW w:w="782" w:type="pct"/>
            <w:tcBorders>
              <w:top w:val="single" w:sz="8" w:space="0" w:color="7F7F7F" w:themeColor="text1" w:themeTint="80"/>
            </w:tcBorders>
            <w:shd w:val="clear" w:color="auto" w:fill="auto"/>
            <w:vAlign w:val="center"/>
          </w:tcPr>
          <w:p w14:paraId="120178E4" w14:textId="5693F50C" w:rsidR="00D978F6" w:rsidRPr="0088307E" w:rsidRDefault="002C6533" w:rsidP="00D978F6">
            <w:pPr>
              <w:jc w:val="right"/>
              <w:rPr>
                <w:rFonts w:eastAsia="Times New Roman" w:cs="Times New Roman"/>
                <w:bCs/>
                <w:lang w:eastAsia="cs-CZ"/>
              </w:rPr>
            </w:pPr>
            <w:r w:rsidRPr="0088307E">
              <w:rPr>
                <w:rFonts w:eastAsia="Times New Roman" w:cs="Times New Roman"/>
                <w:bCs/>
                <w:lang w:eastAsia="cs-CZ"/>
              </w:rPr>
              <w:t>105 849</w:t>
            </w:r>
          </w:p>
        </w:tc>
        <w:tc>
          <w:tcPr>
            <w:tcW w:w="703" w:type="pct"/>
            <w:tcBorders>
              <w:top w:val="single" w:sz="8" w:space="0" w:color="7F7F7F" w:themeColor="text1" w:themeTint="80"/>
            </w:tcBorders>
            <w:shd w:val="clear" w:color="auto" w:fill="auto"/>
          </w:tcPr>
          <w:p w14:paraId="5D8773AE" w14:textId="052CA3AE" w:rsidR="00D978F6" w:rsidRPr="0088307E" w:rsidRDefault="002C6533" w:rsidP="00D978F6">
            <w:pPr>
              <w:spacing w:before="81"/>
              <w:jc w:val="right"/>
              <w:rPr>
                <w:rFonts w:eastAsia="Times New Roman" w:cs="Times New Roman"/>
                <w:lang w:eastAsia="cs-CZ"/>
              </w:rPr>
            </w:pPr>
            <w:r w:rsidRPr="0088307E">
              <w:rPr>
                <w:rFonts w:eastAsia="Times New Roman" w:cs="Times New Roman"/>
                <w:lang w:eastAsia="cs-CZ"/>
              </w:rPr>
              <w:t>106 759</w:t>
            </w:r>
          </w:p>
        </w:tc>
        <w:tc>
          <w:tcPr>
            <w:tcW w:w="625" w:type="pct"/>
            <w:tcBorders>
              <w:top w:val="single" w:sz="8" w:space="0" w:color="7F7F7F" w:themeColor="text1" w:themeTint="80"/>
            </w:tcBorders>
            <w:shd w:val="clear" w:color="auto" w:fill="auto"/>
          </w:tcPr>
          <w:p w14:paraId="306DC489" w14:textId="1C900748" w:rsidR="00D978F6" w:rsidRPr="0088307E" w:rsidRDefault="00F40322" w:rsidP="00D978F6">
            <w:pPr>
              <w:spacing w:before="81"/>
              <w:jc w:val="right"/>
              <w:rPr>
                <w:rFonts w:eastAsia="Times New Roman" w:cs="Times New Roman"/>
                <w:lang w:eastAsia="cs-CZ"/>
              </w:rPr>
            </w:pPr>
            <w:r>
              <w:rPr>
                <w:rFonts w:eastAsia="Times New Roman" w:cs="Times New Roman"/>
                <w:lang w:eastAsia="cs-CZ"/>
              </w:rPr>
              <w:t>113 043</w:t>
            </w:r>
          </w:p>
        </w:tc>
        <w:tc>
          <w:tcPr>
            <w:tcW w:w="513" w:type="pct"/>
            <w:tcBorders>
              <w:top w:val="single" w:sz="8" w:space="0" w:color="7F7F7F" w:themeColor="text1" w:themeTint="80"/>
            </w:tcBorders>
            <w:shd w:val="clear" w:color="auto" w:fill="auto"/>
          </w:tcPr>
          <w:p w14:paraId="7E198BF0" w14:textId="5C740A0E" w:rsidR="00D978F6" w:rsidRPr="0088307E" w:rsidRDefault="00DC4596" w:rsidP="00D978F6">
            <w:pPr>
              <w:spacing w:before="81"/>
              <w:jc w:val="right"/>
              <w:rPr>
                <w:rFonts w:eastAsia="Times New Roman" w:cs="Times New Roman"/>
                <w:lang w:eastAsia="cs-CZ"/>
              </w:rPr>
            </w:pPr>
            <w:r>
              <w:rPr>
                <w:rFonts w:eastAsia="Times New Roman" w:cs="Times New Roman"/>
                <w:lang w:eastAsia="cs-CZ"/>
              </w:rPr>
              <w:t>105,89</w:t>
            </w:r>
          </w:p>
        </w:tc>
      </w:tr>
      <w:tr w:rsidR="002C6533" w:rsidRPr="00E8518E" w14:paraId="56B4B707" w14:textId="77777777" w:rsidTr="0088307E">
        <w:trPr>
          <w:trHeight w:val="232"/>
        </w:trPr>
        <w:tc>
          <w:tcPr>
            <w:tcW w:w="2377" w:type="pct"/>
            <w:shd w:val="clear" w:color="auto" w:fill="auto"/>
          </w:tcPr>
          <w:p w14:paraId="5547D489" w14:textId="77777777" w:rsidR="002C6533" w:rsidRPr="0088307E" w:rsidRDefault="002C6533" w:rsidP="002C6533">
            <w:pPr>
              <w:rPr>
                <w:rFonts w:eastAsia="Times New Roman" w:cs="Times New Roman"/>
                <w:lang w:eastAsia="cs-CZ"/>
              </w:rPr>
            </w:pPr>
            <w:r w:rsidRPr="0088307E">
              <w:rPr>
                <w:rFonts w:eastAsia="Times New Roman" w:cs="Times New Roman"/>
                <w:lang w:eastAsia="cs-CZ"/>
              </w:rPr>
              <w:t>povinné pojistné placené zaměstnavatelem</w:t>
            </w:r>
          </w:p>
        </w:tc>
        <w:tc>
          <w:tcPr>
            <w:tcW w:w="782" w:type="pct"/>
            <w:shd w:val="clear" w:color="auto" w:fill="auto"/>
          </w:tcPr>
          <w:p w14:paraId="3FB17D5C" w14:textId="6AB29E10" w:rsidR="002C6533" w:rsidRPr="00E8518E" w:rsidRDefault="002C6533" w:rsidP="002C6533">
            <w:pPr>
              <w:jc w:val="right"/>
              <w:rPr>
                <w:rFonts w:eastAsia="Times New Roman" w:cs="Times New Roman"/>
                <w:bCs/>
                <w:color w:val="FF0000"/>
                <w:lang w:eastAsia="cs-CZ"/>
              </w:rPr>
            </w:pPr>
            <w:r w:rsidRPr="0063552F">
              <w:t>35 724</w:t>
            </w:r>
          </w:p>
        </w:tc>
        <w:tc>
          <w:tcPr>
            <w:tcW w:w="703" w:type="pct"/>
            <w:shd w:val="clear" w:color="auto" w:fill="auto"/>
          </w:tcPr>
          <w:p w14:paraId="17231A5A" w14:textId="6166C9FD" w:rsidR="002C6533" w:rsidRPr="00E8518E" w:rsidRDefault="002C6533" w:rsidP="002C6533">
            <w:pPr>
              <w:jc w:val="right"/>
              <w:rPr>
                <w:rFonts w:eastAsia="Times New Roman" w:cs="Times New Roman"/>
                <w:color w:val="FF0000"/>
                <w:lang w:eastAsia="cs-CZ"/>
              </w:rPr>
            </w:pPr>
            <w:r w:rsidRPr="0063552F">
              <w:t>36 085</w:t>
            </w:r>
          </w:p>
        </w:tc>
        <w:tc>
          <w:tcPr>
            <w:tcW w:w="625" w:type="pct"/>
            <w:shd w:val="clear" w:color="auto" w:fill="auto"/>
          </w:tcPr>
          <w:p w14:paraId="38B69FB3" w14:textId="3F5FEA9E" w:rsidR="002C6533" w:rsidRPr="00E8518E" w:rsidRDefault="00DC4596" w:rsidP="002C6533">
            <w:pPr>
              <w:jc w:val="right"/>
              <w:rPr>
                <w:rFonts w:eastAsia="Times New Roman" w:cs="Times New Roman"/>
                <w:color w:val="FF0000"/>
                <w:lang w:eastAsia="cs-CZ"/>
              </w:rPr>
            </w:pPr>
            <w:r>
              <w:t>38 209</w:t>
            </w:r>
          </w:p>
        </w:tc>
        <w:tc>
          <w:tcPr>
            <w:tcW w:w="513" w:type="pct"/>
            <w:shd w:val="clear" w:color="auto" w:fill="auto"/>
          </w:tcPr>
          <w:p w14:paraId="511967EC" w14:textId="5DB884F7" w:rsidR="002C6533" w:rsidRPr="00E8518E" w:rsidRDefault="00DC4596" w:rsidP="002C6533">
            <w:pPr>
              <w:jc w:val="right"/>
              <w:rPr>
                <w:rFonts w:eastAsia="Times New Roman" w:cs="Times New Roman"/>
                <w:color w:val="FF0000"/>
                <w:lang w:eastAsia="cs-CZ"/>
              </w:rPr>
            </w:pPr>
            <w:r>
              <w:t>105,89</w:t>
            </w:r>
          </w:p>
        </w:tc>
      </w:tr>
      <w:tr w:rsidR="002C6533" w:rsidRPr="00E8518E" w14:paraId="49A6E32C" w14:textId="77777777" w:rsidTr="0088307E">
        <w:trPr>
          <w:trHeight w:val="248"/>
        </w:trPr>
        <w:tc>
          <w:tcPr>
            <w:tcW w:w="2377" w:type="pct"/>
            <w:shd w:val="clear" w:color="auto" w:fill="auto"/>
          </w:tcPr>
          <w:p w14:paraId="6DDE6FC4" w14:textId="77777777" w:rsidR="002C6533" w:rsidRPr="0088307E" w:rsidRDefault="002C6533" w:rsidP="002C6533">
            <w:pPr>
              <w:rPr>
                <w:rFonts w:eastAsia="Times New Roman" w:cs="Times New Roman"/>
                <w:lang w:eastAsia="cs-CZ"/>
              </w:rPr>
            </w:pPr>
            <w:r w:rsidRPr="0088307E">
              <w:rPr>
                <w:rFonts w:eastAsia="Times New Roman" w:cs="Times New Roman"/>
                <w:lang w:eastAsia="cs-CZ"/>
              </w:rPr>
              <w:t>příděl FKSP</w:t>
            </w:r>
          </w:p>
        </w:tc>
        <w:tc>
          <w:tcPr>
            <w:tcW w:w="782" w:type="pct"/>
            <w:shd w:val="clear" w:color="auto" w:fill="auto"/>
          </w:tcPr>
          <w:p w14:paraId="0972A572" w14:textId="0AD1E235" w:rsidR="002C6533" w:rsidRPr="00E8518E" w:rsidRDefault="002C6533" w:rsidP="002C6533">
            <w:pPr>
              <w:jc w:val="right"/>
              <w:rPr>
                <w:rFonts w:eastAsia="Times New Roman" w:cs="Times New Roman"/>
                <w:bCs/>
                <w:color w:val="FF0000"/>
                <w:lang w:eastAsia="cs-CZ"/>
              </w:rPr>
            </w:pPr>
            <w:r w:rsidRPr="0063552F">
              <w:t>2 108</w:t>
            </w:r>
          </w:p>
        </w:tc>
        <w:tc>
          <w:tcPr>
            <w:tcW w:w="703" w:type="pct"/>
            <w:shd w:val="clear" w:color="auto" w:fill="auto"/>
          </w:tcPr>
          <w:p w14:paraId="0E41C7FB" w14:textId="1348B63D" w:rsidR="002C6533" w:rsidRPr="00E8518E" w:rsidRDefault="002C6533" w:rsidP="002C6533">
            <w:pPr>
              <w:jc w:val="right"/>
              <w:rPr>
                <w:rFonts w:eastAsia="Times New Roman" w:cs="Times New Roman"/>
                <w:color w:val="FF0000"/>
                <w:lang w:eastAsia="cs-CZ"/>
              </w:rPr>
            </w:pPr>
            <w:r w:rsidRPr="0063552F">
              <w:t>2 123</w:t>
            </w:r>
          </w:p>
        </w:tc>
        <w:tc>
          <w:tcPr>
            <w:tcW w:w="625" w:type="pct"/>
            <w:shd w:val="clear" w:color="auto" w:fill="auto"/>
          </w:tcPr>
          <w:p w14:paraId="0CA19931" w14:textId="6783F077" w:rsidR="002C6533" w:rsidRPr="00E8518E" w:rsidRDefault="00DC4596" w:rsidP="002C6533">
            <w:pPr>
              <w:jc w:val="right"/>
              <w:rPr>
                <w:rFonts w:eastAsia="Times New Roman" w:cs="Times New Roman"/>
                <w:color w:val="FF0000"/>
                <w:lang w:eastAsia="cs-CZ"/>
              </w:rPr>
            </w:pPr>
            <w:r>
              <w:t>2 250</w:t>
            </w:r>
          </w:p>
        </w:tc>
        <w:tc>
          <w:tcPr>
            <w:tcW w:w="513" w:type="pct"/>
            <w:shd w:val="clear" w:color="auto" w:fill="auto"/>
          </w:tcPr>
          <w:p w14:paraId="2E7E9856" w14:textId="4BACE8CF" w:rsidR="002C6533" w:rsidRPr="00E8518E" w:rsidRDefault="00DC4596" w:rsidP="002C6533">
            <w:pPr>
              <w:jc w:val="right"/>
              <w:rPr>
                <w:rFonts w:eastAsia="Times New Roman" w:cs="Times New Roman"/>
                <w:color w:val="FF0000"/>
                <w:lang w:eastAsia="cs-CZ"/>
              </w:rPr>
            </w:pPr>
            <w:r>
              <w:t>105,98</w:t>
            </w:r>
          </w:p>
        </w:tc>
      </w:tr>
      <w:tr w:rsidR="002C6533" w:rsidRPr="00E8518E" w14:paraId="2BCBA262" w14:textId="77777777" w:rsidTr="0088307E">
        <w:trPr>
          <w:trHeight w:val="248"/>
        </w:trPr>
        <w:tc>
          <w:tcPr>
            <w:tcW w:w="2377" w:type="pct"/>
            <w:tcBorders>
              <w:bottom w:val="nil"/>
            </w:tcBorders>
            <w:shd w:val="clear" w:color="auto" w:fill="auto"/>
          </w:tcPr>
          <w:p w14:paraId="2265F736" w14:textId="77777777" w:rsidR="002C6533" w:rsidRPr="0088307E" w:rsidRDefault="002C6533" w:rsidP="002C6533">
            <w:pPr>
              <w:rPr>
                <w:rFonts w:eastAsia="Times New Roman" w:cs="Times New Roman"/>
                <w:lang w:eastAsia="cs-CZ"/>
              </w:rPr>
            </w:pPr>
            <w:r w:rsidRPr="0088307E">
              <w:rPr>
                <w:rFonts w:eastAsia="Times New Roman" w:cs="Times New Roman"/>
                <w:lang w:eastAsia="cs-CZ"/>
              </w:rPr>
              <w:t>ostatní neinvestiční nákupy a související výdaje</w:t>
            </w:r>
          </w:p>
        </w:tc>
        <w:tc>
          <w:tcPr>
            <w:tcW w:w="782" w:type="pct"/>
            <w:tcBorders>
              <w:bottom w:val="nil"/>
            </w:tcBorders>
            <w:shd w:val="clear" w:color="auto" w:fill="auto"/>
          </w:tcPr>
          <w:p w14:paraId="3CC99F7E" w14:textId="436C3666" w:rsidR="002C6533" w:rsidRPr="00E8518E" w:rsidRDefault="002C6533" w:rsidP="002C6533">
            <w:pPr>
              <w:jc w:val="right"/>
              <w:rPr>
                <w:rFonts w:eastAsia="Times New Roman" w:cs="Times New Roman"/>
                <w:bCs/>
                <w:color w:val="FF0000"/>
                <w:lang w:eastAsia="cs-CZ"/>
              </w:rPr>
            </w:pPr>
            <w:r w:rsidRPr="0063552F">
              <w:t>43 318</w:t>
            </w:r>
          </w:p>
        </w:tc>
        <w:tc>
          <w:tcPr>
            <w:tcW w:w="703" w:type="pct"/>
            <w:tcBorders>
              <w:bottom w:val="nil"/>
            </w:tcBorders>
            <w:shd w:val="clear" w:color="auto" w:fill="auto"/>
          </w:tcPr>
          <w:p w14:paraId="1DF88C8D" w14:textId="296FC1CB" w:rsidR="002C6533" w:rsidRPr="00E8518E" w:rsidRDefault="002C6533" w:rsidP="002C6533">
            <w:pPr>
              <w:jc w:val="right"/>
              <w:rPr>
                <w:rFonts w:eastAsia="Times New Roman" w:cs="Times New Roman"/>
                <w:color w:val="FF0000"/>
                <w:lang w:eastAsia="cs-CZ"/>
              </w:rPr>
            </w:pPr>
            <w:r w:rsidRPr="0063552F">
              <w:t>41 500</w:t>
            </w:r>
          </w:p>
        </w:tc>
        <w:tc>
          <w:tcPr>
            <w:tcW w:w="625" w:type="pct"/>
            <w:tcBorders>
              <w:bottom w:val="nil"/>
            </w:tcBorders>
            <w:shd w:val="clear" w:color="auto" w:fill="auto"/>
          </w:tcPr>
          <w:p w14:paraId="6334C6A7" w14:textId="3F6A6150" w:rsidR="002C6533" w:rsidRPr="00E8518E" w:rsidRDefault="00DC4596" w:rsidP="002C6533">
            <w:pPr>
              <w:jc w:val="right"/>
              <w:rPr>
                <w:rFonts w:eastAsia="Times New Roman" w:cs="Times New Roman"/>
                <w:color w:val="FF0000"/>
                <w:lang w:eastAsia="cs-CZ"/>
              </w:rPr>
            </w:pPr>
            <w:r>
              <w:t>43 093</w:t>
            </w:r>
          </w:p>
        </w:tc>
        <w:tc>
          <w:tcPr>
            <w:tcW w:w="513" w:type="pct"/>
            <w:tcBorders>
              <w:bottom w:val="nil"/>
            </w:tcBorders>
            <w:shd w:val="clear" w:color="auto" w:fill="auto"/>
          </w:tcPr>
          <w:p w14:paraId="7AB5CECE" w14:textId="6F24085C" w:rsidR="002C6533" w:rsidRPr="00E8518E" w:rsidRDefault="00DC4596" w:rsidP="002C6533">
            <w:pPr>
              <w:jc w:val="right"/>
              <w:rPr>
                <w:rFonts w:eastAsia="Times New Roman" w:cs="Times New Roman"/>
                <w:color w:val="FF0000"/>
                <w:lang w:eastAsia="cs-CZ"/>
              </w:rPr>
            </w:pPr>
            <w:r>
              <w:t>103,84</w:t>
            </w:r>
          </w:p>
        </w:tc>
      </w:tr>
      <w:tr w:rsidR="0088307E" w:rsidRPr="00E8518E" w14:paraId="559F7594" w14:textId="77777777" w:rsidTr="0088307E">
        <w:trPr>
          <w:trHeight w:val="232"/>
        </w:trPr>
        <w:tc>
          <w:tcPr>
            <w:tcW w:w="2377" w:type="pct"/>
            <w:tcBorders>
              <w:top w:val="nil"/>
              <w:bottom w:val="single" w:sz="8" w:space="0" w:color="7F7F7F" w:themeColor="text1" w:themeTint="80"/>
            </w:tcBorders>
            <w:shd w:val="clear" w:color="auto" w:fill="auto"/>
          </w:tcPr>
          <w:p w14:paraId="3E2152A8" w14:textId="77777777" w:rsidR="002C6533" w:rsidRPr="0088307E" w:rsidRDefault="002C6533" w:rsidP="002C6533">
            <w:pPr>
              <w:jc w:val="left"/>
              <w:rPr>
                <w:rFonts w:eastAsia="Times New Roman" w:cs="Times New Roman"/>
                <w:i/>
                <w:lang w:eastAsia="cs-CZ"/>
              </w:rPr>
            </w:pPr>
            <w:r w:rsidRPr="0088307E">
              <w:rPr>
                <w:rFonts w:eastAsia="Times New Roman" w:cs="Times New Roman"/>
                <w:i/>
                <w:lang w:eastAsia="cs-CZ"/>
              </w:rPr>
              <w:t xml:space="preserve">z toho: programové financování (EDS/SMVS) </w:t>
            </w:r>
          </w:p>
        </w:tc>
        <w:tc>
          <w:tcPr>
            <w:tcW w:w="782" w:type="pct"/>
            <w:tcBorders>
              <w:top w:val="nil"/>
              <w:bottom w:val="single" w:sz="8" w:space="0" w:color="7F7F7F" w:themeColor="text1" w:themeTint="80"/>
            </w:tcBorders>
            <w:shd w:val="clear" w:color="auto" w:fill="auto"/>
          </w:tcPr>
          <w:p w14:paraId="1F6CD4B2" w14:textId="5461AA81" w:rsidR="002C6533" w:rsidRPr="00E8518E" w:rsidRDefault="002C6533" w:rsidP="002C6533">
            <w:pPr>
              <w:jc w:val="right"/>
              <w:rPr>
                <w:rFonts w:eastAsia="Times New Roman" w:cs="Times New Roman"/>
                <w:bCs/>
                <w:i/>
                <w:color w:val="FF0000"/>
                <w:lang w:eastAsia="cs-CZ"/>
              </w:rPr>
            </w:pPr>
            <w:r w:rsidRPr="0063552F">
              <w:t>0</w:t>
            </w:r>
          </w:p>
        </w:tc>
        <w:tc>
          <w:tcPr>
            <w:tcW w:w="703" w:type="pct"/>
            <w:tcBorders>
              <w:top w:val="nil"/>
              <w:bottom w:val="single" w:sz="8" w:space="0" w:color="7F7F7F" w:themeColor="text1" w:themeTint="80"/>
            </w:tcBorders>
            <w:shd w:val="clear" w:color="auto" w:fill="auto"/>
          </w:tcPr>
          <w:p w14:paraId="2D286617" w14:textId="41D70515" w:rsidR="002C6533" w:rsidRPr="00E8518E" w:rsidRDefault="002C6533" w:rsidP="002C6533">
            <w:pPr>
              <w:jc w:val="right"/>
              <w:rPr>
                <w:rFonts w:eastAsia="Times New Roman" w:cs="Times New Roman"/>
                <w:i/>
                <w:color w:val="FF0000"/>
                <w:lang w:eastAsia="cs-CZ"/>
              </w:rPr>
            </w:pPr>
            <w:r w:rsidRPr="0063552F">
              <w:t>0</w:t>
            </w:r>
          </w:p>
        </w:tc>
        <w:tc>
          <w:tcPr>
            <w:tcW w:w="625" w:type="pct"/>
            <w:tcBorders>
              <w:top w:val="nil"/>
              <w:bottom w:val="single" w:sz="8" w:space="0" w:color="7F7F7F" w:themeColor="text1" w:themeTint="80"/>
            </w:tcBorders>
            <w:shd w:val="clear" w:color="auto" w:fill="auto"/>
          </w:tcPr>
          <w:p w14:paraId="01E14764" w14:textId="70EAD7E2" w:rsidR="002C6533" w:rsidRPr="00E8518E" w:rsidRDefault="002C6533" w:rsidP="002C6533">
            <w:pPr>
              <w:jc w:val="right"/>
              <w:rPr>
                <w:rFonts w:eastAsia="Times New Roman" w:cs="Times New Roman"/>
                <w:i/>
                <w:color w:val="FF0000"/>
                <w:lang w:eastAsia="cs-CZ"/>
              </w:rPr>
            </w:pPr>
            <w:r w:rsidRPr="0063552F">
              <w:t>0</w:t>
            </w:r>
          </w:p>
        </w:tc>
        <w:tc>
          <w:tcPr>
            <w:tcW w:w="513" w:type="pct"/>
            <w:tcBorders>
              <w:top w:val="nil"/>
              <w:bottom w:val="single" w:sz="8" w:space="0" w:color="7F7F7F" w:themeColor="text1" w:themeTint="80"/>
            </w:tcBorders>
            <w:shd w:val="clear" w:color="auto" w:fill="auto"/>
          </w:tcPr>
          <w:p w14:paraId="3A7C824C" w14:textId="7C68F075" w:rsidR="002C6533" w:rsidRPr="00E8518E" w:rsidRDefault="002C6533" w:rsidP="002C6533">
            <w:pPr>
              <w:jc w:val="right"/>
              <w:rPr>
                <w:rFonts w:eastAsia="Times New Roman" w:cs="Times New Roman"/>
                <w:i/>
                <w:color w:val="FF0000"/>
                <w:lang w:eastAsia="cs-CZ"/>
              </w:rPr>
            </w:pPr>
            <w:r w:rsidRPr="0063552F">
              <w:t>x</w:t>
            </w:r>
          </w:p>
        </w:tc>
      </w:tr>
    </w:tbl>
    <w:p w14:paraId="616E82AF" w14:textId="7285ADED" w:rsidR="00D978F6" w:rsidRPr="0088307E" w:rsidRDefault="00D978F6" w:rsidP="00D978F6">
      <w:pPr>
        <w:pStyle w:val="Styl1"/>
      </w:pPr>
      <w:r w:rsidRPr="0088307E">
        <w:t xml:space="preserve">Navrhovaný objem běžných výdajů na rok </w:t>
      </w:r>
      <w:r w:rsidR="00486D02" w:rsidRPr="0088307E">
        <w:t xml:space="preserve">2023 </w:t>
      </w:r>
      <w:r w:rsidRPr="0088307E">
        <w:t xml:space="preserve">je oproti roku </w:t>
      </w:r>
      <w:r w:rsidR="00486D02" w:rsidRPr="0088307E">
        <w:t xml:space="preserve">2022 </w:t>
      </w:r>
      <w:r w:rsidR="00DC4596">
        <w:t>vyšší</w:t>
      </w:r>
      <w:r w:rsidR="00DC4596" w:rsidRPr="0088307E">
        <w:t xml:space="preserve"> </w:t>
      </w:r>
      <w:r w:rsidRPr="0088307E">
        <w:t xml:space="preserve">o </w:t>
      </w:r>
      <w:r w:rsidR="00DC4596">
        <w:t>10 129</w:t>
      </w:r>
      <w:r w:rsidRPr="0088307E">
        <w:t xml:space="preserve"> tis. Kč.</w:t>
      </w:r>
      <w:r w:rsidR="00486D02" w:rsidRPr="0088307E">
        <w:t xml:space="preserve"> </w:t>
      </w:r>
    </w:p>
    <w:p w14:paraId="74FEFF36" w14:textId="0D6E5AD5" w:rsidR="00486D02" w:rsidRPr="0088307E" w:rsidRDefault="00486D02" w:rsidP="00854DDC">
      <w:pPr>
        <w:pStyle w:val="Styl1"/>
      </w:pPr>
      <w:r w:rsidRPr="0088307E">
        <w:t>Výdaje na platy včetně příslušenství</w:t>
      </w:r>
      <w:r w:rsidR="00854DDC" w:rsidRPr="00486D02">
        <w:t xml:space="preserve"> </w:t>
      </w:r>
      <w:r w:rsidR="00854DDC">
        <w:t>byly</w:t>
      </w:r>
      <w:r w:rsidRPr="0088307E">
        <w:t xml:space="preserve"> </w:t>
      </w:r>
      <w:r w:rsidR="00DC4596">
        <w:t xml:space="preserve">navýšeny o </w:t>
      </w:r>
      <w:r w:rsidR="00854DDC">
        <w:t xml:space="preserve">8 649 tis. Kč (podrobněji viz </w:t>
      </w:r>
      <w:r w:rsidR="009A5984">
        <w:t>oddíl</w:t>
      </w:r>
      <w:r w:rsidR="00854DDC">
        <w:t xml:space="preserve"> 3.2.2 Výdaje na platy a počty pracovníků za OSS a PO)</w:t>
      </w:r>
      <w:r w:rsidRPr="0088307E">
        <w:t xml:space="preserve">. </w:t>
      </w:r>
      <w:r>
        <w:t>V</w:t>
      </w:r>
      <w:r w:rsidR="00D533D3">
        <w:t xml:space="preserve">ýdaje na ostatní platby za </w:t>
      </w:r>
      <w:proofErr w:type="spellStart"/>
      <w:r w:rsidR="00D533D3">
        <w:t>provednou</w:t>
      </w:r>
      <w:proofErr w:type="spellEnd"/>
      <w:r w:rsidR="00D533D3">
        <w:t xml:space="preserve"> práci včetně příslušenství se snížily o 114 tis. Kč, byly převedeny ve prospěch Státní plavební správy. </w:t>
      </w:r>
      <w:r w:rsidRPr="0088307E">
        <w:t xml:space="preserve">Počet zaměstnanců organizace pro rok 2023 je navržen ve výši 166 zaměstnanců, v tom 17 zaměstnanců v pracovním poměru a 149 státních zaměstnanců. </w:t>
      </w:r>
    </w:p>
    <w:p w14:paraId="7591BEB6" w14:textId="4712CEC6" w:rsidR="00486D02" w:rsidRPr="0088307E" w:rsidRDefault="00486D02" w:rsidP="00486D02">
      <w:pPr>
        <w:pStyle w:val="Styl1"/>
      </w:pPr>
      <w:r w:rsidRPr="0088307E">
        <w:t xml:space="preserve">Ostatní běžné výdaje se </w:t>
      </w:r>
      <w:r w:rsidR="00854DDC">
        <w:t>zvýšily</w:t>
      </w:r>
      <w:r w:rsidRPr="0088307E">
        <w:t xml:space="preserve"> o </w:t>
      </w:r>
      <w:r w:rsidR="00854DDC">
        <w:t>1 593</w:t>
      </w:r>
      <w:r w:rsidRPr="0088307E">
        <w:t xml:space="preserve"> tis. Kč na částku </w:t>
      </w:r>
      <w:r w:rsidR="00854DDC">
        <w:t>43 093</w:t>
      </w:r>
      <w:r w:rsidRPr="0088307E">
        <w:t xml:space="preserve"> tis. Kč. </w:t>
      </w:r>
      <w:r w:rsidR="00854DDC">
        <w:t xml:space="preserve">Navýšení zohledňuje navýšení výdajů na energie o 1 793 tis. Kč a přesun ostatních běžných výdajů ve výši </w:t>
      </w:r>
      <w:r w:rsidR="00854DDC">
        <w:br/>
        <w:t>200 tis. Kč</w:t>
      </w:r>
      <w:r w:rsidR="00854DDC" w:rsidRPr="00486D02">
        <w:t xml:space="preserve"> </w:t>
      </w:r>
      <w:r w:rsidRPr="0088307E">
        <w:t>ve prospěch kapitálových výdajů.</w:t>
      </w:r>
      <w:r w:rsidR="00854DDC">
        <w:t xml:space="preserve"> </w:t>
      </w:r>
    </w:p>
    <w:p w14:paraId="19CD9AE5" w14:textId="65FFEB66" w:rsidR="00EC0900" w:rsidRPr="0088307E" w:rsidRDefault="00486D02" w:rsidP="00535DE4">
      <w:pPr>
        <w:pStyle w:val="Styl1"/>
      </w:pPr>
      <w:r w:rsidRPr="0088307E">
        <w:t xml:space="preserve">Největší položku běžných výdajů tvoří výdaje na platy zaměstnanců, ostatní platby za provedenou práci a s  tím související povinné platby (pojistné a příděl FKSP). V rámci ostatních běžných výdajů činí největší podíl výdaje na nákup služeb (např. pronájem nebytových prostor, školení zaměstnanců, servis k technickému zázemí budovy včetně ICT, zpracování dat), výdaje na opravy a údržbu majetku a cestovné.   </w:t>
      </w:r>
      <w:r w:rsidR="00EC0900" w:rsidRPr="0088307E">
        <w:t xml:space="preserve"> </w:t>
      </w:r>
    </w:p>
    <w:p w14:paraId="7FBC032E" w14:textId="77777777" w:rsidR="00BD28A7" w:rsidRPr="0088307E" w:rsidRDefault="00BD28A7" w:rsidP="003949CB">
      <w:pPr>
        <w:pStyle w:val="obyctext"/>
        <w:spacing w:before="360" w:after="120"/>
        <w:ind w:firstLine="0"/>
        <w:rPr>
          <w:b/>
          <w:bCs/>
          <w:u w:val="single"/>
        </w:rPr>
      </w:pPr>
      <w:r w:rsidRPr="0088307E">
        <w:rPr>
          <w:b/>
          <w:bCs/>
          <w:u w:val="single"/>
        </w:rPr>
        <w:t xml:space="preserve">Státní plavební správa    </w:t>
      </w:r>
    </w:p>
    <w:p w14:paraId="6AD2F132" w14:textId="48E289C6" w:rsidR="008C2FA3" w:rsidRDefault="008C2FA3" w:rsidP="005B5118">
      <w:pPr>
        <w:pStyle w:val="Styl1"/>
      </w:pPr>
      <w:r w:rsidRPr="0088307E">
        <w:t xml:space="preserve">Státní plavební správa je správním úřadem, který vykonává státní správu a státní dozor při provozování plavby na vnitrozemských vodních cestách ve věcech stanovených zákonem </w:t>
      </w:r>
      <w:r w:rsidRPr="0088307E">
        <w:br/>
        <w:t xml:space="preserve">č. 114/1995 Sb., o vnitrozemské plavbě, ve znění pozdějších předpisů, jakož i zákonem č. 254/2001 Sb., o vodách a o změně některých zákonů (vodní zákon), ve znění pozdějších předpisů. </w:t>
      </w:r>
    </w:p>
    <w:p w14:paraId="397C042D" w14:textId="768B13F4" w:rsidR="008C2FA3" w:rsidRPr="0088307E" w:rsidRDefault="008C2FA3" w:rsidP="008C2FA3">
      <w:pPr>
        <w:keepNext/>
        <w:spacing w:before="120" w:after="120" w:line="240" w:lineRule="auto"/>
        <w:rPr>
          <w:rFonts w:eastAsia="Times New Roman" w:cs="Times New Roman"/>
          <w:b/>
          <w:bCs/>
          <w:sz w:val="20"/>
          <w:szCs w:val="20"/>
          <w:lang w:eastAsia="cs-CZ"/>
        </w:rPr>
      </w:pPr>
      <w:r w:rsidRPr="0088307E">
        <w:rPr>
          <w:rFonts w:eastAsia="Times New Roman" w:cs="Times New Roman"/>
          <w:b/>
          <w:bCs/>
          <w:sz w:val="20"/>
          <w:szCs w:val="20"/>
          <w:lang w:eastAsia="cs-CZ"/>
        </w:rPr>
        <w:t xml:space="preserve">Tabulka č. </w:t>
      </w:r>
      <w:r w:rsidRPr="0088307E">
        <w:rPr>
          <w:rFonts w:eastAsia="Times New Roman" w:cs="Times New Roman"/>
          <w:b/>
          <w:bCs/>
          <w:sz w:val="20"/>
          <w:szCs w:val="20"/>
          <w:lang w:eastAsia="cs-CZ"/>
        </w:rPr>
        <w:fldChar w:fldCharType="begin"/>
      </w:r>
      <w:r w:rsidRPr="0088307E">
        <w:rPr>
          <w:rFonts w:eastAsia="Times New Roman" w:cs="Times New Roman"/>
          <w:b/>
          <w:bCs/>
          <w:sz w:val="20"/>
          <w:szCs w:val="20"/>
          <w:lang w:eastAsia="cs-CZ"/>
        </w:rPr>
        <w:instrText xml:space="preserve"> SEQ Tabulka \* ARABIC </w:instrText>
      </w:r>
      <w:r w:rsidRPr="0088307E">
        <w:rPr>
          <w:rFonts w:eastAsia="Times New Roman" w:cs="Times New Roman"/>
          <w:b/>
          <w:bCs/>
          <w:sz w:val="20"/>
          <w:szCs w:val="20"/>
          <w:lang w:eastAsia="cs-CZ"/>
        </w:rPr>
        <w:fldChar w:fldCharType="separate"/>
      </w:r>
      <w:r w:rsidR="00F80947">
        <w:rPr>
          <w:rFonts w:eastAsia="Times New Roman" w:cs="Times New Roman"/>
          <w:b/>
          <w:bCs/>
          <w:noProof/>
          <w:sz w:val="20"/>
          <w:szCs w:val="20"/>
          <w:lang w:eastAsia="cs-CZ"/>
        </w:rPr>
        <w:t>11</w:t>
      </w:r>
      <w:r w:rsidRPr="0088307E">
        <w:rPr>
          <w:rFonts w:eastAsia="Times New Roman" w:cs="Times New Roman"/>
          <w:b/>
          <w:bCs/>
          <w:noProof/>
          <w:sz w:val="20"/>
          <w:szCs w:val="20"/>
          <w:lang w:eastAsia="cs-CZ"/>
        </w:rPr>
        <w:fldChar w:fldCharType="end"/>
      </w:r>
      <w:r w:rsidRPr="0088307E">
        <w:rPr>
          <w:rFonts w:eastAsia="Times New Roman" w:cs="Times New Roman"/>
          <w:b/>
          <w:bCs/>
          <w:sz w:val="20"/>
          <w:szCs w:val="20"/>
          <w:lang w:eastAsia="cs-CZ"/>
        </w:rPr>
        <w:t xml:space="preserve"> Státní plavební správa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E8518E" w:rsidRPr="00E8518E" w14:paraId="003BEF27" w14:textId="77777777" w:rsidTr="000A1EB1">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5B8F34F" w14:textId="77777777" w:rsidR="00BD005E" w:rsidRPr="0088307E" w:rsidRDefault="00BD005E" w:rsidP="000A1EB1">
            <w:pPr>
              <w:jc w:val="center"/>
              <w:rPr>
                <w:rFonts w:eastAsia="Times New Roman" w:cs="Times New Roman"/>
                <w:b/>
                <w:szCs w:val="24"/>
                <w:lang w:eastAsia="cs-CZ"/>
              </w:rPr>
            </w:pPr>
            <w:r w:rsidRPr="0088307E">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35B0A0D" w14:textId="77777777" w:rsidR="00BD005E" w:rsidRPr="0088307E" w:rsidRDefault="00BD005E" w:rsidP="000A1EB1">
            <w:pPr>
              <w:jc w:val="center"/>
              <w:rPr>
                <w:rFonts w:eastAsia="Times New Roman" w:cs="Times New Roman"/>
                <w:b/>
                <w:szCs w:val="24"/>
                <w:lang w:eastAsia="cs-CZ"/>
              </w:rPr>
            </w:pPr>
            <w:r w:rsidRPr="0088307E">
              <w:rPr>
                <w:rFonts w:eastAsia="Times New Roman" w:cs="Times New Roman"/>
                <w:b/>
                <w:szCs w:val="24"/>
                <w:lang w:eastAsia="cs-CZ"/>
              </w:rPr>
              <w:t>Skutečnost</w:t>
            </w:r>
          </w:p>
          <w:p w14:paraId="569D3ADC" w14:textId="25F692FB" w:rsidR="00BD005E" w:rsidRPr="0088307E" w:rsidRDefault="00BD005E" w:rsidP="000A1EB1">
            <w:pPr>
              <w:rPr>
                <w:rFonts w:eastAsia="Times New Roman" w:cs="Times New Roman"/>
                <w:b/>
                <w:szCs w:val="24"/>
                <w:lang w:eastAsia="cs-CZ"/>
              </w:rPr>
            </w:pPr>
            <w:r w:rsidRPr="0088307E">
              <w:rPr>
                <w:rFonts w:eastAsia="Times New Roman" w:cs="Times New Roman"/>
                <w:b/>
                <w:szCs w:val="24"/>
                <w:lang w:eastAsia="cs-CZ"/>
              </w:rPr>
              <w:t xml:space="preserve">      </w:t>
            </w:r>
            <w:r w:rsidR="006775E7" w:rsidRPr="0088307E">
              <w:rPr>
                <w:rFonts w:eastAsia="Times New Roman" w:cs="Times New Roman"/>
                <w:b/>
                <w:szCs w:val="24"/>
                <w:lang w:eastAsia="cs-CZ"/>
              </w:rPr>
              <w:t>2021</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8E7F538" w14:textId="77777777" w:rsidR="00BD005E" w:rsidRPr="0088307E" w:rsidRDefault="00BD005E" w:rsidP="000A1EB1">
            <w:pPr>
              <w:jc w:val="center"/>
              <w:rPr>
                <w:rFonts w:eastAsia="Times New Roman" w:cs="Times New Roman"/>
                <w:b/>
                <w:szCs w:val="24"/>
                <w:lang w:eastAsia="cs-CZ"/>
              </w:rPr>
            </w:pPr>
            <w:r w:rsidRPr="0088307E">
              <w:rPr>
                <w:rFonts w:eastAsia="Times New Roman" w:cs="Times New Roman"/>
                <w:b/>
                <w:szCs w:val="24"/>
                <w:lang w:eastAsia="cs-CZ"/>
              </w:rPr>
              <w:t>Schválený</w:t>
            </w:r>
          </w:p>
          <w:p w14:paraId="25B74361" w14:textId="77777777" w:rsidR="00BD005E" w:rsidRPr="0088307E" w:rsidRDefault="00BD005E" w:rsidP="000A1EB1">
            <w:pPr>
              <w:jc w:val="center"/>
              <w:rPr>
                <w:rFonts w:eastAsia="Times New Roman" w:cs="Times New Roman"/>
                <w:b/>
                <w:szCs w:val="24"/>
                <w:lang w:eastAsia="cs-CZ"/>
              </w:rPr>
            </w:pPr>
            <w:r w:rsidRPr="0088307E">
              <w:rPr>
                <w:rFonts w:eastAsia="Times New Roman" w:cs="Times New Roman"/>
                <w:b/>
                <w:szCs w:val="24"/>
                <w:lang w:eastAsia="cs-CZ"/>
              </w:rPr>
              <w:t>rozpočet</w:t>
            </w:r>
          </w:p>
          <w:p w14:paraId="02A0B882" w14:textId="7F716260" w:rsidR="00BD005E" w:rsidRPr="0088307E" w:rsidRDefault="006775E7" w:rsidP="000A1EB1">
            <w:pPr>
              <w:jc w:val="center"/>
              <w:rPr>
                <w:rFonts w:eastAsia="Times New Roman" w:cs="Times New Roman"/>
                <w:b/>
                <w:szCs w:val="24"/>
                <w:lang w:eastAsia="cs-CZ"/>
              </w:rPr>
            </w:pPr>
            <w:r w:rsidRPr="0088307E">
              <w:rPr>
                <w:rFonts w:eastAsia="Times New Roman" w:cs="Times New Roman"/>
                <w:b/>
                <w:szCs w:val="24"/>
                <w:lang w:eastAsia="cs-CZ"/>
              </w:rPr>
              <w:t>2022</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AD305A7" w14:textId="77777777" w:rsidR="00BD005E" w:rsidRPr="0088307E" w:rsidRDefault="00BD005E" w:rsidP="000A1EB1">
            <w:pPr>
              <w:jc w:val="center"/>
              <w:rPr>
                <w:rFonts w:eastAsia="Times New Roman" w:cs="Times New Roman"/>
                <w:b/>
                <w:szCs w:val="24"/>
                <w:lang w:eastAsia="cs-CZ"/>
              </w:rPr>
            </w:pPr>
            <w:r w:rsidRPr="0088307E">
              <w:rPr>
                <w:rFonts w:eastAsia="Times New Roman" w:cs="Times New Roman"/>
                <w:b/>
                <w:szCs w:val="24"/>
                <w:lang w:eastAsia="cs-CZ"/>
              </w:rPr>
              <w:t>Návrh</w:t>
            </w:r>
          </w:p>
          <w:p w14:paraId="3C8CBAE0" w14:textId="77777777" w:rsidR="00BD005E" w:rsidRPr="0088307E" w:rsidRDefault="00BD005E" w:rsidP="000A1EB1">
            <w:pPr>
              <w:jc w:val="center"/>
              <w:rPr>
                <w:rFonts w:eastAsia="Times New Roman" w:cs="Times New Roman"/>
                <w:b/>
                <w:szCs w:val="24"/>
                <w:lang w:eastAsia="cs-CZ"/>
              </w:rPr>
            </w:pPr>
            <w:r w:rsidRPr="0088307E">
              <w:rPr>
                <w:rFonts w:eastAsia="Times New Roman" w:cs="Times New Roman"/>
                <w:b/>
                <w:szCs w:val="24"/>
                <w:lang w:eastAsia="cs-CZ"/>
              </w:rPr>
              <w:t>rozpočtu</w:t>
            </w:r>
          </w:p>
          <w:p w14:paraId="7DEA00CF" w14:textId="3BD7E9BF" w:rsidR="00BD005E" w:rsidRPr="0088307E" w:rsidRDefault="006775E7" w:rsidP="000A1EB1">
            <w:pPr>
              <w:jc w:val="center"/>
              <w:rPr>
                <w:rFonts w:eastAsia="Times New Roman" w:cs="Times New Roman"/>
                <w:b/>
                <w:szCs w:val="24"/>
                <w:lang w:eastAsia="cs-CZ"/>
              </w:rPr>
            </w:pPr>
            <w:r w:rsidRPr="0088307E">
              <w:rPr>
                <w:rFonts w:eastAsia="Times New Roman" w:cs="Times New Roman"/>
                <w:b/>
                <w:szCs w:val="24"/>
                <w:lang w:eastAsia="cs-CZ"/>
              </w:rPr>
              <w:t>2023</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2DF273" w14:textId="77777777" w:rsidR="00BD005E" w:rsidRPr="0088307E" w:rsidRDefault="00BD005E" w:rsidP="000A1EB1">
            <w:pPr>
              <w:jc w:val="center"/>
              <w:rPr>
                <w:rFonts w:eastAsia="Times New Roman" w:cs="Times New Roman"/>
                <w:b/>
                <w:szCs w:val="24"/>
                <w:lang w:eastAsia="cs-CZ"/>
              </w:rPr>
            </w:pPr>
            <w:r w:rsidRPr="0088307E">
              <w:rPr>
                <w:rFonts w:eastAsia="Times New Roman" w:cs="Times New Roman"/>
                <w:b/>
                <w:szCs w:val="24"/>
                <w:lang w:eastAsia="cs-CZ"/>
              </w:rPr>
              <w:t>Index</w:t>
            </w:r>
          </w:p>
          <w:p w14:paraId="1EBAD2F6" w14:textId="5B3A2DA8" w:rsidR="00BD005E" w:rsidRPr="0088307E" w:rsidRDefault="006775E7" w:rsidP="000A1EB1">
            <w:pPr>
              <w:jc w:val="center"/>
              <w:rPr>
                <w:rFonts w:eastAsia="Times New Roman" w:cs="Times New Roman"/>
                <w:b/>
                <w:szCs w:val="24"/>
                <w:lang w:eastAsia="cs-CZ"/>
              </w:rPr>
            </w:pPr>
            <w:r w:rsidRPr="0088307E">
              <w:rPr>
                <w:rFonts w:eastAsia="Times New Roman" w:cs="Times New Roman"/>
                <w:b/>
                <w:szCs w:val="24"/>
                <w:lang w:eastAsia="cs-CZ"/>
              </w:rPr>
              <w:t>2023</w:t>
            </w:r>
            <w:r w:rsidR="00BD005E" w:rsidRPr="0088307E">
              <w:rPr>
                <w:rFonts w:eastAsia="Times New Roman" w:cs="Times New Roman"/>
                <w:b/>
                <w:szCs w:val="24"/>
                <w:lang w:eastAsia="cs-CZ"/>
              </w:rPr>
              <w:t>/</w:t>
            </w:r>
            <w:r w:rsidR="00BD005E" w:rsidRPr="0088307E">
              <w:rPr>
                <w:rFonts w:eastAsia="Times New Roman" w:cs="Times New Roman"/>
                <w:b/>
                <w:szCs w:val="24"/>
                <w:lang w:eastAsia="cs-CZ"/>
              </w:rPr>
              <w:br/>
            </w:r>
            <w:r w:rsidRPr="0088307E">
              <w:rPr>
                <w:rFonts w:eastAsia="Times New Roman" w:cs="Times New Roman"/>
                <w:b/>
                <w:szCs w:val="24"/>
                <w:lang w:eastAsia="cs-CZ"/>
              </w:rPr>
              <w:t xml:space="preserve">2022 </w:t>
            </w:r>
            <w:r w:rsidR="00BD005E" w:rsidRPr="0088307E">
              <w:rPr>
                <w:rFonts w:eastAsia="Times New Roman" w:cs="Times New Roman"/>
                <w:b/>
                <w:szCs w:val="24"/>
                <w:lang w:eastAsia="cs-CZ"/>
              </w:rPr>
              <w:br/>
              <w:t>(v %)</w:t>
            </w:r>
          </w:p>
        </w:tc>
      </w:tr>
      <w:tr w:rsidR="00E8518E" w:rsidRPr="00E8518E" w14:paraId="64A4FEB3" w14:textId="77777777" w:rsidTr="000A1EB1">
        <w:tc>
          <w:tcPr>
            <w:tcW w:w="4280" w:type="dxa"/>
            <w:tcBorders>
              <w:top w:val="single" w:sz="4" w:space="0" w:color="7F7F7F" w:themeColor="text1" w:themeTint="80"/>
              <w:bottom w:val="single" w:sz="8" w:space="0" w:color="7F7F7F" w:themeColor="text1" w:themeTint="80"/>
            </w:tcBorders>
            <w:shd w:val="clear" w:color="auto" w:fill="auto"/>
          </w:tcPr>
          <w:p w14:paraId="16525F19" w14:textId="77777777" w:rsidR="00BD005E" w:rsidRPr="0088307E" w:rsidRDefault="00BD005E" w:rsidP="000A1EB1">
            <w:pPr>
              <w:jc w:val="center"/>
              <w:rPr>
                <w:rFonts w:eastAsia="Times New Roman" w:cs="Times New Roman"/>
                <w:szCs w:val="24"/>
                <w:lang w:eastAsia="cs-CZ"/>
              </w:rPr>
            </w:pPr>
            <w:r w:rsidRPr="0088307E">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14:paraId="7116F0D6" w14:textId="77777777" w:rsidR="00BD005E" w:rsidRPr="0088307E" w:rsidRDefault="00BD005E" w:rsidP="000A1EB1">
            <w:pPr>
              <w:jc w:val="center"/>
              <w:rPr>
                <w:rFonts w:eastAsia="Times New Roman" w:cs="Times New Roman"/>
                <w:szCs w:val="24"/>
                <w:lang w:eastAsia="cs-CZ"/>
              </w:rPr>
            </w:pPr>
            <w:r w:rsidRPr="0088307E">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18223724" w14:textId="77777777" w:rsidR="00BD005E" w:rsidRPr="0088307E" w:rsidRDefault="00BD005E" w:rsidP="000A1EB1">
            <w:pPr>
              <w:jc w:val="center"/>
              <w:rPr>
                <w:rFonts w:eastAsia="Times New Roman" w:cs="Times New Roman"/>
                <w:szCs w:val="24"/>
                <w:lang w:eastAsia="cs-CZ"/>
              </w:rPr>
            </w:pPr>
            <w:r w:rsidRPr="0088307E">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73AA0D42" w14:textId="77777777" w:rsidR="00BD005E" w:rsidRPr="0088307E" w:rsidRDefault="00BD005E" w:rsidP="000A1EB1">
            <w:pPr>
              <w:jc w:val="center"/>
              <w:rPr>
                <w:rFonts w:eastAsia="Times New Roman" w:cs="Times New Roman"/>
                <w:szCs w:val="24"/>
                <w:lang w:eastAsia="cs-CZ"/>
              </w:rPr>
            </w:pPr>
            <w:r w:rsidRPr="0088307E">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5DCB8B1F" w14:textId="77777777" w:rsidR="00BD005E" w:rsidRPr="0088307E" w:rsidRDefault="00BD005E" w:rsidP="000A1EB1">
            <w:pPr>
              <w:jc w:val="center"/>
              <w:rPr>
                <w:rFonts w:eastAsia="Times New Roman" w:cs="Times New Roman"/>
                <w:szCs w:val="24"/>
                <w:lang w:eastAsia="cs-CZ"/>
              </w:rPr>
            </w:pPr>
            <w:r w:rsidRPr="0088307E">
              <w:rPr>
                <w:rFonts w:eastAsia="Times New Roman" w:cs="Times New Roman"/>
                <w:szCs w:val="24"/>
                <w:lang w:eastAsia="cs-CZ"/>
              </w:rPr>
              <w:t>4</w:t>
            </w:r>
          </w:p>
        </w:tc>
      </w:tr>
      <w:tr w:rsidR="0088307E" w:rsidRPr="00E8518E" w14:paraId="228FD9E5" w14:textId="77777777" w:rsidTr="0088307E">
        <w:trPr>
          <w:trHeight w:val="468"/>
        </w:trPr>
        <w:tc>
          <w:tcPr>
            <w:tcW w:w="4280" w:type="dxa"/>
            <w:tcBorders>
              <w:top w:val="single" w:sz="8" w:space="0" w:color="7F7F7F" w:themeColor="text1" w:themeTint="80"/>
              <w:bottom w:val="single" w:sz="8" w:space="0" w:color="7F7F7F" w:themeColor="text1" w:themeTint="80"/>
            </w:tcBorders>
            <w:shd w:val="clear" w:color="auto" w:fill="auto"/>
          </w:tcPr>
          <w:p w14:paraId="28CBFC16" w14:textId="77777777" w:rsidR="00592C34" w:rsidRPr="0088307E" w:rsidRDefault="00592C34" w:rsidP="00592C34">
            <w:pPr>
              <w:spacing w:before="81"/>
              <w:rPr>
                <w:rFonts w:eastAsia="Times New Roman" w:cs="Times New Roman"/>
                <w:b/>
                <w:lang w:eastAsia="cs-CZ"/>
              </w:rPr>
            </w:pPr>
            <w:r w:rsidRPr="0088307E">
              <w:rPr>
                <w:rFonts w:eastAsia="Times New Roman" w:cs="Times New Roman"/>
                <w:b/>
                <w:bCs/>
                <w:lang w:eastAsia="cs-CZ"/>
              </w:rPr>
              <w:t xml:space="preserve">Běžné výdaje </w:t>
            </w:r>
            <w:r w:rsidRPr="0088307E">
              <w:rPr>
                <w:rFonts w:eastAsia="Times New Roman" w:cs="Times New Roman"/>
                <w:lang w:eastAsia="cs-CZ"/>
              </w:rPr>
              <w:t>v tom:</w:t>
            </w:r>
            <w:r w:rsidRPr="0088307E">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tcPr>
          <w:p w14:paraId="3492906A" w14:textId="61F66291" w:rsidR="00592C34" w:rsidRPr="00E8518E" w:rsidRDefault="00592C34" w:rsidP="00592C34">
            <w:pPr>
              <w:jc w:val="right"/>
              <w:rPr>
                <w:b/>
                <w:color w:val="FF0000"/>
                <w:szCs w:val="24"/>
              </w:rPr>
            </w:pPr>
            <w:r w:rsidRPr="0088307E">
              <w:rPr>
                <w:b/>
              </w:rPr>
              <w:t>72 948</w:t>
            </w:r>
          </w:p>
        </w:tc>
        <w:tc>
          <w:tcPr>
            <w:tcW w:w="1276" w:type="dxa"/>
            <w:tcBorders>
              <w:top w:val="single" w:sz="8" w:space="0" w:color="7F7F7F" w:themeColor="text1" w:themeTint="80"/>
              <w:left w:val="single" w:sz="4" w:space="0" w:color="auto"/>
              <w:bottom w:val="single" w:sz="4" w:space="0" w:color="auto"/>
              <w:right w:val="single" w:sz="4" w:space="0" w:color="auto"/>
            </w:tcBorders>
          </w:tcPr>
          <w:p w14:paraId="75BB03BA" w14:textId="44303B07" w:rsidR="00592C34" w:rsidRPr="00E8518E" w:rsidRDefault="00592C34" w:rsidP="00592C34">
            <w:pPr>
              <w:jc w:val="right"/>
              <w:rPr>
                <w:b/>
                <w:color w:val="FF0000"/>
                <w:szCs w:val="24"/>
              </w:rPr>
            </w:pPr>
            <w:r w:rsidRPr="0088307E">
              <w:rPr>
                <w:b/>
              </w:rPr>
              <w:t>70 730</w:t>
            </w:r>
          </w:p>
        </w:tc>
        <w:tc>
          <w:tcPr>
            <w:tcW w:w="1134" w:type="dxa"/>
            <w:tcBorders>
              <w:top w:val="single" w:sz="8" w:space="0" w:color="7F7F7F" w:themeColor="text1" w:themeTint="80"/>
              <w:bottom w:val="single" w:sz="8" w:space="0" w:color="7F7F7F" w:themeColor="text1" w:themeTint="80"/>
            </w:tcBorders>
            <w:shd w:val="clear" w:color="auto" w:fill="auto"/>
          </w:tcPr>
          <w:p w14:paraId="228AF2E1" w14:textId="09555A08" w:rsidR="00592C34" w:rsidRPr="00E8518E" w:rsidRDefault="00B728BD" w:rsidP="000A1EB1">
            <w:pPr>
              <w:jc w:val="right"/>
              <w:rPr>
                <w:rFonts w:eastAsia="Times New Roman" w:cs="Times New Roman"/>
                <w:b/>
                <w:color w:val="FF0000"/>
                <w:lang w:eastAsia="cs-CZ"/>
              </w:rPr>
            </w:pPr>
            <w:r>
              <w:rPr>
                <w:b/>
              </w:rPr>
              <w:t>75 999</w:t>
            </w:r>
          </w:p>
        </w:tc>
        <w:tc>
          <w:tcPr>
            <w:tcW w:w="992" w:type="dxa"/>
            <w:tcBorders>
              <w:top w:val="single" w:sz="8" w:space="0" w:color="7F7F7F" w:themeColor="text1" w:themeTint="80"/>
              <w:bottom w:val="single" w:sz="8" w:space="0" w:color="7F7F7F" w:themeColor="text1" w:themeTint="80"/>
            </w:tcBorders>
            <w:shd w:val="clear" w:color="auto" w:fill="auto"/>
          </w:tcPr>
          <w:p w14:paraId="47946267" w14:textId="2A6B9A42" w:rsidR="00592C34" w:rsidRPr="00E8518E" w:rsidRDefault="00B728BD" w:rsidP="000A1EB1">
            <w:pPr>
              <w:jc w:val="right"/>
              <w:rPr>
                <w:rFonts w:eastAsia="Times New Roman" w:cs="Times New Roman"/>
                <w:b/>
                <w:color w:val="FF0000"/>
                <w:lang w:eastAsia="cs-CZ"/>
              </w:rPr>
            </w:pPr>
            <w:r>
              <w:rPr>
                <w:b/>
              </w:rPr>
              <w:t>107,45</w:t>
            </w:r>
          </w:p>
        </w:tc>
      </w:tr>
      <w:tr w:rsidR="0088307E" w:rsidRPr="00E8518E" w14:paraId="2337C06F" w14:textId="77777777" w:rsidTr="0088307E">
        <w:tc>
          <w:tcPr>
            <w:tcW w:w="4280" w:type="dxa"/>
            <w:tcBorders>
              <w:top w:val="single" w:sz="8" w:space="0" w:color="7F7F7F" w:themeColor="text1" w:themeTint="80"/>
              <w:bottom w:val="nil"/>
            </w:tcBorders>
            <w:shd w:val="clear" w:color="auto" w:fill="auto"/>
          </w:tcPr>
          <w:p w14:paraId="03A6DCD1" w14:textId="77777777" w:rsidR="00592C34" w:rsidRPr="0088307E" w:rsidRDefault="00592C34" w:rsidP="00592C34">
            <w:pPr>
              <w:rPr>
                <w:rFonts w:eastAsia="Times New Roman" w:cs="Times New Roman"/>
                <w:lang w:eastAsia="cs-CZ"/>
              </w:rPr>
            </w:pPr>
            <w:r w:rsidRPr="0088307E">
              <w:rPr>
                <w:rFonts w:eastAsia="Times New Roman" w:cs="Times New Roman"/>
                <w:lang w:eastAsia="cs-CZ"/>
              </w:rPr>
              <w:t>platy zaměstnanců a ostatní platby</w:t>
            </w:r>
          </w:p>
          <w:p w14:paraId="3372015D" w14:textId="77777777" w:rsidR="00592C34" w:rsidRPr="0088307E" w:rsidRDefault="00592C34" w:rsidP="00592C34">
            <w:pPr>
              <w:rPr>
                <w:rFonts w:eastAsia="Times New Roman" w:cs="Times New Roman"/>
                <w:lang w:eastAsia="cs-CZ"/>
              </w:rPr>
            </w:pPr>
            <w:r w:rsidRPr="0088307E">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tcPr>
          <w:p w14:paraId="37AB128B" w14:textId="7D099609" w:rsidR="00592C34" w:rsidRPr="00E8518E" w:rsidRDefault="00592C34" w:rsidP="00592C34">
            <w:pPr>
              <w:jc w:val="right"/>
              <w:rPr>
                <w:color w:val="FF0000"/>
                <w:szCs w:val="24"/>
              </w:rPr>
            </w:pPr>
            <w:r w:rsidRPr="00B95874">
              <w:t>40 626</w:t>
            </w:r>
          </w:p>
        </w:tc>
        <w:tc>
          <w:tcPr>
            <w:tcW w:w="1276" w:type="dxa"/>
            <w:tcBorders>
              <w:top w:val="single" w:sz="4" w:space="0" w:color="auto"/>
              <w:left w:val="single" w:sz="4" w:space="0" w:color="auto"/>
              <w:bottom w:val="nil"/>
              <w:right w:val="single" w:sz="4" w:space="0" w:color="auto"/>
            </w:tcBorders>
          </w:tcPr>
          <w:p w14:paraId="38F33C75" w14:textId="73CDE315" w:rsidR="00592C34" w:rsidRPr="00E8518E" w:rsidRDefault="00592C34" w:rsidP="00592C34">
            <w:pPr>
              <w:jc w:val="right"/>
              <w:rPr>
                <w:color w:val="FF0000"/>
                <w:szCs w:val="24"/>
              </w:rPr>
            </w:pPr>
            <w:r w:rsidRPr="00B95874">
              <w:t>39 423</w:t>
            </w:r>
          </w:p>
        </w:tc>
        <w:tc>
          <w:tcPr>
            <w:tcW w:w="1134" w:type="dxa"/>
            <w:tcBorders>
              <w:top w:val="single" w:sz="8" w:space="0" w:color="7F7F7F" w:themeColor="text1" w:themeTint="80"/>
              <w:bottom w:val="nil"/>
            </w:tcBorders>
            <w:shd w:val="clear" w:color="auto" w:fill="auto"/>
          </w:tcPr>
          <w:p w14:paraId="666325CD" w14:textId="3C8D9ABC" w:rsidR="00592C34" w:rsidRPr="00E8518E" w:rsidRDefault="00B728BD" w:rsidP="00592C34">
            <w:pPr>
              <w:jc w:val="right"/>
              <w:rPr>
                <w:rFonts w:eastAsia="Times New Roman" w:cs="Times New Roman"/>
                <w:color w:val="FF0000"/>
                <w:lang w:eastAsia="cs-CZ"/>
              </w:rPr>
            </w:pPr>
            <w:r>
              <w:t>41 868</w:t>
            </w:r>
            <w:r w:rsidR="00592C34" w:rsidRPr="00B95874">
              <w:t xml:space="preserve"> </w:t>
            </w:r>
          </w:p>
        </w:tc>
        <w:tc>
          <w:tcPr>
            <w:tcW w:w="992" w:type="dxa"/>
            <w:tcBorders>
              <w:top w:val="single" w:sz="8" w:space="0" w:color="7F7F7F" w:themeColor="text1" w:themeTint="80"/>
              <w:bottom w:val="nil"/>
            </w:tcBorders>
            <w:shd w:val="clear" w:color="auto" w:fill="auto"/>
          </w:tcPr>
          <w:p w14:paraId="04AE0663" w14:textId="1F75ECC0" w:rsidR="00592C34" w:rsidRPr="00E8518E" w:rsidRDefault="00B728BD" w:rsidP="00592C34">
            <w:pPr>
              <w:jc w:val="right"/>
              <w:rPr>
                <w:rFonts w:eastAsia="Times New Roman" w:cs="Times New Roman"/>
                <w:color w:val="FF0000"/>
                <w:lang w:eastAsia="cs-CZ"/>
              </w:rPr>
            </w:pPr>
            <w:r>
              <w:t>106,20</w:t>
            </w:r>
          </w:p>
        </w:tc>
      </w:tr>
      <w:tr w:rsidR="0088307E" w:rsidRPr="00E8518E" w14:paraId="6CBED4D0" w14:textId="77777777" w:rsidTr="0088307E">
        <w:tc>
          <w:tcPr>
            <w:tcW w:w="4280" w:type="dxa"/>
            <w:tcBorders>
              <w:top w:val="nil"/>
              <w:bottom w:val="nil"/>
            </w:tcBorders>
            <w:shd w:val="clear" w:color="auto" w:fill="auto"/>
          </w:tcPr>
          <w:p w14:paraId="2CDE2C34" w14:textId="77777777" w:rsidR="00592C34" w:rsidRPr="0088307E" w:rsidRDefault="00592C34" w:rsidP="00592C34">
            <w:pPr>
              <w:jc w:val="left"/>
              <w:rPr>
                <w:rFonts w:eastAsia="Times New Roman" w:cs="Times New Roman"/>
                <w:i/>
                <w:lang w:eastAsia="cs-CZ"/>
              </w:rPr>
            </w:pPr>
            <w:r w:rsidRPr="0088307E">
              <w:rPr>
                <w:rFonts w:eastAsia="Times New Roman" w:cs="Times New Roman"/>
                <w:i/>
                <w:lang w:eastAsia="cs-CZ"/>
              </w:rPr>
              <w:t xml:space="preserve">z toho: výdaje na programy </w:t>
            </w:r>
            <w:proofErr w:type="spellStart"/>
            <w:r w:rsidRPr="0088307E">
              <w:rPr>
                <w:rFonts w:eastAsia="Times New Roman" w:cs="Times New Roman"/>
                <w:i/>
                <w:lang w:eastAsia="cs-CZ"/>
              </w:rPr>
              <w:t>spolufin</w:t>
            </w:r>
            <w:proofErr w:type="spellEnd"/>
            <w:r w:rsidRPr="0088307E">
              <w:rPr>
                <w:rFonts w:eastAsia="Times New Roman" w:cs="Times New Roman"/>
                <w:i/>
                <w:lang w:eastAsia="cs-CZ"/>
              </w:rPr>
              <w:t>.           z rozpočtu EU</w:t>
            </w:r>
          </w:p>
        </w:tc>
        <w:tc>
          <w:tcPr>
            <w:tcW w:w="1380" w:type="dxa"/>
            <w:tcBorders>
              <w:top w:val="nil"/>
              <w:left w:val="single" w:sz="4" w:space="0" w:color="auto"/>
              <w:bottom w:val="nil"/>
              <w:right w:val="single" w:sz="4" w:space="0" w:color="auto"/>
            </w:tcBorders>
          </w:tcPr>
          <w:p w14:paraId="6252A479" w14:textId="0A083C0C" w:rsidR="00592C34" w:rsidRPr="00E8518E" w:rsidRDefault="00592C34" w:rsidP="00592C34">
            <w:pPr>
              <w:jc w:val="right"/>
              <w:rPr>
                <w:i/>
                <w:color w:val="FF0000"/>
                <w:szCs w:val="24"/>
              </w:rPr>
            </w:pPr>
            <w:r w:rsidRPr="00B95874">
              <w:t>728</w:t>
            </w:r>
          </w:p>
        </w:tc>
        <w:tc>
          <w:tcPr>
            <w:tcW w:w="1276" w:type="dxa"/>
            <w:tcBorders>
              <w:top w:val="nil"/>
              <w:left w:val="single" w:sz="4" w:space="0" w:color="auto"/>
              <w:bottom w:val="nil"/>
              <w:right w:val="single" w:sz="4" w:space="0" w:color="auto"/>
            </w:tcBorders>
          </w:tcPr>
          <w:p w14:paraId="177CB124" w14:textId="78F457F8" w:rsidR="00592C34" w:rsidRPr="00E8518E" w:rsidRDefault="00592C34" w:rsidP="00592C34">
            <w:pPr>
              <w:jc w:val="right"/>
              <w:rPr>
                <w:i/>
                <w:color w:val="FF0000"/>
                <w:szCs w:val="24"/>
              </w:rPr>
            </w:pPr>
            <w:r w:rsidRPr="00B95874">
              <w:t>0</w:t>
            </w:r>
          </w:p>
        </w:tc>
        <w:tc>
          <w:tcPr>
            <w:tcW w:w="1134" w:type="dxa"/>
            <w:tcBorders>
              <w:top w:val="nil"/>
              <w:bottom w:val="nil"/>
            </w:tcBorders>
            <w:shd w:val="clear" w:color="auto" w:fill="auto"/>
          </w:tcPr>
          <w:p w14:paraId="25A47D3C" w14:textId="50DFCD76" w:rsidR="00592C34" w:rsidRPr="00E8518E" w:rsidRDefault="00592C34" w:rsidP="00592C34">
            <w:pPr>
              <w:jc w:val="right"/>
              <w:rPr>
                <w:rFonts w:eastAsia="Times New Roman" w:cs="Times New Roman"/>
                <w:i/>
                <w:color w:val="FF0000"/>
                <w:lang w:eastAsia="cs-CZ"/>
              </w:rPr>
            </w:pPr>
            <w:r w:rsidRPr="00B95874">
              <w:t xml:space="preserve">0 </w:t>
            </w:r>
          </w:p>
        </w:tc>
        <w:tc>
          <w:tcPr>
            <w:tcW w:w="992" w:type="dxa"/>
            <w:tcBorders>
              <w:top w:val="nil"/>
              <w:bottom w:val="nil"/>
            </w:tcBorders>
            <w:shd w:val="clear" w:color="auto" w:fill="auto"/>
          </w:tcPr>
          <w:p w14:paraId="32652164" w14:textId="34DA1830" w:rsidR="00592C34" w:rsidRPr="00E8518E" w:rsidRDefault="00592C34" w:rsidP="00592C34">
            <w:pPr>
              <w:jc w:val="right"/>
              <w:rPr>
                <w:rFonts w:eastAsia="Times New Roman" w:cs="Times New Roman"/>
                <w:i/>
                <w:color w:val="FF0000"/>
                <w:lang w:eastAsia="cs-CZ"/>
              </w:rPr>
            </w:pPr>
            <w:r w:rsidRPr="00B95874">
              <w:t>x</w:t>
            </w:r>
          </w:p>
        </w:tc>
      </w:tr>
      <w:tr w:rsidR="0088307E" w:rsidRPr="00E8518E" w14:paraId="54BAD4EF" w14:textId="77777777" w:rsidTr="0088307E">
        <w:tc>
          <w:tcPr>
            <w:tcW w:w="4280" w:type="dxa"/>
            <w:tcBorders>
              <w:top w:val="nil"/>
              <w:bottom w:val="nil"/>
            </w:tcBorders>
            <w:shd w:val="clear" w:color="auto" w:fill="auto"/>
          </w:tcPr>
          <w:p w14:paraId="6FF72772" w14:textId="77777777" w:rsidR="00592C34" w:rsidRPr="0088307E" w:rsidRDefault="00592C34" w:rsidP="00592C34">
            <w:pPr>
              <w:rPr>
                <w:rFonts w:eastAsia="Times New Roman" w:cs="Times New Roman"/>
                <w:i/>
                <w:lang w:eastAsia="cs-CZ"/>
              </w:rPr>
            </w:pPr>
            <w:r w:rsidRPr="0088307E">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tcPr>
          <w:p w14:paraId="77B1323A" w14:textId="2DDEA7A1" w:rsidR="00592C34" w:rsidRPr="00E8518E" w:rsidRDefault="00592C34" w:rsidP="00592C34">
            <w:pPr>
              <w:jc w:val="right"/>
              <w:rPr>
                <w:i/>
                <w:color w:val="FF0000"/>
                <w:szCs w:val="24"/>
              </w:rPr>
            </w:pPr>
            <w:r w:rsidRPr="00B95874">
              <w:t>109</w:t>
            </w:r>
          </w:p>
        </w:tc>
        <w:tc>
          <w:tcPr>
            <w:tcW w:w="1276" w:type="dxa"/>
            <w:tcBorders>
              <w:top w:val="nil"/>
              <w:left w:val="single" w:sz="4" w:space="0" w:color="auto"/>
              <w:bottom w:val="nil"/>
              <w:right w:val="single" w:sz="4" w:space="0" w:color="auto"/>
            </w:tcBorders>
          </w:tcPr>
          <w:p w14:paraId="63E0D7F9" w14:textId="51D19C2F" w:rsidR="00592C34" w:rsidRPr="00E8518E" w:rsidRDefault="00592C34" w:rsidP="00592C34">
            <w:pPr>
              <w:jc w:val="right"/>
              <w:rPr>
                <w:i/>
                <w:color w:val="FF0000"/>
                <w:szCs w:val="24"/>
              </w:rPr>
            </w:pPr>
            <w:r w:rsidRPr="00B95874">
              <w:t>0</w:t>
            </w:r>
          </w:p>
        </w:tc>
        <w:tc>
          <w:tcPr>
            <w:tcW w:w="1134" w:type="dxa"/>
            <w:tcBorders>
              <w:top w:val="nil"/>
              <w:bottom w:val="nil"/>
            </w:tcBorders>
            <w:shd w:val="clear" w:color="auto" w:fill="auto"/>
          </w:tcPr>
          <w:p w14:paraId="43CA63DE" w14:textId="7161A8F6" w:rsidR="00592C34" w:rsidRPr="00E8518E" w:rsidRDefault="00592C34" w:rsidP="00592C34">
            <w:pPr>
              <w:jc w:val="right"/>
              <w:rPr>
                <w:rFonts w:eastAsia="Times New Roman" w:cs="Times New Roman"/>
                <w:i/>
                <w:color w:val="FF0000"/>
                <w:lang w:eastAsia="cs-CZ"/>
              </w:rPr>
            </w:pPr>
            <w:r w:rsidRPr="00B95874">
              <w:t>0</w:t>
            </w:r>
          </w:p>
        </w:tc>
        <w:tc>
          <w:tcPr>
            <w:tcW w:w="992" w:type="dxa"/>
            <w:tcBorders>
              <w:top w:val="nil"/>
              <w:bottom w:val="nil"/>
            </w:tcBorders>
            <w:shd w:val="clear" w:color="auto" w:fill="auto"/>
          </w:tcPr>
          <w:p w14:paraId="46661184" w14:textId="4A9BE92A" w:rsidR="00592C34" w:rsidRPr="00E8518E" w:rsidRDefault="00592C34" w:rsidP="00592C34">
            <w:pPr>
              <w:jc w:val="right"/>
              <w:rPr>
                <w:rFonts w:eastAsia="Times New Roman" w:cs="Times New Roman"/>
                <w:i/>
                <w:color w:val="FF0000"/>
                <w:lang w:eastAsia="cs-CZ"/>
              </w:rPr>
            </w:pPr>
            <w:r w:rsidRPr="00B95874">
              <w:t>x</w:t>
            </w:r>
          </w:p>
        </w:tc>
      </w:tr>
      <w:tr w:rsidR="0088307E" w:rsidRPr="00E8518E" w14:paraId="5A35969B" w14:textId="77777777" w:rsidTr="0088307E">
        <w:tc>
          <w:tcPr>
            <w:tcW w:w="4280" w:type="dxa"/>
            <w:tcBorders>
              <w:top w:val="nil"/>
              <w:bottom w:val="single" w:sz="4" w:space="0" w:color="7F7F7F" w:themeColor="text1" w:themeTint="80"/>
            </w:tcBorders>
            <w:shd w:val="clear" w:color="auto" w:fill="auto"/>
          </w:tcPr>
          <w:p w14:paraId="1E87C8D1" w14:textId="77777777" w:rsidR="00592C34" w:rsidRPr="0088307E" w:rsidRDefault="00592C34" w:rsidP="00592C34">
            <w:pPr>
              <w:rPr>
                <w:rFonts w:eastAsia="Times New Roman" w:cs="Times New Roman"/>
                <w:i/>
                <w:lang w:eastAsia="cs-CZ"/>
              </w:rPr>
            </w:pPr>
            <w:r w:rsidRPr="0088307E">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tcPr>
          <w:p w14:paraId="5A2FB44B" w14:textId="5A4CDD94" w:rsidR="00592C34" w:rsidRPr="00E8518E" w:rsidRDefault="00592C34" w:rsidP="00592C34">
            <w:pPr>
              <w:jc w:val="right"/>
              <w:rPr>
                <w:i/>
                <w:color w:val="FF0000"/>
                <w:szCs w:val="24"/>
              </w:rPr>
            </w:pPr>
            <w:r w:rsidRPr="00B95874">
              <w:t>618</w:t>
            </w:r>
          </w:p>
        </w:tc>
        <w:tc>
          <w:tcPr>
            <w:tcW w:w="1276" w:type="dxa"/>
            <w:tcBorders>
              <w:top w:val="nil"/>
              <w:left w:val="single" w:sz="4" w:space="0" w:color="auto"/>
              <w:bottom w:val="single" w:sz="4" w:space="0" w:color="auto"/>
              <w:right w:val="single" w:sz="4" w:space="0" w:color="auto"/>
            </w:tcBorders>
          </w:tcPr>
          <w:p w14:paraId="73248E30" w14:textId="51DD5121" w:rsidR="00592C34" w:rsidRPr="00E8518E" w:rsidRDefault="00592C34" w:rsidP="00592C34">
            <w:pPr>
              <w:jc w:val="right"/>
              <w:rPr>
                <w:i/>
                <w:color w:val="FF0000"/>
                <w:szCs w:val="24"/>
              </w:rPr>
            </w:pPr>
            <w:r w:rsidRPr="00B95874">
              <w:t>0</w:t>
            </w:r>
          </w:p>
        </w:tc>
        <w:tc>
          <w:tcPr>
            <w:tcW w:w="1134" w:type="dxa"/>
            <w:tcBorders>
              <w:top w:val="nil"/>
              <w:bottom w:val="single" w:sz="4" w:space="0" w:color="7F7F7F" w:themeColor="text1" w:themeTint="80"/>
            </w:tcBorders>
            <w:shd w:val="clear" w:color="auto" w:fill="auto"/>
          </w:tcPr>
          <w:p w14:paraId="5C6FCBAF" w14:textId="327E3B14" w:rsidR="00592C34" w:rsidRPr="00E8518E" w:rsidRDefault="00592C34" w:rsidP="00592C34">
            <w:pPr>
              <w:jc w:val="right"/>
              <w:rPr>
                <w:rFonts w:eastAsia="Times New Roman" w:cs="Times New Roman"/>
                <w:i/>
                <w:color w:val="FF0000"/>
                <w:lang w:eastAsia="cs-CZ"/>
              </w:rPr>
            </w:pPr>
            <w:r w:rsidRPr="00B95874">
              <w:t>0</w:t>
            </w:r>
          </w:p>
        </w:tc>
        <w:tc>
          <w:tcPr>
            <w:tcW w:w="992" w:type="dxa"/>
            <w:tcBorders>
              <w:top w:val="nil"/>
              <w:bottom w:val="single" w:sz="4" w:space="0" w:color="7F7F7F" w:themeColor="text1" w:themeTint="80"/>
            </w:tcBorders>
            <w:shd w:val="clear" w:color="auto" w:fill="auto"/>
          </w:tcPr>
          <w:p w14:paraId="47E5E957" w14:textId="2FAD2ACF" w:rsidR="00592C34" w:rsidRPr="00E8518E" w:rsidRDefault="00592C34" w:rsidP="00592C34">
            <w:pPr>
              <w:jc w:val="right"/>
              <w:rPr>
                <w:rFonts w:eastAsia="Times New Roman" w:cs="Times New Roman"/>
                <w:i/>
                <w:color w:val="FF0000"/>
                <w:lang w:eastAsia="cs-CZ"/>
              </w:rPr>
            </w:pPr>
            <w:r w:rsidRPr="00B95874">
              <w:t>x</w:t>
            </w:r>
          </w:p>
        </w:tc>
      </w:tr>
      <w:tr w:rsidR="0088307E" w:rsidRPr="00E8518E" w14:paraId="1375D893" w14:textId="77777777" w:rsidTr="0088307E">
        <w:tc>
          <w:tcPr>
            <w:tcW w:w="4280" w:type="dxa"/>
            <w:tcBorders>
              <w:top w:val="single" w:sz="4" w:space="0" w:color="7F7F7F" w:themeColor="text1" w:themeTint="80"/>
              <w:bottom w:val="nil"/>
            </w:tcBorders>
            <w:shd w:val="clear" w:color="auto" w:fill="auto"/>
          </w:tcPr>
          <w:p w14:paraId="54DF96A4" w14:textId="77777777" w:rsidR="00592C34" w:rsidRPr="0088307E" w:rsidRDefault="00592C34" w:rsidP="00592C34">
            <w:pPr>
              <w:rPr>
                <w:rFonts w:eastAsia="Times New Roman" w:cs="Times New Roman"/>
                <w:lang w:eastAsia="cs-CZ"/>
              </w:rPr>
            </w:pPr>
            <w:r w:rsidRPr="0088307E">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tcPr>
          <w:p w14:paraId="20A305B8" w14:textId="2150180D" w:rsidR="00592C34" w:rsidRPr="00E8518E" w:rsidRDefault="00592C34" w:rsidP="00592C34">
            <w:pPr>
              <w:jc w:val="right"/>
              <w:rPr>
                <w:color w:val="FF0000"/>
                <w:szCs w:val="24"/>
              </w:rPr>
            </w:pPr>
            <w:r w:rsidRPr="00B95874">
              <w:t>13 695</w:t>
            </w:r>
          </w:p>
        </w:tc>
        <w:tc>
          <w:tcPr>
            <w:tcW w:w="1276" w:type="dxa"/>
            <w:tcBorders>
              <w:top w:val="single" w:sz="4" w:space="0" w:color="auto"/>
              <w:left w:val="single" w:sz="4" w:space="0" w:color="auto"/>
              <w:bottom w:val="nil"/>
              <w:right w:val="single" w:sz="4" w:space="0" w:color="auto"/>
            </w:tcBorders>
          </w:tcPr>
          <w:p w14:paraId="291F2C27" w14:textId="18B75DD4" w:rsidR="00592C34" w:rsidRPr="00E8518E" w:rsidRDefault="00592C34" w:rsidP="00592C34">
            <w:pPr>
              <w:jc w:val="right"/>
              <w:rPr>
                <w:color w:val="FF0000"/>
                <w:szCs w:val="24"/>
              </w:rPr>
            </w:pPr>
            <w:r w:rsidRPr="00B95874">
              <w:t>13 325</w:t>
            </w:r>
          </w:p>
        </w:tc>
        <w:tc>
          <w:tcPr>
            <w:tcW w:w="1134" w:type="dxa"/>
            <w:tcBorders>
              <w:top w:val="single" w:sz="4" w:space="0" w:color="7F7F7F" w:themeColor="text1" w:themeTint="80"/>
              <w:bottom w:val="nil"/>
            </w:tcBorders>
            <w:shd w:val="clear" w:color="auto" w:fill="auto"/>
          </w:tcPr>
          <w:p w14:paraId="2BED9283" w14:textId="4D973CD8" w:rsidR="00592C34" w:rsidRPr="00E8518E" w:rsidRDefault="00B728BD" w:rsidP="00592C34">
            <w:pPr>
              <w:jc w:val="right"/>
              <w:rPr>
                <w:rFonts w:eastAsia="Times New Roman" w:cs="Times New Roman"/>
                <w:color w:val="FF0000"/>
                <w:lang w:eastAsia="cs-CZ"/>
              </w:rPr>
            </w:pPr>
            <w:r>
              <w:t>14 152</w:t>
            </w:r>
          </w:p>
        </w:tc>
        <w:tc>
          <w:tcPr>
            <w:tcW w:w="992" w:type="dxa"/>
            <w:tcBorders>
              <w:top w:val="single" w:sz="4" w:space="0" w:color="7F7F7F" w:themeColor="text1" w:themeTint="80"/>
              <w:bottom w:val="nil"/>
            </w:tcBorders>
            <w:shd w:val="clear" w:color="auto" w:fill="auto"/>
          </w:tcPr>
          <w:p w14:paraId="541A63DC" w14:textId="3E061877" w:rsidR="00592C34" w:rsidRPr="00E8518E" w:rsidRDefault="00B728BD" w:rsidP="00592C34">
            <w:pPr>
              <w:jc w:val="right"/>
              <w:rPr>
                <w:rFonts w:eastAsia="Times New Roman" w:cs="Times New Roman"/>
                <w:color w:val="FF0000"/>
                <w:lang w:eastAsia="cs-CZ"/>
              </w:rPr>
            </w:pPr>
            <w:r>
              <w:t>106,21</w:t>
            </w:r>
            <w:r w:rsidR="00592C34" w:rsidRPr="00B95874">
              <w:t xml:space="preserve"> </w:t>
            </w:r>
          </w:p>
        </w:tc>
      </w:tr>
      <w:tr w:rsidR="0088307E" w:rsidRPr="00E8518E" w14:paraId="68DB73E0" w14:textId="77777777" w:rsidTr="0088307E">
        <w:tc>
          <w:tcPr>
            <w:tcW w:w="4280" w:type="dxa"/>
            <w:tcBorders>
              <w:top w:val="nil"/>
              <w:bottom w:val="nil"/>
            </w:tcBorders>
            <w:shd w:val="clear" w:color="auto" w:fill="auto"/>
          </w:tcPr>
          <w:p w14:paraId="2B02373A" w14:textId="77777777" w:rsidR="00592C34" w:rsidRPr="0088307E" w:rsidRDefault="00592C34" w:rsidP="00592C34">
            <w:pPr>
              <w:jc w:val="left"/>
              <w:rPr>
                <w:rFonts w:eastAsia="Times New Roman" w:cs="Times New Roman"/>
                <w:i/>
                <w:lang w:eastAsia="cs-CZ"/>
              </w:rPr>
            </w:pPr>
            <w:r w:rsidRPr="0088307E">
              <w:rPr>
                <w:rFonts w:eastAsia="Times New Roman" w:cs="Times New Roman"/>
                <w:i/>
                <w:lang w:eastAsia="cs-CZ"/>
              </w:rPr>
              <w:t xml:space="preserve">z toho: výdaje na programy </w:t>
            </w:r>
            <w:proofErr w:type="spellStart"/>
            <w:r w:rsidRPr="0088307E">
              <w:rPr>
                <w:rFonts w:eastAsia="Times New Roman" w:cs="Times New Roman"/>
                <w:i/>
                <w:lang w:eastAsia="cs-CZ"/>
              </w:rPr>
              <w:t>spolufin</w:t>
            </w:r>
            <w:proofErr w:type="spellEnd"/>
            <w:r w:rsidRPr="0088307E">
              <w:rPr>
                <w:rFonts w:eastAsia="Times New Roman" w:cs="Times New Roman"/>
                <w:i/>
                <w:lang w:eastAsia="cs-CZ"/>
              </w:rPr>
              <w:t>.            z rozpočtu EU</w:t>
            </w:r>
          </w:p>
        </w:tc>
        <w:tc>
          <w:tcPr>
            <w:tcW w:w="1380" w:type="dxa"/>
            <w:tcBorders>
              <w:top w:val="nil"/>
              <w:left w:val="single" w:sz="4" w:space="0" w:color="auto"/>
              <w:bottom w:val="nil"/>
              <w:right w:val="single" w:sz="4" w:space="0" w:color="auto"/>
            </w:tcBorders>
          </w:tcPr>
          <w:p w14:paraId="0F0D6BEA" w14:textId="0AE55996" w:rsidR="00592C34" w:rsidRPr="00E8518E" w:rsidRDefault="00592C34" w:rsidP="00592C34">
            <w:pPr>
              <w:jc w:val="right"/>
              <w:rPr>
                <w:i/>
                <w:color w:val="FF0000"/>
                <w:szCs w:val="24"/>
              </w:rPr>
            </w:pPr>
            <w:r w:rsidRPr="00B95874">
              <w:t>246</w:t>
            </w:r>
          </w:p>
        </w:tc>
        <w:tc>
          <w:tcPr>
            <w:tcW w:w="1276" w:type="dxa"/>
            <w:tcBorders>
              <w:top w:val="nil"/>
              <w:left w:val="single" w:sz="4" w:space="0" w:color="auto"/>
              <w:bottom w:val="nil"/>
              <w:right w:val="single" w:sz="4" w:space="0" w:color="auto"/>
            </w:tcBorders>
          </w:tcPr>
          <w:p w14:paraId="10F19A32" w14:textId="1BAA867E" w:rsidR="00592C34" w:rsidRPr="00E8518E" w:rsidRDefault="00592C34" w:rsidP="00592C34">
            <w:pPr>
              <w:jc w:val="right"/>
              <w:rPr>
                <w:i/>
                <w:color w:val="FF0000"/>
                <w:szCs w:val="24"/>
              </w:rPr>
            </w:pPr>
            <w:r w:rsidRPr="00B95874">
              <w:t>0</w:t>
            </w:r>
          </w:p>
        </w:tc>
        <w:tc>
          <w:tcPr>
            <w:tcW w:w="1134" w:type="dxa"/>
            <w:tcBorders>
              <w:top w:val="nil"/>
              <w:bottom w:val="nil"/>
            </w:tcBorders>
            <w:shd w:val="clear" w:color="auto" w:fill="auto"/>
          </w:tcPr>
          <w:p w14:paraId="1FB52DC2" w14:textId="77F64FAF" w:rsidR="00592C34" w:rsidRPr="00E8518E" w:rsidRDefault="00592C34" w:rsidP="00592C34">
            <w:pPr>
              <w:jc w:val="right"/>
              <w:rPr>
                <w:rFonts w:eastAsia="Times New Roman" w:cs="Times New Roman"/>
                <w:i/>
                <w:color w:val="FF0000"/>
                <w:lang w:eastAsia="cs-CZ"/>
              </w:rPr>
            </w:pPr>
            <w:r w:rsidRPr="00B95874">
              <w:t>0</w:t>
            </w:r>
          </w:p>
        </w:tc>
        <w:tc>
          <w:tcPr>
            <w:tcW w:w="992" w:type="dxa"/>
            <w:tcBorders>
              <w:top w:val="nil"/>
              <w:bottom w:val="nil"/>
            </w:tcBorders>
            <w:shd w:val="clear" w:color="auto" w:fill="auto"/>
          </w:tcPr>
          <w:p w14:paraId="04A92ACB" w14:textId="3F5BEA74" w:rsidR="00592C34" w:rsidRPr="00E8518E" w:rsidRDefault="00592C34" w:rsidP="00592C34">
            <w:pPr>
              <w:jc w:val="right"/>
              <w:rPr>
                <w:rFonts w:eastAsia="Times New Roman" w:cs="Times New Roman"/>
                <w:i/>
                <w:color w:val="FF0000"/>
                <w:lang w:eastAsia="cs-CZ"/>
              </w:rPr>
            </w:pPr>
            <w:r w:rsidRPr="00B95874">
              <w:t>x</w:t>
            </w:r>
          </w:p>
        </w:tc>
      </w:tr>
      <w:tr w:rsidR="0088307E" w:rsidRPr="00E8518E" w14:paraId="4E09BD45" w14:textId="77777777" w:rsidTr="0088307E">
        <w:tc>
          <w:tcPr>
            <w:tcW w:w="4280" w:type="dxa"/>
            <w:tcBorders>
              <w:top w:val="nil"/>
              <w:bottom w:val="nil"/>
            </w:tcBorders>
            <w:shd w:val="clear" w:color="auto" w:fill="auto"/>
          </w:tcPr>
          <w:p w14:paraId="45F9592D" w14:textId="77777777" w:rsidR="00592C34" w:rsidRPr="0088307E" w:rsidRDefault="00592C34" w:rsidP="00592C34">
            <w:pPr>
              <w:rPr>
                <w:rFonts w:eastAsia="Times New Roman" w:cs="Times New Roman"/>
                <w:i/>
                <w:lang w:eastAsia="cs-CZ"/>
              </w:rPr>
            </w:pPr>
            <w:r w:rsidRPr="0088307E">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tcPr>
          <w:p w14:paraId="09DEF668" w14:textId="443E43F9" w:rsidR="00592C34" w:rsidRPr="00E8518E" w:rsidRDefault="00592C34" w:rsidP="00592C34">
            <w:pPr>
              <w:jc w:val="right"/>
              <w:rPr>
                <w:i/>
                <w:color w:val="FF0000"/>
                <w:szCs w:val="24"/>
              </w:rPr>
            </w:pPr>
            <w:r w:rsidRPr="00B95874">
              <w:t>37</w:t>
            </w:r>
          </w:p>
        </w:tc>
        <w:tc>
          <w:tcPr>
            <w:tcW w:w="1276" w:type="dxa"/>
            <w:tcBorders>
              <w:top w:val="nil"/>
              <w:left w:val="single" w:sz="4" w:space="0" w:color="auto"/>
              <w:bottom w:val="nil"/>
              <w:right w:val="single" w:sz="4" w:space="0" w:color="auto"/>
            </w:tcBorders>
          </w:tcPr>
          <w:p w14:paraId="499FAC34" w14:textId="23C28D83" w:rsidR="00592C34" w:rsidRPr="00E8518E" w:rsidRDefault="00592C34" w:rsidP="00592C34">
            <w:pPr>
              <w:jc w:val="right"/>
              <w:rPr>
                <w:i/>
                <w:color w:val="FF0000"/>
                <w:szCs w:val="24"/>
              </w:rPr>
            </w:pPr>
            <w:r w:rsidRPr="00B95874">
              <w:t>0</w:t>
            </w:r>
          </w:p>
        </w:tc>
        <w:tc>
          <w:tcPr>
            <w:tcW w:w="1134" w:type="dxa"/>
            <w:tcBorders>
              <w:top w:val="nil"/>
              <w:bottom w:val="nil"/>
            </w:tcBorders>
            <w:shd w:val="clear" w:color="auto" w:fill="auto"/>
          </w:tcPr>
          <w:p w14:paraId="0D9E181E" w14:textId="79BB9D33" w:rsidR="00592C34" w:rsidRPr="00E8518E" w:rsidRDefault="00592C34" w:rsidP="00592C34">
            <w:pPr>
              <w:jc w:val="right"/>
              <w:rPr>
                <w:rFonts w:eastAsia="Times New Roman" w:cs="Times New Roman"/>
                <w:i/>
                <w:color w:val="FF0000"/>
                <w:lang w:eastAsia="cs-CZ"/>
              </w:rPr>
            </w:pPr>
            <w:r w:rsidRPr="00B95874">
              <w:t>0</w:t>
            </w:r>
          </w:p>
        </w:tc>
        <w:tc>
          <w:tcPr>
            <w:tcW w:w="992" w:type="dxa"/>
            <w:tcBorders>
              <w:top w:val="nil"/>
              <w:bottom w:val="nil"/>
            </w:tcBorders>
            <w:shd w:val="clear" w:color="auto" w:fill="auto"/>
          </w:tcPr>
          <w:p w14:paraId="050FE67B" w14:textId="2D8A99BA" w:rsidR="00592C34" w:rsidRPr="00E8518E" w:rsidRDefault="00592C34" w:rsidP="00592C34">
            <w:pPr>
              <w:jc w:val="right"/>
              <w:rPr>
                <w:rFonts w:eastAsia="Times New Roman" w:cs="Times New Roman"/>
                <w:i/>
                <w:color w:val="FF0000"/>
                <w:lang w:eastAsia="cs-CZ"/>
              </w:rPr>
            </w:pPr>
            <w:r w:rsidRPr="00B95874">
              <w:t>x</w:t>
            </w:r>
          </w:p>
        </w:tc>
      </w:tr>
      <w:tr w:rsidR="0088307E" w:rsidRPr="00E8518E" w14:paraId="7E62E747" w14:textId="77777777" w:rsidTr="009B5808">
        <w:tc>
          <w:tcPr>
            <w:tcW w:w="4280" w:type="dxa"/>
            <w:tcBorders>
              <w:top w:val="nil"/>
              <w:bottom w:val="single" w:sz="4" w:space="0" w:color="auto"/>
            </w:tcBorders>
            <w:shd w:val="clear" w:color="auto" w:fill="auto"/>
          </w:tcPr>
          <w:p w14:paraId="66AEEFEF" w14:textId="77777777" w:rsidR="00592C34" w:rsidRPr="0088307E" w:rsidRDefault="00592C34" w:rsidP="00592C34">
            <w:pPr>
              <w:rPr>
                <w:rFonts w:eastAsia="Times New Roman" w:cs="Times New Roman"/>
                <w:i/>
                <w:lang w:eastAsia="cs-CZ"/>
              </w:rPr>
            </w:pPr>
            <w:r w:rsidRPr="0088307E">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tcPr>
          <w:p w14:paraId="603784EE" w14:textId="39383323" w:rsidR="00592C34" w:rsidRPr="00E8518E" w:rsidRDefault="00592C34" w:rsidP="00592C34">
            <w:pPr>
              <w:jc w:val="right"/>
              <w:rPr>
                <w:i/>
                <w:color w:val="FF0000"/>
                <w:szCs w:val="24"/>
              </w:rPr>
            </w:pPr>
            <w:r w:rsidRPr="00B95874">
              <w:t>209</w:t>
            </w:r>
          </w:p>
        </w:tc>
        <w:tc>
          <w:tcPr>
            <w:tcW w:w="1276" w:type="dxa"/>
            <w:tcBorders>
              <w:top w:val="nil"/>
              <w:left w:val="single" w:sz="4" w:space="0" w:color="auto"/>
              <w:bottom w:val="single" w:sz="4" w:space="0" w:color="auto"/>
              <w:right w:val="single" w:sz="4" w:space="0" w:color="auto"/>
            </w:tcBorders>
          </w:tcPr>
          <w:p w14:paraId="4CF387E2" w14:textId="3C0E92E4" w:rsidR="00592C34" w:rsidRPr="00E8518E" w:rsidRDefault="00592C34" w:rsidP="00592C34">
            <w:pPr>
              <w:jc w:val="right"/>
              <w:rPr>
                <w:i/>
                <w:color w:val="FF0000"/>
                <w:szCs w:val="24"/>
              </w:rPr>
            </w:pPr>
            <w:r w:rsidRPr="00B95874">
              <w:t>0</w:t>
            </w:r>
          </w:p>
        </w:tc>
        <w:tc>
          <w:tcPr>
            <w:tcW w:w="1134" w:type="dxa"/>
            <w:tcBorders>
              <w:top w:val="nil"/>
              <w:bottom w:val="single" w:sz="4" w:space="0" w:color="auto"/>
            </w:tcBorders>
            <w:shd w:val="clear" w:color="auto" w:fill="auto"/>
          </w:tcPr>
          <w:p w14:paraId="35B0D8BF" w14:textId="1626121E" w:rsidR="00592C34" w:rsidRPr="00E8518E" w:rsidRDefault="00592C34" w:rsidP="00592C34">
            <w:pPr>
              <w:jc w:val="right"/>
              <w:rPr>
                <w:rFonts w:eastAsia="Times New Roman" w:cs="Times New Roman"/>
                <w:i/>
                <w:color w:val="FF0000"/>
                <w:lang w:eastAsia="cs-CZ"/>
              </w:rPr>
            </w:pPr>
            <w:r w:rsidRPr="00B95874">
              <w:t>0</w:t>
            </w:r>
          </w:p>
        </w:tc>
        <w:tc>
          <w:tcPr>
            <w:tcW w:w="992" w:type="dxa"/>
            <w:tcBorders>
              <w:top w:val="nil"/>
              <w:bottom w:val="single" w:sz="4" w:space="0" w:color="auto"/>
            </w:tcBorders>
            <w:shd w:val="clear" w:color="auto" w:fill="auto"/>
          </w:tcPr>
          <w:p w14:paraId="5C77E396" w14:textId="4D91C1D8" w:rsidR="00592C34" w:rsidRPr="00E8518E" w:rsidRDefault="00592C34" w:rsidP="00592C34">
            <w:pPr>
              <w:jc w:val="right"/>
              <w:rPr>
                <w:rFonts w:eastAsia="Times New Roman" w:cs="Times New Roman"/>
                <w:i/>
                <w:color w:val="FF0000"/>
                <w:lang w:eastAsia="cs-CZ"/>
              </w:rPr>
            </w:pPr>
            <w:r w:rsidRPr="00B95874">
              <w:t>x</w:t>
            </w:r>
          </w:p>
        </w:tc>
      </w:tr>
      <w:tr w:rsidR="009B5808" w:rsidRPr="00E8518E" w14:paraId="4C1A569C" w14:textId="77777777" w:rsidTr="009B5808">
        <w:tc>
          <w:tcPr>
            <w:tcW w:w="4280" w:type="dxa"/>
            <w:tcBorders>
              <w:top w:val="single" w:sz="4" w:space="0" w:color="auto"/>
              <w:bottom w:val="nil"/>
            </w:tcBorders>
            <w:shd w:val="clear" w:color="auto" w:fill="auto"/>
          </w:tcPr>
          <w:p w14:paraId="1F5EA6A3" w14:textId="0361935E" w:rsidR="009B5808" w:rsidRPr="0088307E" w:rsidRDefault="009B5808" w:rsidP="009B5808">
            <w:pPr>
              <w:rPr>
                <w:rFonts w:eastAsia="Times New Roman" w:cs="Times New Roman"/>
                <w:i/>
                <w:lang w:eastAsia="cs-CZ"/>
              </w:rPr>
            </w:pPr>
            <w:r w:rsidRPr="00517763">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tcPr>
          <w:p w14:paraId="0D2B7AC2" w14:textId="26C41927" w:rsidR="009B5808" w:rsidRPr="00B95874" w:rsidRDefault="009B5808" w:rsidP="009B5808">
            <w:pPr>
              <w:jc w:val="right"/>
            </w:pPr>
            <w:r w:rsidRPr="00F27033">
              <w:t>812</w:t>
            </w:r>
          </w:p>
        </w:tc>
        <w:tc>
          <w:tcPr>
            <w:tcW w:w="1276" w:type="dxa"/>
            <w:tcBorders>
              <w:top w:val="single" w:sz="4" w:space="0" w:color="auto"/>
              <w:left w:val="single" w:sz="4" w:space="0" w:color="auto"/>
              <w:bottom w:val="nil"/>
              <w:right w:val="single" w:sz="4" w:space="0" w:color="auto"/>
            </w:tcBorders>
          </w:tcPr>
          <w:p w14:paraId="58111926" w14:textId="4C05B6BF" w:rsidR="009B5808" w:rsidRPr="00B95874" w:rsidRDefault="009B5808" w:rsidP="009B5808">
            <w:pPr>
              <w:jc w:val="right"/>
            </w:pPr>
            <w:r w:rsidRPr="00F27033">
              <w:t>787</w:t>
            </w:r>
          </w:p>
        </w:tc>
        <w:tc>
          <w:tcPr>
            <w:tcW w:w="1134" w:type="dxa"/>
            <w:tcBorders>
              <w:top w:val="single" w:sz="4" w:space="0" w:color="auto"/>
              <w:bottom w:val="nil"/>
            </w:tcBorders>
            <w:shd w:val="clear" w:color="auto" w:fill="auto"/>
          </w:tcPr>
          <w:p w14:paraId="22FEBB3F" w14:textId="1240A577" w:rsidR="009B5808" w:rsidRPr="00B95874" w:rsidRDefault="009B5808" w:rsidP="009B5808">
            <w:pPr>
              <w:jc w:val="right"/>
            </w:pPr>
            <w:r>
              <w:t>834</w:t>
            </w:r>
          </w:p>
        </w:tc>
        <w:tc>
          <w:tcPr>
            <w:tcW w:w="992" w:type="dxa"/>
            <w:tcBorders>
              <w:top w:val="single" w:sz="4" w:space="0" w:color="auto"/>
              <w:bottom w:val="nil"/>
            </w:tcBorders>
            <w:shd w:val="clear" w:color="auto" w:fill="auto"/>
          </w:tcPr>
          <w:p w14:paraId="21621DB4" w14:textId="34B44902" w:rsidR="009B5808" w:rsidRPr="00B95874" w:rsidRDefault="009B5808" w:rsidP="009B5808">
            <w:pPr>
              <w:jc w:val="right"/>
            </w:pPr>
            <w:r>
              <w:t>105,97</w:t>
            </w:r>
          </w:p>
        </w:tc>
      </w:tr>
      <w:tr w:rsidR="009B5808" w:rsidRPr="00E8518E" w14:paraId="4C4E2A7C" w14:textId="77777777" w:rsidTr="0088307E">
        <w:tc>
          <w:tcPr>
            <w:tcW w:w="4280" w:type="dxa"/>
            <w:tcBorders>
              <w:top w:val="nil"/>
              <w:bottom w:val="nil"/>
            </w:tcBorders>
            <w:shd w:val="clear" w:color="auto" w:fill="auto"/>
          </w:tcPr>
          <w:p w14:paraId="40D91B42" w14:textId="58F11B61" w:rsidR="009B5808" w:rsidRDefault="009B5808" w:rsidP="009B5808">
            <w:pPr>
              <w:rPr>
                <w:rFonts w:eastAsia="Times New Roman" w:cs="Times New Roman"/>
                <w:i/>
                <w:lang w:eastAsia="cs-CZ"/>
              </w:rPr>
            </w:pPr>
            <w:r w:rsidRPr="00517763">
              <w:rPr>
                <w:rFonts w:eastAsia="Times New Roman" w:cs="Times New Roman"/>
                <w:i/>
                <w:lang w:eastAsia="cs-CZ"/>
              </w:rPr>
              <w:t xml:space="preserve">z toho: výdaje na programy </w:t>
            </w:r>
            <w:proofErr w:type="spellStart"/>
            <w:r w:rsidRPr="00517763">
              <w:rPr>
                <w:rFonts w:eastAsia="Times New Roman" w:cs="Times New Roman"/>
                <w:i/>
                <w:lang w:eastAsia="cs-CZ"/>
              </w:rPr>
              <w:t>spolufin</w:t>
            </w:r>
            <w:proofErr w:type="spellEnd"/>
            <w:r w:rsidRPr="00517763">
              <w:rPr>
                <w:rFonts w:eastAsia="Times New Roman" w:cs="Times New Roman"/>
                <w:i/>
                <w:lang w:eastAsia="cs-CZ"/>
              </w:rPr>
              <w:t>.            z rozpočtu EU</w:t>
            </w:r>
          </w:p>
        </w:tc>
        <w:tc>
          <w:tcPr>
            <w:tcW w:w="1380" w:type="dxa"/>
            <w:tcBorders>
              <w:top w:val="nil"/>
              <w:left w:val="single" w:sz="4" w:space="0" w:color="auto"/>
              <w:bottom w:val="nil"/>
              <w:right w:val="single" w:sz="4" w:space="0" w:color="auto"/>
            </w:tcBorders>
          </w:tcPr>
          <w:p w14:paraId="63F77822" w14:textId="718835FF" w:rsidR="009B5808" w:rsidRPr="00B95874" w:rsidRDefault="009B5808" w:rsidP="009B5808">
            <w:pPr>
              <w:jc w:val="right"/>
            </w:pPr>
            <w:r w:rsidRPr="00F27033">
              <w:t>14,6</w:t>
            </w:r>
          </w:p>
        </w:tc>
        <w:tc>
          <w:tcPr>
            <w:tcW w:w="1276" w:type="dxa"/>
            <w:tcBorders>
              <w:top w:val="nil"/>
              <w:left w:val="single" w:sz="4" w:space="0" w:color="auto"/>
              <w:bottom w:val="nil"/>
              <w:right w:val="single" w:sz="4" w:space="0" w:color="auto"/>
            </w:tcBorders>
          </w:tcPr>
          <w:p w14:paraId="27C8A34B" w14:textId="118C6A21" w:rsidR="009B5808" w:rsidRPr="00B95874" w:rsidRDefault="009B5808" w:rsidP="009B5808">
            <w:pPr>
              <w:jc w:val="right"/>
            </w:pPr>
            <w:r w:rsidRPr="00F27033">
              <w:t>0</w:t>
            </w:r>
          </w:p>
        </w:tc>
        <w:tc>
          <w:tcPr>
            <w:tcW w:w="1134" w:type="dxa"/>
            <w:tcBorders>
              <w:top w:val="nil"/>
              <w:bottom w:val="nil"/>
            </w:tcBorders>
            <w:shd w:val="clear" w:color="auto" w:fill="auto"/>
          </w:tcPr>
          <w:p w14:paraId="572D4026" w14:textId="52D03C71" w:rsidR="009B5808" w:rsidRPr="00B95874" w:rsidRDefault="009B5808" w:rsidP="009B5808">
            <w:pPr>
              <w:jc w:val="right"/>
            </w:pPr>
            <w:r w:rsidRPr="00F27033">
              <w:t>0</w:t>
            </w:r>
          </w:p>
        </w:tc>
        <w:tc>
          <w:tcPr>
            <w:tcW w:w="992" w:type="dxa"/>
            <w:tcBorders>
              <w:top w:val="nil"/>
              <w:bottom w:val="nil"/>
            </w:tcBorders>
            <w:shd w:val="clear" w:color="auto" w:fill="auto"/>
          </w:tcPr>
          <w:p w14:paraId="7E02CBB7" w14:textId="7E247D8A" w:rsidR="009B5808" w:rsidRDefault="009B5808" w:rsidP="009B5808">
            <w:pPr>
              <w:jc w:val="right"/>
            </w:pPr>
            <w:r w:rsidRPr="00F27033">
              <w:t>x</w:t>
            </w:r>
          </w:p>
        </w:tc>
      </w:tr>
      <w:tr w:rsidR="009B5808" w:rsidRPr="00E8518E" w14:paraId="5FEABBAD" w14:textId="77777777" w:rsidTr="0088307E">
        <w:tc>
          <w:tcPr>
            <w:tcW w:w="4280" w:type="dxa"/>
            <w:tcBorders>
              <w:top w:val="nil"/>
              <w:bottom w:val="nil"/>
            </w:tcBorders>
            <w:shd w:val="clear" w:color="auto" w:fill="auto"/>
          </w:tcPr>
          <w:p w14:paraId="0127DDDE" w14:textId="5EDA776D" w:rsidR="009B5808" w:rsidRDefault="009B5808" w:rsidP="009B5808">
            <w:pPr>
              <w:rPr>
                <w:rFonts w:eastAsia="Times New Roman" w:cs="Times New Roman"/>
                <w:i/>
                <w:lang w:eastAsia="cs-CZ"/>
              </w:rPr>
            </w:pPr>
            <w:r w:rsidRPr="00517763">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tcPr>
          <w:p w14:paraId="71773BCD" w14:textId="1EC70FFA" w:rsidR="009B5808" w:rsidRPr="00B95874" w:rsidRDefault="009B5808" w:rsidP="009B5808">
            <w:pPr>
              <w:jc w:val="right"/>
            </w:pPr>
            <w:r w:rsidRPr="00F27033">
              <w:t>2,2</w:t>
            </w:r>
          </w:p>
        </w:tc>
        <w:tc>
          <w:tcPr>
            <w:tcW w:w="1276" w:type="dxa"/>
            <w:tcBorders>
              <w:top w:val="nil"/>
              <w:left w:val="single" w:sz="4" w:space="0" w:color="auto"/>
              <w:bottom w:val="nil"/>
              <w:right w:val="single" w:sz="4" w:space="0" w:color="auto"/>
            </w:tcBorders>
          </w:tcPr>
          <w:p w14:paraId="063E237C" w14:textId="55BCBE1D" w:rsidR="009B5808" w:rsidRPr="00B95874" w:rsidRDefault="009B5808" w:rsidP="009B5808">
            <w:pPr>
              <w:jc w:val="right"/>
            </w:pPr>
            <w:r w:rsidRPr="00F27033">
              <w:t>0</w:t>
            </w:r>
          </w:p>
        </w:tc>
        <w:tc>
          <w:tcPr>
            <w:tcW w:w="1134" w:type="dxa"/>
            <w:tcBorders>
              <w:top w:val="nil"/>
              <w:bottom w:val="nil"/>
            </w:tcBorders>
            <w:shd w:val="clear" w:color="auto" w:fill="auto"/>
          </w:tcPr>
          <w:p w14:paraId="18E3FC61" w14:textId="44D645A3" w:rsidR="009B5808" w:rsidRPr="00B95874" w:rsidRDefault="009B5808" w:rsidP="009B5808">
            <w:pPr>
              <w:jc w:val="right"/>
            </w:pPr>
            <w:r w:rsidRPr="00F27033">
              <w:t>0</w:t>
            </w:r>
          </w:p>
        </w:tc>
        <w:tc>
          <w:tcPr>
            <w:tcW w:w="992" w:type="dxa"/>
            <w:tcBorders>
              <w:top w:val="nil"/>
              <w:bottom w:val="nil"/>
            </w:tcBorders>
            <w:shd w:val="clear" w:color="auto" w:fill="auto"/>
          </w:tcPr>
          <w:p w14:paraId="7D55CEC8" w14:textId="074AE25B" w:rsidR="009B5808" w:rsidRDefault="009B5808" w:rsidP="009B5808">
            <w:pPr>
              <w:jc w:val="right"/>
            </w:pPr>
            <w:r w:rsidRPr="00F27033">
              <w:t>x</w:t>
            </w:r>
          </w:p>
        </w:tc>
      </w:tr>
      <w:tr w:rsidR="009B5808" w:rsidRPr="00E8518E" w14:paraId="3BB91763" w14:textId="77777777" w:rsidTr="009B5808">
        <w:tc>
          <w:tcPr>
            <w:tcW w:w="4280" w:type="dxa"/>
            <w:tcBorders>
              <w:top w:val="nil"/>
              <w:bottom w:val="single" w:sz="4" w:space="0" w:color="auto"/>
            </w:tcBorders>
            <w:shd w:val="clear" w:color="auto" w:fill="auto"/>
          </w:tcPr>
          <w:p w14:paraId="1A4AF908" w14:textId="6E748623" w:rsidR="009B5808" w:rsidRDefault="009B5808" w:rsidP="009B5808">
            <w:pPr>
              <w:rPr>
                <w:rFonts w:eastAsia="Times New Roman" w:cs="Times New Roman"/>
                <w:i/>
                <w:lang w:eastAsia="cs-CZ"/>
              </w:rPr>
            </w:pPr>
            <w:r w:rsidRPr="00517763">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tcPr>
          <w:p w14:paraId="494068B8" w14:textId="0595BC1B" w:rsidR="009B5808" w:rsidRPr="00B95874" w:rsidRDefault="009B5808" w:rsidP="009B5808">
            <w:pPr>
              <w:jc w:val="right"/>
            </w:pPr>
            <w:r w:rsidRPr="00F27033">
              <w:t>12,4</w:t>
            </w:r>
          </w:p>
        </w:tc>
        <w:tc>
          <w:tcPr>
            <w:tcW w:w="1276" w:type="dxa"/>
            <w:tcBorders>
              <w:top w:val="nil"/>
              <w:left w:val="single" w:sz="4" w:space="0" w:color="auto"/>
              <w:bottom w:val="single" w:sz="4" w:space="0" w:color="auto"/>
              <w:right w:val="single" w:sz="4" w:space="0" w:color="auto"/>
            </w:tcBorders>
          </w:tcPr>
          <w:p w14:paraId="46FE3941" w14:textId="5C5E055D" w:rsidR="009B5808" w:rsidRPr="00B95874" w:rsidRDefault="009B5808" w:rsidP="009B5808">
            <w:pPr>
              <w:jc w:val="right"/>
            </w:pPr>
            <w:r w:rsidRPr="00F27033">
              <w:t>0</w:t>
            </w:r>
          </w:p>
        </w:tc>
        <w:tc>
          <w:tcPr>
            <w:tcW w:w="1134" w:type="dxa"/>
            <w:tcBorders>
              <w:top w:val="nil"/>
              <w:bottom w:val="single" w:sz="4" w:space="0" w:color="auto"/>
            </w:tcBorders>
            <w:shd w:val="clear" w:color="auto" w:fill="auto"/>
          </w:tcPr>
          <w:p w14:paraId="21E7475C" w14:textId="1E00AB69" w:rsidR="009B5808" w:rsidRPr="00B95874" w:rsidRDefault="009B5808" w:rsidP="009B5808">
            <w:pPr>
              <w:jc w:val="right"/>
            </w:pPr>
            <w:r w:rsidRPr="00F27033">
              <w:t>0</w:t>
            </w:r>
          </w:p>
        </w:tc>
        <w:tc>
          <w:tcPr>
            <w:tcW w:w="992" w:type="dxa"/>
            <w:tcBorders>
              <w:top w:val="nil"/>
              <w:bottom w:val="single" w:sz="4" w:space="0" w:color="auto"/>
            </w:tcBorders>
            <w:shd w:val="clear" w:color="auto" w:fill="auto"/>
          </w:tcPr>
          <w:p w14:paraId="40A9589B" w14:textId="536540D1" w:rsidR="009B5808" w:rsidRDefault="009B5808" w:rsidP="009B5808">
            <w:pPr>
              <w:jc w:val="right"/>
            </w:pPr>
            <w:r w:rsidRPr="00F27033">
              <w:t>x</w:t>
            </w:r>
          </w:p>
        </w:tc>
      </w:tr>
      <w:tr w:rsidR="009B5808" w:rsidRPr="00E8518E" w14:paraId="3D4B052F" w14:textId="77777777" w:rsidTr="009B5808">
        <w:tc>
          <w:tcPr>
            <w:tcW w:w="4280" w:type="dxa"/>
            <w:tcBorders>
              <w:top w:val="single" w:sz="4" w:space="0" w:color="auto"/>
              <w:bottom w:val="nil"/>
            </w:tcBorders>
            <w:shd w:val="clear" w:color="auto" w:fill="auto"/>
          </w:tcPr>
          <w:p w14:paraId="53ED92E0" w14:textId="1FC13D9C" w:rsidR="009B5808" w:rsidRDefault="009B5808" w:rsidP="009B5808">
            <w:pPr>
              <w:rPr>
                <w:rFonts w:eastAsia="Times New Roman" w:cs="Times New Roman"/>
                <w:i/>
                <w:lang w:eastAsia="cs-CZ"/>
              </w:rPr>
            </w:pPr>
            <w:r w:rsidRPr="00517763">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tcPr>
          <w:p w14:paraId="5C2875BD" w14:textId="27B3262D" w:rsidR="009B5808" w:rsidRPr="00B95874" w:rsidRDefault="009B5808" w:rsidP="009B5808">
            <w:pPr>
              <w:jc w:val="right"/>
            </w:pPr>
            <w:r w:rsidRPr="00F27033">
              <w:t>17 814</w:t>
            </w:r>
          </w:p>
        </w:tc>
        <w:tc>
          <w:tcPr>
            <w:tcW w:w="1276" w:type="dxa"/>
            <w:tcBorders>
              <w:top w:val="single" w:sz="4" w:space="0" w:color="auto"/>
              <w:left w:val="single" w:sz="4" w:space="0" w:color="auto"/>
              <w:bottom w:val="nil"/>
              <w:right w:val="single" w:sz="4" w:space="0" w:color="auto"/>
            </w:tcBorders>
          </w:tcPr>
          <w:p w14:paraId="1739AFC0" w14:textId="1ECC4479" w:rsidR="009B5808" w:rsidRPr="00B95874" w:rsidRDefault="009B5808" w:rsidP="009B5808">
            <w:pPr>
              <w:jc w:val="right"/>
            </w:pPr>
            <w:r w:rsidRPr="00F27033">
              <w:t>17 196</w:t>
            </w:r>
          </w:p>
        </w:tc>
        <w:tc>
          <w:tcPr>
            <w:tcW w:w="1134" w:type="dxa"/>
            <w:tcBorders>
              <w:top w:val="single" w:sz="4" w:space="0" w:color="auto"/>
              <w:bottom w:val="nil"/>
            </w:tcBorders>
            <w:shd w:val="clear" w:color="auto" w:fill="auto"/>
          </w:tcPr>
          <w:p w14:paraId="1B18154B" w14:textId="1D6B8B4F" w:rsidR="009B5808" w:rsidRPr="00B95874" w:rsidRDefault="009B5808" w:rsidP="009B5808">
            <w:pPr>
              <w:jc w:val="right"/>
            </w:pPr>
            <w:r>
              <w:t>19 145</w:t>
            </w:r>
            <w:r w:rsidRPr="00F27033">
              <w:t xml:space="preserve"> </w:t>
            </w:r>
          </w:p>
        </w:tc>
        <w:tc>
          <w:tcPr>
            <w:tcW w:w="992" w:type="dxa"/>
            <w:tcBorders>
              <w:top w:val="single" w:sz="4" w:space="0" w:color="auto"/>
              <w:bottom w:val="nil"/>
            </w:tcBorders>
            <w:shd w:val="clear" w:color="auto" w:fill="auto"/>
          </w:tcPr>
          <w:p w14:paraId="05F5AF19" w14:textId="29EA6213" w:rsidR="009B5808" w:rsidRDefault="009B5808" w:rsidP="009B5808">
            <w:pPr>
              <w:jc w:val="right"/>
            </w:pPr>
            <w:r>
              <w:t>111,33</w:t>
            </w:r>
          </w:p>
        </w:tc>
      </w:tr>
      <w:tr w:rsidR="009B5808" w:rsidRPr="00E8518E" w14:paraId="0BABF2C2" w14:textId="77777777" w:rsidTr="0088307E">
        <w:tc>
          <w:tcPr>
            <w:tcW w:w="4280" w:type="dxa"/>
            <w:tcBorders>
              <w:top w:val="nil"/>
              <w:bottom w:val="nil"/>
            </w:tcBorders>
            <w:shd w:val="clear" w:color="auto" w:fill="auto"/>
          </w:tcPr>
          <w:p w14:paraId="58B758AE" w14:textId="631EA69B" w:rsidR="009B5808" w:rsidRDefault="009B5808" w:rsidP="009B5808">
            <w:pPr>
              <w:rPr>
                <w:rFonts w:eastAsia="Times New Roman" w:cs="Times New Roman"/>
                <w:i/>
                <w:lang w:eastAsia="cs-CZ"/>
              </w:rPr>
            </w:pPr>
            <w:r w:rsidRPr="00517763">
              <w:rPr>
                <w:rFonts w:eastAsia="Times New Roman" w:cs="Times New Roman"/>
                <w:i/>
                <w:lang w:eastAsia="cs-CZ"/>
              </w:rPr>
              <w:t>z toho: programové financování (EDS/SMVS)</w:t>
            </w:r>
          </w:p>
        </w:tc>
        <w:tc>
          <w:tcPr>
            <w:tcW w:w="1380" w:type="dxa"/>
            <w:tcBorders>
              <w:top w:val="nil"/>
              <w:left w:val="single" w:sz="4" w:space="0" w:color="auto"/>
              <w:bottom w:val="nil"/>
              <w:right w:val="single" w:sz="4" w:space="0" w:color="auto"/>
            </w:tcBorders>
          </w:tcPr>
          <w:p w14:paraId="0CD1E115" w14:textId="3D463D6E" w:rsidR="009B5808" w:rsidRPr="00B95874" w:rsidRDefault="009B5808" w:rsidP="009B5808">
            <w:pPr>
              <w:jc w:val="right"/>
            </w:pPr>
            <w:r w:rsidRPr="00F27033">
              <w:t>0</w:t>
            </w:r>
          </w:p>
        </w:tc>
        <w:tc>
          <w:tcPr>
            <w:tcW w:w="1276" w:type="dxa"/>
            <w:tcBorders>
              <w:top w:val="nil"/>
              <w:left w:val="single" w:sz="4" w:space="0" w:color="auto"/>
              <w:bottom w:val="nil"/>
              <w:right w:val="single" w:sz="4" w:space="0" w:color="auto"/>
            </w:tcBorders>
          </w:tcPr>
          <w:p w14:paraId="6AB49C3F" w14:textId="4AAF67F2" w:rsidR="009B5808" w:rsidRPr="00B95874" w:rsidRDefault="009B5808" w:rsidP="009B5808">
            <w:pPr>
              <w:jc w:val="right"/>
            </w:pPr>
            <w:r w:rsidRPr="00F27033">
              <w:t>0</w:t>
            </w:r>
          </w:p>
        </w:tc>
        <w:tc>
          <w:tcPr>
            <w:tcW w:w="1134" w:type="dxa"/>
            <w:tcBorders>
              <w:top w:val="nil"/>
              <w:bottom w:val="nil"/>
            </w:tcBorders>
            <w:shd w:val="clear" w:color="auto" w:fill="auto"/>
          </w:tcPr>
          <w:p w14:paraId="2DDB10E1" w14:textId="46339797" w:rsidR="009B5808" w:rsidRPr="00B95874" w:rsidRDefault="009B5808" w:rsidP="009B5808">
            <w:pPr>
              <w:jc w:val="right"/>
            </w:pPr>
            <w:r w:rsidRPr="00F27033">
              <w:t>0</w:t>
            </w:r>
          </w:p>
        </w:tc>
        <w:tc>
          <w:tcPr>
            <w:tcW w:w="992" w:type="dxa"/>
            <w:tcBorders>
              <w:top w:val="nil"/>
              <w:bottom w:val="nil"/>
            </w:tcBorders>
            <w:shd w:val="clear" w:color="auto" w:fill="auto"/>
          </w:tcPr>
          <w:p w14:paraId="4823421B" w14:textId="30C3D066" w:rsidR="009B5808" w:rsidRDefault="009B5808" w:rsidP="009B5808">
            <w:pPr>
              <w:jc w:val="right"/>
            </w:pPr>
            <w:r w:rsidRPr="00F27033">
              <w:t>x</w:t>
            </w:r>
          </w:p>
        </w:tc>
      </w:tr>
      <w:tr w:rsidR="009B5808" w:rsidRPr="00E8518E" w14:paraId="362C8AD3" w14:textId="77777777" w:rsidTr="0088307E">
        <w:tc>
          <w:tcPr>
            <w:tcW w:w="4280" w:type="dxa"/>
            <w:tcBorders>
              <w:top w:val="nil"/>
              <w:bottom w:val="nil"/>
            </w:tcBorders>
            <w:shd w:val="clear" w:color="auto" w:fill="auto"/>
          </w:tcPr>
          <w:p w14:paraId="2B9F0CD1" w14:textId="3D9FA683" w:rsidR="009B5808" w:rsidRDefault="009B5808" w:rsidP="009B5808">
            <w:pPr>
              <w:rPr>
                <w:rFonts w:eastAsia="Times New Roman" w:cs="Times New Roman"/>
                <w:i/>
                <w:lang w:eastAsia="cs-CZ"/>
              </w:rPr>
            </w:pPr>
            <w:r w:rsidRPr="00517763">
              <w:rPr>
                <w:rFonts w:eastAsia="Times New Roman" w:cs="Times New Roman"/>
                <w:i/>
                <w:lang w:eastAsia="cs-CZ"/>
              </w:rPr>
              <w:t xml:space="preserve">            výdaje na programy </w:t>
            </w:r>
            <w:proofErr w:type="spellStart"/>
            <w:r w:rsidRPr="00517763">
              <w:rPr>
                <w:rFonts w:eastAsia="Times New Roman" w:cs="Times New Roman"/>
                <w:i/>
                <w:lang w:eastAsia="cs-CZ"/>
              </w:rPr>
              <w:t>spolufin</w:t>
            </w:r>
            <w:proofErr w:type="spellEnd"/>
            <w:r w:rsidRPr="00517763">
              <w:rPr>
                <w:rFonts w:eastAsia="Times New Roman" w:cs="Times New Roman"/>
                <w:i/>
                <w:lang w:eastAsia="cs-CZ"/>
              </w:rPr>
              <w:t>.            z rozpočtu EU</w:t>
            </w:r>
          </w:p>
        </w:tc>
        <w:tc>
          <w:tcPr>
            <w:tcW w:w="1380" w:type="dxa"/>
            <w:tcBorders>
              <w:top w:val="nil"/>
              <w:left w:val="single" w:sz="4" w:space="0" w:color="auto"/>
              <w:bottom w:val="nil"/>
              <w:right w:val="single" w:sz="4" w:space="0" w:color="auto"/>
            </w:tcBorders>
          </w:tcPr>
          <w:p w14:paraId="0FBB73B0" w14:textId="26C50B28" w:rsidR="009B5808" w:rsidRPr="00B95874" w:rsidRDefault="009B5808" w:rsidP="009B5808">
            <w:pPr>
              <w:jc w:val="right"/>
            </w:pPr>
            <w:r w:rsidRPr="00F27033">
              <w:t>26</w:t>
            </w:r>
          </w:p>
        </w:tc>
        <w:tc>
          <w:tcPr>
            <w:tcW w:w="1276" w:type="dxa"/>
            <w:tcBorders>
              <w:top w:val="nil"/>
              <w:left w:val="single" w:sz="4" w:space="0" w:color="auto"/>
              <w:bottom w:val="nil"/>
              <w:right w:val="single" w:sz="4" w:space="0" w:color="auto"/>
            </w:tcBorders>
          </w:tcPr>
          <w:p w14:paraId="2551DE89" w14:textId="7049D1AC" w:rsidR="009B5808" w:rsidRPr="00B95874" w:rsidRDefault="009B5808" w:rsidP="009B5808">
            <w:pPr>
              <w:jc w:val="right"/>
            </w:pPr>
            <w:r w:rsidRPr="00F27033">
              <w:t>0</w:t>
            </w:r>
          </w:p>
        </w:tc>
        <w:tc>
          <w:tcPr>
            <w:tcW w:w="1134" w:type="dxa"/>
            <w:tcBorders>
              <w:top w:val="nil"/>
              <w:bottom w:val="nil"/>
            </w:tcBorders>
            <w:shd w:val="clear" w:color="auto" w:fill="auto"/>
          </w:tcPr>
          <w:p w14:paraId="50D2FF11" w14:textId="5AFDB303" w:rsidR="009B5808" w:rsidRPr="00B95874" w:rsidRDefault="009B5808" w:rsidP="009B5808">
            <w:pPr>
              <w:jc w:val="right"/>
            </w:pPr>
            <w:r w:rsidRPr="00F27033">
              <w:t>0</w:t>
            </w:r>
          </w:p>
        </w:tc>
        <w:tc>
          <w:tcPr>
            <w:tcW w:w="992" w:type="dxa"/>
            <w:tcBorders>
              <w:top w:val="nil"/>
              <w:bottom w:val="nil"/>
            </w:tcBorders>
            <w:shd w:val="clear" w:color="auto" w:fill="auto"/>
          </w:tcPr>
          <w:p w14:paraId="49900C16" w14:textId="3772792E" w:rsidR="009B5808" w:rsidRDefault="009B5808" w:rsidP="009B5808">
            <w:pPr>
              <w:jc w:val="right"/>
            </w:pPr>
            <w:r w:rsidRPr="00F27033">
              <w:t>x</w:t>
            </w:r>
          </w:p>
        </w:tc>
      </w:tr>
      <w:tr w:rsidR="009B5808" w:rsidRPr="00E8518E" w14:paraId="4649BE6F" w14:textId="77777777" w:rsidTr="0088307E">
        <w:tc>
          <w:tcPr>
            <w:tcW w:w="4280" w:type="dxa"/>
            <w:tcBorders>
              <w:top w:val="nil"/>
              <w:bottom w:val="nil"/>
            </w:tcBorders>
            <w:shd w:val="clear" w:color="auto" w:fill="auto"/>
          </w:tcPr>
          <w:p w14:paraId="31A0D56F" w14:textId="3AA06C96" w:rsidR="009B5808" w:rsidRDefault="009B5808" w:rsidP="009B5808">
            <w:pPr>
              <w:rPr>
                <w:rFonts w:eastAsia="Times New Roman" w:cs="Times New Roman"/>
                <w:i/>
                <w:lang w:eastAsia="cs-CZ"/>
              </w:rPr>
            </w:pPr>
            <w:r w:rsidRPr="00517763">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tcPr>
          <w:p w14:paraId="0228D826" w14:textId="3D79E386" w:rsidR="009B5808" w:rsidRPr="00B95874" w:rsidRDefault="009B5808" w:rsidP="009B5808">
            <w:pPr>
              <w:jc w:val="right"/>
            </w:pPr>
            <w:r w:rsidRPr="00F27033">
              <w:t>4</w:t>
            </w:r>
          </w:p>
        </w:tc>
        <w:tc>
          <w:tcPr>
            <w:tcW w:w="1276" w:type="dxa"/>
            <w:tcBorders>
              <w:top w:val="nil"/>
              <w:left w:val="single" w:sz="4" w:space="0" w:color="auto"/>
              <w:bottom w:val="nil"/>
              <w:right w:val="single" w:sz="4" w:space="0" w:color="auto"/>
            </w:tcBorders>
          </w:tcPr>
          <w:p w14:paraId="73F8CE97" w14:textId="081A58DC" w:rsidR="009B5808" w:rsidRPr="00B95874" w:rsidRDefault="009B5808" w:rsidP="009B5808">
            <w:pPr>
              <w:jc w:val="right"/>
            </w:pPr>
            <w:r w:rsidRPr="00F27033">
              <w:t>0</w:t>
            </w:r>
          </w:p>
        </w:tc>
        <w:tc>
          <w:tcPr>
            <w:tcW w:w="1134" w:type="dxa"/>
            <w:tcBorders>
              <w:top w:val="nil"/>
              <w:bottom w:val="nil"/>
            </w:tcBorders>
            <w:shd w:val="clear" w:color="auto" w:fill="auto"/>
          </w:tcPr>
          <w:p w14:paraId="2B1A7E2E" w14:textId="75CFA6D7" w:rsidR="009B5808" w:rsidRPr="00B95874" w:rsidRDefault="009B5808" w:rsidP="009B5808">
            <w:pPr>
              <w:jc w:val="right"/>
            </w:pPr>
            <w:r w:rsidRPr="00F27033">
              <w:t>0</w:t>
            </w:r>
          </w:p>
        </w:tc>
        <w:tc>
          <w:tcPr>
            <w:tcW w:w="992" w:type="dxa"/>
            <w:tcBorders>
              <w:top w:val="nil"/>
              <w:bottom w:val="nil"/>
            </w:tcBorders>
            <w:shd w:val="clear" w:color="auto" w:fill="auto"/>
          </w:tcPr>
          <w:p w14:paraId="326776EA" w14:textId="0C051918" w:rsidR="009B5808" w:rsidRDefault="009B5808" w:rsidP="009B5808">
            <w:pPr>
              <w:jc w:val="right"/>
            </w:pPr>
            <w:r w:rsidRPr="00F27033">
              <w:t xml:space="preserve">     x</w:t>
            </w:r>
          </w:p>
        </w:tc>
      </w:tr>
      <w:tr w:rsidR="009B5808" w:rsidRPr="00E8518E" w14:paraId="579C5DC5" w14:textId="77777777" w:rsidTr="009B5808">
        <w:tc>
          <w:tcPr>
            <w:tcW w:w="4280" w:type="dxa"/>
            <w:tcBorders>
              <w:top w:val="nil"/>
              <w:bottom w:val="single" w:sz="4" w:space="0" w:color="auto"/>
            </w:tcBorders>
            <w:shd w:val="clear" w:color="auto" w:fill="auto"/>
          </w:tcPr>
          <w:p w14:paraId="25022020" w14:textId="7A077AF6" w:rsidR="009B5808" w:rsidRDefault="009B5808" w:rsidP="009B5808">
            <w:pPr>
              <w:rPr>
                <w:rFonts w:eastAsia="Times New Roman" w:cs="Times New Roman"/>
                <w:i/>
                <w:lang w:eastAsia="cs-CZ"/>
              </w:rPr>
            </w:pPr>
            <w:r w:rsidRPr="00517763">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tcPr>
          <w:p w14:paraId="5D971F79" w14:textId="62492821" w:rsidR="009B5808" w:rsidRPr="00B95874" w:rsidRDefault="009B5808" w:rsidP="009B5808">
            <w:pPr>
              <w:jc w:val="right"/>
            </w:pPr>
            <w:r w:rsidRPr="00F27033">
              <w:t>22</w:t>
            </w:r>
          </w:p>
        </w:tc>
        <w:tc>
          <w:tcPr>
            <w:tcW w:w="1276" w:type="dxa"/>
            <w:tcBorders>
              <w:top w:val="nil"/>
              <w:left w:val="single" w:sz="4" w:space="0" w:color="auto"/>
              <w:bottom w:val="single" w:sz="4" w:space="0" w:color="auto"/>
              <w:right w:val="single" w:sz="4" w:space="0" w:color="auto"/>
            </w:tcBorders>
          </w:tcPr>
          <w:p w14:paraId="099F5979" w14:textId="2B956450" w:rsidR="009B5808" w:rsidRPr="00B95874" w:rsidRDefault="009B5808" w:rsidP="009B5808">
            <w:pPr>
              <w:jc w:val="right"/>
            </w:pPr>
            <w:r w:rsidRPr="00F27033">
              <w:t>0</w:t>
            </w:r>
          </w:p>
        </w:tc>
        <w:tc>
          <w:tcPr>
            <w:tcW w:w="1134" w:type="dxa"/>
            <w:tcBorders>
              <w:top w:val="nil"/>
              <w:bottom w:val="single" w:sz="4" w:space="0" w:color="auto"/>
            </w:tcBorders>
            <w:shd w:val="clear" w:color="auto" w:fill="auto"/>
          </w:tcPr>
          <w:p w14:paraId="41383BBE" w14:textId="1D36213D" w:rsidR="009B5808" w:rsidRPr="00B95874" w:rsidRDefault="009B5808" w:rsidP="009B5808">
            <w:pPr>
              <w:jc w:val="right"/>
            </w:pPr>
            <w:r w:rsidRPr="00F27033">
              <w:t>0</w:t>
            </w:r>
          </w:p>
        </w:tc>
        <w:tc>
          <w:tcPr>
            <w:tcW w:w="992" w:type="dxa"/>
            <w:tcBorders>
              <w:top w:val="nil"/>
              <w:bottom w:val="single" w:sz="4" w:space="0" w:color="auto"/>
            </w:tcBorders>
            <w:shd w:val="clear" w:color="auto" w:fill="auto"/>
          </w:tcPr>
          <w:p w14:paraId="2558B820" w14:textId="03CA1154" w:rsidR="009B5808" w:rsidRDefault="009B5808" w:rsidP="009B5808">
            <w:pPr>
              <w:jc w:val="right"/>
            </w:pPr>
            <w:r w:rsidRPr="00F27033">
              <w:t>x</w:t>
            </w:r>
          </w:p>
        </w:tc>
      </w:tr>
    </w:tbl>
    <w:p w14:paraId="457F7B5D" w14:textId="7424165C" w:rsidR="00BD005E" w:rsidRPr="0088307E" w:rsidRDefault="00BD005E" w:rsidP="00BD005E">
      <w:pPr>
        <w:pStyle w:val="Styl1"/>
      </w:pPr>
      <w:r w:rsidRPr="0088307E">
        <w:t>Návrh roz</w:t>
      </w:r>
      <w:r w:rsidR="002C1194">
        <w:t>počtu běžných výdajů na rok 2023</w:t>
      </w:r>
      <w:r w:rsidRPr="0088307E">
        <w:t xml:space="preserve"> je ve srovnání se </w:t>
      </w:r>
      <w:r w:rsidR="002C1194">
        <w:t>schváleným rozpočtem na rok 2022</w:t>
      </w:r>
      <w:r w:rsidRPr="0088307E">
        <w:t xml:space="preserve"> o </w:t>
      </w:r>
      <w:r w:rsidR="003375E9">
        <w:t>5 269</w:t>
      </w:r>
      <w:r w:rsidRPr="0088307E">
        <w:t xml:space="preserve">  tis. Kč </w:t>
      </w:r>
      <w:r w:rsidR="00A312BB" w:rsidRPr="0088307E">
        <w:t>vyšší</w:t>
      </w:r>
      <w:r w:rsidRPr="0088307E">
        <w:t xml:space="preserve">. Do </w:t>
      </w:r>
      <w:r w:rsidR="00A312BB" w:rsidRPr="0088307E">
        <w:t xml:space="preserve">zvýšení </w:t>
      </w:r>
      <w:r w:rsidRPr="0088307E">
        <w:t xml:space="preserve">je promítnut </w:t>
      </w:r>
      <w:r w:rsidR="00A312BB" w:rsidRPr="0088307E">
        <w:t xml:space="preserve">nárůst ostatních plateb za provedenou práci </w:t>
      </w:r>
      <w:r w:rsidRPr="0088307E">
        <w:t xml:space="preserve">včetně příslušenství </w:t>
      </w:r>
      <w:r w:rsidR="005C3EBD">
        <w:t xml:space="preserve">ve výši 114 tis. Kč </w:t>
      </w:r>
      <w:r w:rsidR="002F0A07" w:rsidRPr="0088307E">
        <w:t xml:space="preserve">na pokrytí nákladů externích pracovníků, vykonávajících ověřování praktických dovedností potřebných k vedení a obsluze plavidel či k výkonu jiných </w:t>
      </w:r>
      <w:proofErr w:type="spellStart"/>
      <w:r w:rsidR="002F0A07" w:rsidRPr="0088307E">
        <w:t>odborých</w:t>
      </w:r>
      <w:proofErr w:type="spellEnd"/>
      <w:r w:rsidR="002F0A07" w:rsidRPr="0088307E">
        <w:t xml:space="preserve"> činností ve vnitrozemské dopravě. </w:t>
      </w:r>
      <w:r w:rsidR="003375E9">
        <w:t xml:space="preserve">Do zvýšení je také zahrnuto navýšení platů včetně příslušenství o 3 206 tis. Kč (detailněji viz oddíl 3.2.2 </w:t>
      </w:r>
      <w:r w:rsidR="003375E9" w:rsidRPr="003375E9">
        <w:t xml:space="preserve">Výdaje na platy </w:t>
      </w:r>
      <w:r w:rsidR="005C3EBD">
        <w:br/>
      </w:r>
      <w:r w:rsidR="003375E9" w:rsidRPr="003375E9">
        <w:t>a počty pracovníků za OSS a PO</w:t>
      </w:r>
      <w:r w:rsidR="003375E9">
        <w:t xml:space="preserve">). Navýšení </w:t>
      </w:r>
      <w:proofErr w:type="spellStart"/>
      <w:r w:rsidR="003375E9">
        <w:t>rozvněž</w:t>
      </w:r>
      <w:proofErr w:type="spellEnd"/>
      <w:r w:rsidR="003375E9">
        <w:t xml:space="preserve"> obsahuje zvýšení výdajů na energie ve výši 1 949 tis. Kč. </w:t>
      </w:r>
    </w:p>
    <w:p w14:paraId="46C0DEEA" w14:textId="247E2182" w:rsidR="002C6533" w:rsidRPr="00B2170F" w:rsidRDefault="002C6533" w:rsidP="002C6533">
      <w:pPr>
        <w:pStyle w:val="Styl1"/>
        <w:rPr>
          <w:color w:val="FF0000"/>
        </w:rPr>
      </w:pPr>
      <w:r w:rsidRPr="003F730C">
        <w:t xml:space="preserve">Z celkového objemu běžných výdajů tvoří největší položku výdaje na platy a ostatní platby </w:t>
      </w:r>
      <w:r w:rsidRPr="003F730C">
        <w:br/>
        <w:t xml:space="preserve">za provedenou práci, které jsou navrhovány ve výši </w:t>
      </w:r>
      <w:r w:rsidR="003375E9">
        <w:t>41 868</w:t>
      </w:r>
      <w:r w:rsidRPr="003F730C">
        <w:t xml:space="preserve"> tis</w:t>
      </w:r>
      <w:r w:rsidRPr="003A01D1">
        <w:t>. Kč</w:t>
      </w:r>
      <w:r w:rsidRPr="00F55AD6">
        <w:t xml:space="preserve">. </w:t>
      </w:r>
    </w:p>
    <w:p w14:paraId="30E80272" w14:textId="77777777" w:rsidR="003B4B26" w:rsidRDefault="002C6533" w:rsidP="0088307E">
      <w:pPr>
        <w:pStyle w:val="Styl1"/>
      </w:pPr>
      <w:r w:rsidRPr="003F730C">
        <w:t xml:space="preserve">Na ostatní běžné výdaje je alokováno </w:t>
      </w:r>
      <w:r w:rsidR="003375E9">
        <w:t>19 145</w:t>
      </w:r>
      <w:r w:rsidRPr="003F730C">
        <w:t xml:space="preserve"> tis. Kč. Ty jsou určeny především k zabezpečení činností a úkolů vyplývajících z předmětných zákonů a dále na krytí výdajů spojených s činnostmi, které organizace provádí v rámci jí delegovaných činností, jako </w:t>
      </w:r>
      <w:r w:rsidRPr="003F730C">
        <w:br/>
        <w:t xml:space="preserve">je např. agenda normalizace v oblasti vodní dopravy a zastupování v Mezinárodní plavební asociaci – PIANC. Dále jsou prostředky určeny na činnosti, které přímo souvisí s vlastní realizací opatření k vydávání plavecké služební knížky, s odborným školením v otázkách mezinárodní plavby a bezpečnosti plavby na vodních cestách zemí EU, se zabezpečením úkolů vyplývajících z novely zákona č. 114/1995 Sb., o vnitrozemské plavbě, pro zajištění „Říčního informačního systému – LAVDIS“, a s vydáváním a kontrolou knihy o odběru zaolejovaných vod na plavidlech, která je stanovena vyhláškou MDS č. 223/1995 Sb. </w:t>
      </w:r>
    </w:p>
    <w:p w14:paraId="777D894C" w14:textId="77777777" w:rsidR="002C6533" w:rsidRPr="00035CD3" w:rsidRDefault="002C6533" w:rsidP="0088307E">
      <w:pPr>
        <w:pStyle w:val="Styl1"/>
      </w:pPr>
      <w:r w:rsidRPr="00A851ED">
        <w:t xml:space="preserve">Počet zaměstnanců organizace pro rok 2023 je ve výši 85, tj. na úrovni roku 2022, v tom 16 zaměstnanců v pracovním poměru a 69 státních zaměstnanců. </w:t>
      </w:r>
    </w:p>
    <w:p w14:paraId="0DF451D8" w14:textId="77777777" w:rsidR="00BD28A7" w:rsidRPr="0088307E" w:rsidRDefault="00BD28A7" w:rsidP="00A66629">
      <w:pPr>
        <w:pStyle w:val="Nadpis9"/>
      </w:pPr>
      <w:r w:rsidRPr="0088307E">
        <w:t xml:space="preserve">Drážní úřad </w:t>
      </w:r>
    </w:p>
    <w:p w14:paraId="5F85E5AB" w14:textId="3B4D4206" w:rsidR="00C07453" w:rsidRDefault="00115B57" w:rsidP="00115B57">
      <w:pPr>
        <w:pStyle w:val="Styl1"/>
      </w:pPr>
      <w:bookmarkStart w:id="162" w:name="_Toc462314393"/>
      <w:r w:rsidRPr="00252FF8">
        <w:t>Drážní úřad byl zřízen</w:t>
      </w:r>
      <w:r>
        <w:t xml:space="preserve"> k </w:t>
      </w:r>
      <w:proofErr w:type="gramStart"/>
      <w:r>
        <w:t>1.1.1995</w:t>
      </w:r>
      <w:proofErr w:type="gramEnd"/>
      <w:r w:rsidRPr="00252FF8">
        <w:t xml:space="preserve"> zákonem č. 266/1994 Sb., o dráhách, ve znění pozdějších předpisů, jako správní úřad a orgán státní správy podřízený Ministerstvu dopravy. Mezi jeho hlavní činnosti patří zejména schvalování typu drážních vozidel, schvalování způsobilosti drážních vozidel a určených technických zařízení, vydávání průkazů způsobilosti drážních vozidel a určených technických zařízení, provádění zkoušek a vydávání průkazů způsobilosti k řízení drážních vozidel, výkon státní správy, státního dozoru a státního stavebního dohledu v úseku stavební činnosti a vydávání licencí a úředních povolení k provozování drážní dopravy.</w:t>
      </w:r>
    </w:p>
    <w:p w14:paraId="1DEAAAF6" w14:textId="77777777" w:rsidR="00C07453" w:rsidRDefault="00C07453">
      <w:pPr>
        <w:spacing w:after="160"/>
        <w:jc w:val="left"/>
        <w:rPr>
          <w:rFonts w:eastAsia="Times New Roman" w:cs="Times New Roman"/>
          <w:iCs/>
          <w:szCs w:val="24"/>
          <w:lang w:eastAsia="cs-CZ"/>
        </w:rPr>
      </w:pPr>
      <w:r>
        <w:br w:type="page"/>
      </w:r>
    </w:p>
    <w:p w14:paraId="2EC8B288" w14:textId="27BCAF8B" w:rsidR="00115B57" w:rsidRPr="00252FF8" w:rsidRDefault="00115B57" w:rsidP="00115B57">
      <w:pPr>
        <w:pStyle w:val="Titulek"/>
      </w:pPr>
      <w:r w:rsidRPr="00252FF8">
        <w:t xml:space="preserve">Tabulka č. </w:t>
      </w:r>
      <w:r w:rsidRPr="00252FF8">
        <w:rPr>
          <w:noProof/>
        </w:rPr>
        <w:fldChar w:fldCharType="begin"/>
      </w:r>
      <w:r w:rsidRPr="00252FF8">
        <w:rPr>
          <w:noProof/>
        </w:rPr>
        <w:instrText xml:space="preserve"> SEQ Tabulka \* ARABIC </w:instrText>
      </w:r>
      <w:r w:rsidRPr="00252FF8">
        <w:rPr>
          <w:noProof/>
        </w:rPr>
        <w:fldChar w:fldCharType="separate"/>
      </w:r>
      <w:r w:rsidR="00F80947">
        <w:rPr>
          <w:noProof/>
        </w:rPr>
        <w:t>12</w:t>
      </w:r>
      <w:r w:rsidRPr="00252FF8">
        <w:rPr>
          <w:noProof/>
        </w:rPr>
        <w:fldChar w:fldCharType="end"/>
      </w:r>
      <w:r w:rsidRPr="00252FF8">
        <w:t xml:space="preserve"> Drážní úřad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26"/>
        <w:gridCol w:w="1337"/>
        <w:gridCol w:w="1261"/>
        <w:gridCol w:w="1132"/>
        <w:gridCol w:w="1006"/>
      </w:tblGrid>
      <w:tr w:rsidR="00115B57" w:rsidRPr="00252FF8" w14:paraId="636831DE" w14:textId="77777777" w:rsidTr="00DC64B4">
        <w:trPr>
          <w:trHeight w:val="276"/>
        </w:trPr>
        <w:tc>
          <w:tcPr>
            <w:tcW w:w="432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475CF70"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Ukazatel</w:t>
            </w:r>
          </w:p>
        </w:tc>
        <w:tc>
          <w:tcPr>
            <w:tcW w:w="1337"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6A3F932"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Skutečnost</w:t>
            </w:r>
          </w:p>
          <w:p w14:paraId="2B9BB028"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20</w:t>
            </w:r>
            <w:r>
              <w:rPr>
                <w:rFonts w:eastAsia="Times New Roman" w:cs="Times New Roman"/>
                <w:b/>
                <w:szCs w:val="24"/>
                <w:lang w:eastAsia="cs-CZ"/>
              </w:rPr>
              <w:t>21</w:t>
            </w:r>
          </w:p>
        </w:tc>
        <w:tc>
          <w:tcPr>
            <w:tcW w:w="1261"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C1C2D4"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Schválený</w:t>
            </w:r>
          </w:p>
          <w:p w14:paraId="3A5BFFC1"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rozpočet</w:t>
            </w:r>
          </w:p>
          <w:p w14:paraId="766F668D"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202</w:t>
            </w:r>
            <w:r>
              <w:rPr>
                <w:rFonts w:eastAsia="Times New Roman" w:cs="Times New Roman"/>
                <w:b/>
                <w:szCs w:val="24"/>
                <w:lang w:eastAsia="cs-CZ"/>
              </w:rPr>
              <w:t>2</w:t>
            </w:r>
          </w:p>
        </w:tc>
        <w:tc>
          <w:tcPr>
            <w:tcW w:w="1132"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ABE2E74"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Návrh</w:t>
            </w:r>
          </w:p>
          <w:p w14:paraId="5D08DC19"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rozpočtu</w:t>
            </w:r>
          </w:p>
          <w:p w14:paraId="37F0A19F"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202</w:t>
            </w:r>
            <w:r>
              <w:rPr>
                <w:rFonts w:eastAsia="Times New Roman" w:cs="Times New Roman"/>
                <w:b/>
                <w:szCs w:val="24"/>
                <w:lang w:eastAsia="cs-CZ"/>
              </w:rPr>
              <w:t>3</w:t>
            </w:r>
          </w:p>
        </w:tc>
        <w:tc>
          <w:tcPr>
            <w:tcW w:w="1006" w:type="dxa"/>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57511E0"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Index</w:t>
            </w:r>
          </w:p>
          <w:p w14:paraId="173B924C" w14:textId="77777777" w:rsidR="00115B57" w:rsidRPr="00252FF8" w:rsidRDefault="00115B57" w:rsidP="00DC64B4">
            <w:pPr>
              <w:jc w:val="center"/>
              <w:rPr>
                <w:rFonts w:eastAsia="Times New Roman" w:cs="Times New Roman"/>
                <w:b/>
                <w:szCs w:val="24"/>
                <w:lang w:eastAsia="cs-CZ"/>
              </w:rPr>
            </w:pPr>
            <w:r w:rsidRPr="00252FF8">
              <w:rPr>
                <w:rFonts w:eastAsia="Times New Roman" w:cs="Times New Roman"/>
                <w:b/>
                <w:szCs w:val="24"/>
                <w:lang w:eastAsia="cs-CZ"/>
              </w:rPr>
              <w:t>202</w:t>
            </w:r>
            <w:r>
              <w:rPr>
                <w:rFonts w:eastAsia="Times New Roman" w:cs="Times New Roman"/>
                <w:b/>
                <w:szCs w:val="24"/>
                <w:lang w:eastAsia="cs-CZ"/>
              </w:rPr>
              <w:t>3</w:t>
            </w:r>
            <w:r w:rsidRPr="00252FF8">
              <w:rPr>
                <w:rFonts w:eastAsia="Times New Roman" w:cs="Times New Roman"/>
                <w:b/>
                <w:szCs w:val="24"/>
                <w:lang w:eastAsia="cs-CZ"/>
              </w:rPr>
              <w:t>/</w:t>
            </w:r>
            <w:r w:rsidRPr="00252FF8">
              <w:rPr>
                <w:rFonts w:eastAsia="Times New Roman" w:cs="Times New Roman"/>
                <w:b/>
                <w:szCs w:val="24"/>
                <w:lang w:eastAsia="cs-CZ"/>
              </w:rPr>
              <w:br/>
              <w:t>202</w:t>
            </w:r>
            <w:r>
              <w:rPr>
                <w:rFonts w:eastAsia="Times New Roman" w:cs="Times New Roman"/>
                <w:b/>
                <w:szCs w:val="24"/>
                <w:lang w:eastAsia="cs-CZ"/>
              </w:rPr>
              <w:t>2</w:t>
            </w:r>
            <w:r w:rsidRPr="00252FF8">
              <w:rPr>
                <w:rFonts w:eastAsia="Times New Roman" w:cs="Times New Roman"/>
                <w:b/>
                <w:szCs w:val="24"/>
                <w:lang w:eastAsia="cs-CZ"/>
              </w:rPr>
              <w:t xml:space="preserve"> </w:t>
            </w:r>
            <w:r w:rsidRPr="00252FF8">
              <w:rPr>
                <w:rFonts w:eastAsia="Times New Roman" w:cs="Times New Roman"/>
                <w:b/>
                <w:szCs w:val="24"/>
                <w:lang w:eastAsia="cs-CZ"/>
              </w:rPr>
              <w:br/>
              <w:t>(v %)</w:t>
            </w:r>
          </w:p>
        </w:tc>
      </w:tr>
      <w:tr w:rsidR="00115B57" w:rsidRPr="00252FF8" w14:paraId="667645FE" w14:textId="77777777" w:rsidTr="00DC64B4">
        <w:trPr>
          <w:trHeight w:val="63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F4DFDB2" w14:textId="77777777" w:rsidR="00115B57" w:rsidRPr="00252FF8" w:rsidRDefault="00115B57" w:rsidP="00DC64B4">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E0A6CA8" w14:textId="77777777" w:rsidR="00115B57" w:rsidRPr="00252FF8" w:rsidRDefault="00115B57" w:rsidP="00DC64B4">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0F73E73" w14:textId="77777777" w:rsidR="00115B57" w:rsidRPr="00252FF8" w:rsidRDefault="00115B57" w:rsidP="00DC64B4">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8239E51" w14:textId="77777777" w:rsidR="00115B57" w:rsidRPr="00252FF8" w:rsidRDefault="00115B57" w:rsidP="00DC64B4">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97D496A" w14:textId="77777777" w:rsidR="00115B57" w:rsidRPr="00252FF8" w:rsidRDefault="00115B57" w:rsidP="00DC64B4">
            <w:pPr>
              <w:rPr>
                <w:rFonts w:eastAsia="Times New Roman" w:cs="Times New Roman"/>
                <w:lang w:eastAsia="cs-CZ"/>
              </w:rPr>
            </w:pPr>
          </w:p>
        </w:tc>
      </w:tr>
      <w:tr w:rsidR="00115B57" w:rsidRPr="00252FF8" w14:paraId="70BB4383" w14:textId="77777777" w:rsidTr="00DC64B4">
        <w:trPr>
          <w:trHeight w:val="276"/>
        </w:trPr>
        <w:tc>
          <w:tcPr>
            <w:tcW w:w="432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267FCFC" w14:textId="77777777" w:rsidR="00115B57" w:rsidRPr="00252FF8" w:rsidRDefault="00115B57" w:rsidP="00DC64B4">
            <w:pPr>
              <w:rPr>
                <w:rFonts w:eastAsia="Times New Roman" w:cs="Times New Roman"/>
                <w:lang w:eastAsia="cs-CZ"/>
              </w:rPr>
            </w:pPr>
          </w:p>
        </w:tc>
        <w:tc>
          <w:tcPr>
            <w:tcW w:w="1337"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A6135F9" w14:textId="77777777" w:rsidR="00115B57" w:rsidRPr="00252FF8" w:rsidRDefault="00115B57" w:rsidP="00DC64B4">
            <w:pPr>
              <w:rPr>
                <w:rFonts w:eastAsia="Times New Roman" w:cs="Times New Roman"/>
                <w:lang w:eastAsia="cs-CZ"/>
              </w:rPr>
            </w:pPr>
          </w:p>
        </w:tc>
        <w:tc>
          <w:tcPr>
            <w:tcW w:w="1261"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E6076EA" w14:textId="77777777" w:rsidR="00115B57" w:rsidRPr="00252FF8" w:rsidRDefault="00115B57" w:rsidP="00DC64B4">
            <w:pPr>
              <w:rPr>
                <w:rFonts w:eastAsia="Times New Roman" w:cs="Times New Roman"/>
                <w:lang w:eastAsia="cs-CZ"/>
              </w:rPr>
            </w:pPr>
          </w:p>
        </w:tc>
        <w:tc>
          <w:tcPr>
            <w:tcW w:w="1132"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5BEA03D" w14:textId="77777777" w:rsidR="00115B57" w:rsidRPr="00252FF8" w:rsidRDefault="00115B57" w:rsidP="00DC64B4">
            <w:pPr>
              <w:rPr>
                <w:rFonts w:eastAsia="Times New Roman" w:cs="Times New Roman"/>
                <w:lang w:eastAsia="cs-CZ"/>
              </w:rPr>
            </w:pPr>
          </w:p>
        </w:tc>
        <w:tc>
          <w:tcPr>
            <w:tcW w:w="1006" w:type="dxa"/>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D16049A" w14:textId="77777777" w:rsidR="00115B57" w:rsidRPr="00252FF8" w:rsidRDefault="00115B57" w:rsidP="00DC64B4">
            <w:pPr>
              <w:rPr>
                <w:rFonts w:eastAsia="Times New Roman" w:cs="Times New Roman"/>
                <w:lang w:eastAsia="cs-CZ"/>
              </w:rPr>
            </w:pPr>
          </w:p>
        </w:tc>
      </w:tr>
      <w:tr w:rsidR="00115B57" w:rsidRPr="00252FF8" w14:paraId="37825536" w14:textId="77777777" w:rsidTr="00DC64B4">
        <w:trPr>
          <w:trHeight w:val="300"/>
        </w:trPr>
        <w:tc>
          <w:tcPr>
            <w:tcW w:w="4326" w:type="dxa"/>
            <w:tcBorders>
              <w:top w:val="single" w:sz="4" w:space="0" w:color="7F7F7F" w:themeColor="text1" w:themeTint="80"/>
              <w:bottom w:val="single" w:sz="8" w:space="0" w:color="7F7F7F" w:themeColor="text1" w:themeTint="80"/>
            </w:tcBorders>
            <w:shd w:val="clear" w:color="auto" w:fill="auto"/>
          </w:tcPr>
          <w:p w14:paraId="5B19E1F0" w14:textId="77777777" w:rsidR="00115B57" w:rsidRPr="00252FF8" w:rsidRDefault="00115B57" w:rsidP="00DC64B4">
            <w:pPr>
              <w:jc w:val="center"/>
              <w:rPr>
                <w:rFonts w:eastAsia="Times New Roman" w:cs="Times New Roman"/>
                <w:lang w:eastAsia="cs-CZ"/>
              </w:rPr>
            </w:pPr>
            <w:r w:rsidRPr="00252FF8">
              <w:rPr>
                <w:rFonts w:eastAsia="Times New Roman" w:cs="Times New Roman"/>
                <w:lang w:eastAsia="cs-CZ"/>
              </w:rPr>
              <w:t>a</w:t>
            </w:r>
          </w:p>
        </w:tc>
        <w:tc>
          <w:tcPr>
            <w:tcW w:w="1337" w:type="dxa"/>
            <w:tcBorders>
              <w:top w:val="single" w:sz="4" w:space="0" w:color="7F7F7F" w:themeColor="text1" w:themeTint="80"/>
              <w:bottom w:val="single" w:sz="8" w:space="0" w:color="7F7F7F" w:themeColor="text1" w:themeTint="80"/>
            </w:tcBorders>
            <w:shd w:val="clear" w:color="auto" w:fill="auto"/>
          </w:tcPr>
          <w:p w14:paraId="0AFD9D04" w14:textId="77777777" w:rsidR="00115B57" w:rsidRPr="00252FF8" w:rsidRDefault="00115B57" w:rsidP="00DC64B4">
            <w:pPr>
              <w:jc w:val="center"/>
              <w:rPr>
                <w:rFonts w:eastAsia="Times New Roman" w:cs="Times New Roman"/>
                <w:lang w:eastAsia="cs-CZ"/>
              </w:rPr>
            </w:pPr>
            <w:r w:rsidRPr="00252FF8">
              <w:rPr>
                <w:rFonts w:eastAsia="Times New Roman" w:cs="Times New Roman"/>
                <w:lang w:eastAsia="cs-CZ"/>
              </w:rPr>
              <w:t>1</w:t>
            </w:r>
          </w:p>
        </w:tc>
        <w:tc>
          <w:tcPr>
            <w:tcW w:w="1261" w:type="dxa"/>
            <w:tcBorders>
              <w:top w:val="single" w:sz="4" w:space="0" w:color="7F7F7F" w:themeColor="text1" w:themeTint="80"/>
              <w:bottom w:val="single" w:sz="8" w:space="0" w:color="7F7F7F" w:themeColor="text1" w:themeTint="80"/>
            </w:tcBorders>
            <w:shd w:val="clear" w:color="auto" w:fill="auto"/>
          </w:tcPr>
          <w:p w14:paraId="3E7D5A5A" w14:textId="77777777" w:rsidR="00115B57" w:rsidRPr="00252FF8" w:rsidRDefault="00115B57" w:rsidP="00DC64B4">
            <w:pPr>
              <w:jc w:val="center"/>
              <w:rPr>
                <w:rFonts w:eastAsia="Times New Roman" w:cs="Times New Roman"/>
                <w:lang w:eastAsia="cs-CZ"/>
              </w:rPr>
            </w:pPr>
            <w:r w:rsidRPr="00252FF8">
              <w:rPr>
                <w:rFonts w:eastAsia="Times New Roman" w:cs="Times New Roman"/>
                <w:lang w:eastAsia="cs-CZ"/>
              </w:rPr>
              <w:t>2</w:t>
            </w:r>
          </w:p>
        </w:tc>
        <w:tc>
          <w:tcPr>
            <w:tcW w:w="1132" w:type="dxa"/>
            <w:tcBorders>
              <w:top w:val="single" w:sz="4" w:space="0" w:color="7F7F7F" w:themeColor="text1" w:themeTint="80"/>
              <w:bottom w:val="single" w:sz="8" w:space="0" w:color="7F7F7F" w:themeColor="text1" w:themeTint="80"/>
            </w:tcBorders>
            <w:shd w:val="clear" w:color="auto" w:fill="auto"/>
          </w:tcPr>
          <w:p w14:paraId="69FFF580" w14:textId="77777777" w:rsidR="00115B57" w:rsidRPr="00252FF8" w:rsidRDefault="00115B57" w:rsidP="00DC64B4">
            <w:pPr>
              <w:jc w:val="center"/>
              <w:rPr>
                <w:rFonts w:eastAsia="Times New Roman" w:cs="Times New Roman"/>
                <w:lang w:eastAsia="cs-CZ"/>
              </w:rPr>
            </w:pPr>
            <w:r w:rsidRPr="00252FF8">
              <w:rPr>
                <w:rFonts w:eastAsia="Times New Roman" w:cs="Times New Roman"/>
                <w:lang w:eastAsia="cs-CZ"/>
              </w:rPr>
              <w:t>3</w:t>
            </w:r>
          </w:p>
        </w:tc>
        <w:tc>
          <w:tcPr>
            <w:tcW w:w="1006" w:type="dxa"/>
            <w:tcBorders>
              <w:top w:val="single" w:sz="4" w:space="0" w:color="7F7F7F" w:themeColor="text1" w:themeTint="80"/>
              <w:bottom w:val="single" w:sz="8" w:space="0" w:color="7F7F7F" w:themeColor="text1" w:themeTint="80"/>
            </w:tcBorders>
            <w:shd w:val="clear" w:color="auto" w:fill="auto"/>
          </w:tcPr>
          <w:p w14:paraId="1B7A224B" w14:textId="77777777" w:rsidR="00115B57" w:rsidRPr="00252FF8" w:rsidRDefault="00115B57" w:rsidP="00DC64B4">
            <w:pPr>
              <w:jc w:val="center"/>
              <w:rPr>
                <w:rFonts w:eastAsia="Times New Roman" w:cs="Times New Roman"/>
                <w:lang w:eastAsia="cs-CZ"/>
              </w:rPr>
            </w:pPr>
            <w:r w:rsidRPr="00252FF8">
              <w:rPr>
                <w:rFonts w:eastAsia="Times New Roman" w:cs="Times New Roman"/>
                <w:lang w:eastAsia="cs-CZ"/>
              </w:rPr>
              <w:t>4</w:t>
            </w:r>
          </w:p>
        </w:tc>
      </w:tr>
      <w:tr w:rsidR="00115B57" w:rsidRPr="00252FF8" w14:paraId="01B8B9F1" w14:textId="77777777" w:rsidTr="00DC64B4">
        <w:trPr>
          <w:trHeight w:val="309"/>
        </w:trPr>
        <w:tc>
          <w:tcPr>
            <w:tcW w:w="4326" w:type="dxa"/>
            <w:tcBorders>
              <w:top w:val="single" w:sz="8" w:space="0" w:color="7F7F7F" w:themeColor="text1" w:themeTint="80"/>
              <w:bottom w:val="single" w:sz="8" w:space="0" w:color="7F7F7F" w:themeColor="text1" w:themeTint="80"/>
            </w:tcBorders>
            <w:shd w:val="clear" w:color="auto" w:fill="auto"/>
          </w:tcPr>
          <w:p w14:paraId="1E0BDAC7" w14:textId="77777777" w:rsidR="00115B57" w:rsidRPr="00252FF8" w:rsidRDefault="00115B57" w:rsidP="00DC64B4">
            <w:pPr>
              <w:spacing w:before="40"/>
              <w:rPr>
                <w:rFonts w:eastAsia="Times New Roman" w:cs="Times New Roman"/>
                <w:b/>
                <w:bCs/>
                <w:lang w:eastAsia="cs-CZ"/>
              </w:rPr>
            </w:pPr>
            <w:r w:rsidRPr="00252FF8">
              <w:rPr>
                <w:rFonts w:eastAsia="Times New Roman" w:cs="Times New Roman"/>
                <w:b/>
                <w:bCs/>
                <w:lang w:eastAsia="cs-CZ"/>
              </w:rPr>
              <w:t xml:space="preserve">Běžné výdaje </w:t>
            </w:r>
            <w:r w:rsidRPr="00252FF8">
              <w:rPr>
                <w:rFonts w:eastAsia="Times New Roman" w:cs="Times New Roman"/>
                <w:bCs/>
                <w:lang w:eastAsia="cs-CZ"/>
              </w:rPr>
              <w:t>v tom:</w:t>
            </w:r>
          </w:p>
        </w:tc>
        <w:tc>
          <w:tcPr>
            <w:tcW w:w="1337" w:type="dxa"/>
            <w:tcBorders>
              <w:top w:val="single" w:sz="8" w:space="0" w:color="7F7F7F" w:themeColor="text1" w:themeTint="80"/>
              <w:bottom w:val="single" w:sz="8" w:space="0" w:color="7F7F7F" w:themeColor="text1" w:themeTint="80"/>
            </w:tcBorders>
            <w:shd w:val="clear" w:color="auto" w:fill="auto"/>
          </w:tcPr>
          <w:p w14:paraId="47D4B5D2" w14:textId="77777777" w:rsidR="00115B57" w:rsidRPr="00252FF8" w:rsidRDefault="00115B57" w:rsidP="00DC64B4">
            <w:pPr>
              <w:spacing w:before="40"/>
              <w:jc w:val="right"/>
              <w:rPr>
                <w:rFonts w:eastAsia="Times New Roman" w:cs="Times New Roman"/>
                <w:b/>
                <w:bCs/>
                <w:lang w:eastAsia="cs-CZ"/>
              </w:rPr>
            </w:pPr>
            <w:r w:rsidRPr="00252FF8">
              <w:rPr>
                <w:rFonts w:eastAsia="Times New Roman" w:cs="Times New Roman"/>
                <w:b/>
                <w:bCs/>
                <w:lang w:eastAsia="cs-CZ"/>
              </w:rPr>
              <w:t>10</w:t>
            </w:r>
            <w:r>
              <w:rPr>
                <w:rFonts w:eastAsia="Times New Roman" w:cs="Times New Roman"/>
                <w:b/>
                <w:bCs/>
                <w:lang w:eastAsia="cs-CZ"/>
              </w:rPr>
              <w:t>2</w:t>
            </w:r>
            <w:r w:rsidRPr="00252FF8">
              <w:rPr>
                <w:rFonts w:eastAsia="Times New Roman" w:cs="Times New Roman"/>
                <w:b/>
                <w:bCs/>
                <w:lang w:eastAsia="cs-CZ"/>
              </w:rPr>
              <w:t xml:space="preserve"> </w:t>
            </w:r>
            <w:r>
              <w:rPr>
                <w:rFonts w:eastAsia="Times New Roman" w:cs="Times New Roman"/>
                <w:b/>
                <w:bCs/>
                <w:lang w:eastAsia="cs-CZ"/>
              </w:rPr>
              <w:t>418</w:t>
            </w:r>
          </w:p>
        </w:tc>
        <w:tc>
          <w:tcPr>
            <w:tcW w:w="1261" w:type="dxa"/>
            <w:tcBorders>
              <w:top w:val="single" w:sz="8" w:space="0" w:color="7F7F7F" w:themeColor="text1" w:themeTint="80"/>
              <w:bottom w:val="single" w:sz="8" w:space="0" w:color="7F7F7F" w:themeColor="text1" w:themeTint="80"/>
            </w:tcBorders>
            <w:shd w:val="clear" w:color="auto" w:fill="auto"/>
          </w:tcPr>
          <w:p w14:paraId="4650159A" w14:textId="77777777" w:rsidR="00115B57" w:rsidRPr="00252FF8" w:rsidRDefault="00115B57" w:rsidP="00DC64B4">
            <w:pPr>
              <w:spacing w:before="40"/>
              <w:jc w:val="right"/>
              <w:rPr>
                <w:rFonts w:eastAsia="Times New Roman" w:cs="Times New Roman"/>
                <w:b/>
                <w:bCs/>
                <w:lang w:eastAsia="cs-CZ"/>
              </w:rPr>
            </w:pPr>
            <w:r w:rsidRPr="00252FF8">
              <w:rPr>
                <w:rFonts w:eastAsia="Times New Roman" w:cs="Times New Roman"/>
                <w:b/>
                <w:bCs/>
                <w:lang w:eastAsia="cs-CZ"/>
              </w:rPr>
              <w:t>10</w:t>
            </w:r>
            <w:r>
              <w:rPr>
                <w:rFonts w:eastAsia="Times New Roman" w:cs="Times New Roman"/>
                <w:b/>
                <w:bCs/>
                <w:lang w:eastAsia="cs-CZ"/>
              </w:rPr>
              <w:t>2</w:t>
            </w:r>
            <w:r w:rsidRPr="00252FF8">
              <w:rPr>
                <w:rFonts w:eastAsia="Times New Roman" w:cs="Times New Roman"/>
                <w:b/>
                <w:bCs/>
                <w:lang w:eastAsia="cs-CZ"/>
              </w:rPr>
              <w:t xml:space="preserve"> </w:t>
            </w:r>
            <w:r>
              <w:rPr>
                <w:rFonts w:eastAsia="Times New Roman" w:cs="Times New Roman"/>
                <w:b/>
                <w:bCs/>
                <w:lang w:eastAsia="cs-CZ"/>
              </w:rPr>
              <w:t>359</w:t>
            </w:r>
          </w:p>
        </w:tc>
        <w:tc>
          <w:tcPr>
            <w:tcW w:w="1132" w:type="dxa"/>
            <w:tcBorders>
              <w:top w:val="single" w:sz="8" w:space="0" w:color="7F7F7F" w:themeColor="text1" w:themeTint="80"/>
              <w:bottom w:val="single" w:sz="8" w:space="0" w:color="7F7F7F" w:themeColor="text1" w:themeTint="80"/>
            </w:tcBorders>
            <w:shd w:val="clear" w:color="auto" w:fill="auto"/>
          </w:tcPr>
          <w:p w14:paraId="09598665" w14:textId="77777777" w:rsidR="00115B57" w:rsidRPr="00C75806" w:rsidRDefault="00115B57" w:rsidP="00DC64B4">
            <w:pPr>
              <w:spacing w:before="40"/>
              <w:jc w:val="right"/>
              <w:rPr>
                <w:rFonts w:eastAsia="Times New Roman" w:cs="Times New Roman"/>
                <w:b/>
                <w:bCs/>
                <w:color w:val="2E74B5" w:themeColor="accent1" w:themeShade="BF"/>
                <w:lang w:eastAsia="cs-CZ"/>
              </w:rPr>
            </w:pPr>
            <w:r w:rsidRPr="00FF16C6">
              <w:rPr>
                <w:rFonts w:eastAsia="Times New Roman" w:cs="Times New Roman"/>
                <w:b/>
                <w:bCs/>
                <w:lang w:eastAsia="cs-CZ"/>
              </w:rPr>
              <w:t>107 840</w:t>
            </w:r>
          </w:p>
        </w:tc>
        <w:tc>
          <w:tcPr>
            <w:tcW w:w="1006" w:type="dxa"/>
            <w:tcBorders>
              <w:top w:val="single" w:sz="8" w:space="0" w:color="7F7F7F" w:themeColor="text1" w:themeTint="80"/>
              <w:bottom w:val="single" w:sz="8" w:space="0" w:color="7F7F7F" w:themeColor="text1" w:themeTint="80"/>
            </w:tcBorders>
            <w:shd w:val="clear" w:color="auto" w:fill="auto"/>
          </w:tcPr>
          <w:p w14:paraId="4A85952D" w14:textId="77777777" w:rsidR="00115B57" w:rsidRPr="00C75806" w:rsidRDefault="00115B57" w:rsidP="00DC64B4">
            <w:pPr>
              <w:spacing w:before="40"/>
              <w:jc w:val="right"/>
              <w:rPr>
                <w:rFonts w:eastAsia="Times New Roman" w:cs="Times New Roman"/>
                <w:b/>
                <w:bCs/>
                <w:color w:val="2E74B5" w:themeColor="accent1" w:themeShade="BF"/>
                <w:lang w:eastAsia="cs-CZ"/>
              </w:rPr>
            </w:pPr>
            <w:r w:rsidRPr="00FF16C6">
              <w:rPr>
                <w:rFonts w:eastAsia="Times New Roman" w:cs="Times New Roman"/>
                <w:b/>
                <w:bCs/>
                <w:lang w:eastAsia="cs-CZ"/>
              </w:rPr>
              <w:t>10</w:t>
            </w:r>
            <w:r>
              <w:rPr>
                <w:rFonts w:eastAsia="Times New Roman" w:cs="Times New Roman"/>
                <w:b/>
                <w:bCs/>
                <w:lang w:eastAsia="cs-CZ"/>
              </w:rPr>
              <w:t>5</w:t>
            </w:r>
            <w:r w:rsidRPr="00FF16C6">
              <w:rPr>
                <w:rFonts w:eastAsia="Times New Roman" w:cs="Times New Roman"/>
                <w:b/>
                <w:bCs/>
                <w:lang w:eastAsia="cs-CZ"/>
              </w:rPr>
              <w:t>,35</w:t>
            </w:r>
          </w:p>
        </w:tc>
      </w:tr>
      <w:tr w:rsidR="00115B57" w:rsidRPr="00252FF8" w14:paraId="2C08860F" w14:textId="77777777" w:rsidTr="00DC64B4">
        <w:trPr>
          <w:trHeight w:val="520"/>
        </w:trPr>
        <w:tc>
          <w:tcPr>
            <w:tcW w:w="4326" w:type="dxa"/>
            <w:tcBorders>
              <w:top w:val="single" w:sz="8" w:space="0" w:color="7F7F7F" w:themeColor="text1" w:themeTint="80"/>
            </w:tcBorders>
            <w:shd w:val="clear" w:color="auto" w:fill="auto"/>
          </w:tcPr>
          <w:p w14:paraId="26C1F6D1" w14:textId="77777777" w:rsidR="00115B57" w:rsidRPr="00252FF8" w:rsidRDefault="00115B57" w:rsidP="00DC64B4">
            <w:pPr>
              <w:rPr>
                <w:rFonts w:eastAsia="Times New Roman" w:cs="Times New Roman"/>
                <w:lang w:eastAsia="cs-CZ"/>
              </w:rPr>
            </w:pPr>
            <w:r w:rsidRPr="00252FF8">
              <w:rPr>
                <w:rFonts w:eastAsia="Times New Roman" w:cs="Times New Roman"/>
                <w:lang w:eastAsia="cs-CZ"/>
              </w:rPr>
              <w:t>platy zaměstnanců a ostatní platby</w:t>
            </w:r>
          </w:p>
          <w:p w14:paraId="7A268678" w14:textId="77777777" w:rsidR="00115B57" w:rsidRPr="00252FF8" w:rsidRDefault="00115B57" w:rsidP="00DC64B4">
            <w:pPr>
              <w:rPr>
                <w:rFonts w:eastAsia="Times New Roman" w:cs="Times New Roman"/>
                <w:lang w:eastAsia="cs-CZ"/>
              </w:rPr>
            </w:pPr>
            <w:r w:rsidRPr="00252FF8">
              <w:rPr>
                <w:rFonts w:eastAsia="Times New Roman" w:cs="Times New Roman"/>
                <w:lang w:eastAsia="cs-CZ"/>
              </w:rPr>
              <w:t>za provedenou práci</w:t>
            </w:r>
          </w:p>
        </w:tc>
        <w:tc>
          <w:tcPr>
            <w:tcW w:w="1337" w:type="dxa"/>
            <w:tcBorders>
              <w:top w:val="single" w:sz="8" w:space="0" w:color="7F7F7F" w:themeColor="text1" w:themeTint="80"/>
            </w:tcBorders>
            <w:shd w:val="clear" w:color="auto" w:fill="auto"/>
            <w:noWrap/>
          </w:tcPr>
          <w:p w14:paraId="33019292" w14:textId="77777777" w:rsidR="00115B57" w:rsidRPr="00252FF8" w:rsidRDefault="00115B57" w:rsidP="00DC64B4">
            <w:pPr>
              <w:spacing w:before="81"/>
              <w:jc w:val="right"/>
              <w:rPr>
                <w:rFonts w:eastAsia="Times New Roman" w:cs="Times New Roman"/>
                <w:lang w:eastAsia="cs-CZ"/>
              </w:rPr>
            </w:pPr>
            <w:r>
              <w:rPr>
                <w:rFonts w:eastAsia="Times New Roman" w:cs="Times New Roman"/>
                <w:lang w:eastAsia="cs-CZ"/>
              </w:rPr>
              <w:t>54 576</w:t>
            </w:r>
          </w:p>
        </w:tc>
        <w:tc>
          <w:tcPr>
            <w:tcW w:w="1261" w:type="dxa"/>
            <w:tcBorders>
              <w:top w:val="single" w:sz="8" w:space="0" w:color="7F7F7F" w:themeColor="text1" w:themeTint="80"/>
            </w:tcBorders>
            <w:shd w:val="clear" w:color="auto" w:fill="auto"/>
            <w:noWrap/>
          </w:tcPr>
          <w:p w14:paraId="5E60B0F2" w14:textId="77777777" w:rsidR="00115B57" w:rsidRPr="00252FF8" w:rsidRDefault="00115B57" w:rsidP="00DC64B4">
            <w:pPr>
              <w:spacing w:before="81"/>
              <w:jc w:val="right"/>
              <w:rPr>
                <w:rFonts w:eastAsia="Times New Roman" w:cstheme="minorHAnsi"/>
                <w:lang w:eastAsia="cs-CZ"/>
              </w:rPr>
            </w:pPr>
            <w:r>
              <w:rPr>
                <w:rFonts w:eastAsia="Times New Roman" w:cstheme="minorHAnsi"/>
                <w:lang w:eastAsia="cs-CZ"/>
              </w:rPr>
              <w:t>54 517</w:t>
            </w:r>
          </w:p>
        </w:tc>
        <w:tc>
          <w:tcPr>
            <w:tcW w:w="1132" w:type="dxa"/>
            <w:tcBorders>
              <w:top w:val="single" w:sz="8" w:space="0" w:color="7F7F7F" w:themeColor="text1" w:themeTint="80"/>
            </w:tcBorders>
            <w:shd w:val="clear" w:color="auto" w:fill="auto"/>
            <w:noWrap/>
          </w:tcPr>
          <w:p w14:paraId="3E711FD0" w14:textId="77777777" w:rsidR="00115B57" w:rsidRPr="00A23FC0" w:rsidRDefault="00115B57" w:rsidP="00DC64B4">
            <w:pPr>
              <w:spacing w:before="81"/>
              <w:jc w:val="right"/>
              <w:rPr>
                <w:rFonts w:eastAsia="Times New Roman" w:cstheme="minorHAnsi"/>
                <w:lang w:eastAsia="cs-CZ"/>
              </w:rPr>
            </w:pPr>
            <w:r w:rsidRPr="00A23FC0">
              <w:rPr>
                <w:rFonts w:eastAsia="Times New Roman" w:cstheme="minorHAnsi"/>
                <w:lang w:eastAsia="cs-CZ"/>
              </w:rPr>
              <w:t>57 781</w:t>
            </w:r>
          </w:p>
        </w:tc>
        <w:tc>
          <w:tcPr>
            <w:tcW w:w="1006" w:type="dxa"/>
            <w:tcBorders>
              <w:top w:val="single" w:sz="8" w:space="0" w:color="7F7F7F" w:themeColor="text1" w:themeTint="80"/>
            </w:tcBorders>
            <w:shd w:val="clear" w:color="auto" w:fill="auto"/>
          </w:tcPr>
          <w:p w14:paraId="14DE379F" w14:textId="09FACFF9" w:rsidR="00115B57" w:rsidRPr="00A23FC0" w:rsidRDefault="00115B57">
            <w:pPr>
              <w:spacing w:before="81"/>
              <w:jc w:val="right"/>
              <w:rPr>
                <w:rFonts w:eastAsia="Times New Roman" w:cs="Times New Roman"/>
                <w:b/>
                <w:bCs/>
                <w:lang w:eastAsia="cs-CZ"/>
              </w:rPr>
            </w:pPr>
            <w:r w:rsidRPr="00A23FC0">
              <w:rPr>
                <w:rFonts w:eastAsia="Times New Roman" w:cs="Times New Roman"/>
                <w:lang w:eastAsia="cs-CZ"/>
              </w:rPr>
              <w:t>10</w:t>
            </w:r>
            <w:r w:rsidR="00E74986">
              <w:rPr>
                <w:rFonts w:eastAsia="Times New Roman" w:cs="Times New Roman"/>
                <w:lang w:eastAsia="cs-CZ"/>
              </w:rPr>
              <w:t>5</w:t>
            </w:r>
            <w:r w:rsidRPr="00A23FC0">
              <w:rPr>
                <w:rFonts w:eastAsia="Times New Roman" w:cs="Times New Roman"/>
                <w:lang w:eastAsia="cs-CZ"/>
              </w:rPr>
              <w:t>,</w:t>
            </w:r>
            <w:r w:rsidR="00E74986">
              <w:rPr>
                <w:rFonts w:eastAsia="Times New Roman" w:cs="Times New Roman"/>
                <w:lang w:eastAsia="cs-CZ"/>
              </w:rPr>
              <w:t>99</w:t>
            </w:r>
          </w:p>
        </w:tc>
      </w:tr>
      <w:tr w:rsidR="00115B57" w:rsidRPr="00252FF8" w14:paraId="2D4C9828" w14:textId="77777777" w:rsidTr="00DC64B4">
        <w:trPr>
          <w:trHeight w:val="255"/>
        </w:trPr>
        <w:tc>
          <w:tcPr>
            <w:tcW w:w="4326" w:type="dxa"/>
            <w:shd w:val="clear" w:color="auto" w:fill="auto"/>
          </w:tcPr>
          <w:p w14:paraId="5E0BC93C" w14:textId="77777777" w:rsidR="00115B57" w:rsidRPr="00252FF8" w:rsidRDefault="00115B57" w:rsidP="00DC64B4">
            <w:pPr>
              <w:rPr>
                <w:rFonts w:eastAsia="Times New Roman" w:cs="Times New Roman"/>
                <w:lang w:eastAsia="cs-CZ"/>
              </w:rPr>
            </w:pPr>
            <w:r w:rsidRPr="00252FF8">
              <w:rPr>
                <w:rFonts w:eastAsia="Times New Roman" w:cs="Times New Roman"/>
                <w:lang w:eastAsia="cs-CZ"/>
              </w:rPr>
              <w:t>povinné pojistné placené zaměstnavatelem</w:t>
            </w:r>
          </w:p>
        </w:tc>
        <w:tc>
          <w:tcPr>
            <w:tcW w:w="1337" w:type="dxa"/>
            <w:shd w:val="clear" w:color="auto" w:fill="auto"/>
          </w:tcPr>
          <w:p w14:paraId="0533F032" w14:textId="77777777" w:rsidR="00115B57" w:rsidRPr="00252FF8" w:rsidRDefault="00115B57" w:rsidP="00DC64B4">
            <w:pPr>
              <w:jc w:val="right"/>
              <w:rPr>
                <w:rFonts w:eastAsia="Times New Roman" w:cs="Times New Roman"/>
                <w:lang w:eastAsia="cs-CZ"/>
              </w:rPr>
            </w:pPr>
            <w:r>
              <w:rPr>
                <w:rFonts w:eastAsia="Times New Roman" w:cs="Times New Roman"/>
                <w:lang w:eastAsia="cs-CZ"/>
              </w:rPr>
              <w:t>18 395</w:t>
            </w:r>
          </w:p>
        </w:tc>
        <w:tc>
          <w:tcPr>
            <w:tcW w:w="1261" w:type="dxa"/>
            <w:shd w:val="clear" w:color="auto" w:fill="auto"/>
          </w:tcPr>
          <w:p w14:paraId="34926922" w14:textId="77777777" w:rsidR="00115B57" w:rsidRPr="00252FF8" w:rsidRDefault="00115B57" w:rsidP="00DC64B4">
            <w:pPr>
              <w:jc w:val="right"/>
              <w:rPr>
                <w:rFonts w:eastAsia="Times New Roman" w:cs="Times New Roman"/>
                <w:lang w:eastAsia="cs-CZ"/>
              </w:rPr>
            </w:pPr>
            <w:r>
              <w:rPr>
                <w:rFonts w:eastAsia="Times New Roman" w:cs="Times New Roman"/>
                <w:lang w:eastAsia="cs-CZ"/>
              </w:rPr>
              <w:t>18 427</w:t>
            </w:r>
          </w:p>
        </w:tc>
        <w:tc>
          <w:tcPr>
            <w:tcW w:w="1132" w:type="dxa"/>
            <w:shd w:val="clear" w:color="auto" w:fill="auto"/>
          </w:tcPr>
          <w:p w14:paraId="6FD81551" w14:textId="77777777" w:rsidR="00115B57" w:rsidRPr="00A23FC0" w:rsidRDefault="00115B57" w:rsidP="00DC64B4">
            <w:pPr>
              <w:jc w:val="right"/>
              <w:rPr>
                <w:rFonts w:eastAsia="Times New Roman" w:cs="Times New Roman"/>
                <w:lang w:eastAsia="cs-CZ"/>
              </w:rPr>
            </w:pPr>
            <w:r w:rsidRPr="00A23FC0">
              <w:rPr>
                <w:rFonts w:eastAsia="Times New Roman" w:cs="Times New Roman"/>
                <w:lang w:eastAsia="cs-CZ"/>
              </w:rPr>
              <w:t>19 530</w:t>
            </w:r>
          </w:p>
        </w:tc>
        <w:tc>
          <w:tcPr>
            <w:tcW w:w="1006" w:type="dxa"/>
            <w:shd w:val="clear" w:color="auto" w:fill="auto"/>
          </w:tcPr>
          <w:p w14:paraId="4FB6A7B5" w14:textId="77777777" w:rsidR="00115B57" w:rsidRPr="00A23FC0" w:rsidRDefault="00115B57" w:rsidP="00DC64B4">
            <w:pPr>
              <w:jc w:val="right"/>
              <w:rPr>
                <w:rFonts w:eastAsia="Times New Roman" w:cs="Times New Roman"/>
                <w:lang w:eastAsia="cs-CZ"/>
              </w:rPr>
            </w:pPr>
            <w:r w:rsidRPr="00A23FC0">
              <w:rPr>
                <w:rFonts w:eastAsia="Times New Roman" w:cs="Times New Roman"/>
                <w:lang w:eastAsia="cs-CZ"/>
              </w:rPr>
              <w:t>10</w:t>
            </w:r>
            <w:r>
              <w:rPr>
                <w:rFonts w:eastAsia="Times New Roman" w:cs="Times New Roman"/>
                <w:lang w:eastAsia="cs-CZ"/>
              </w:rPr>
              <w:t>5</w:t>
            </w:r>
            <w:r w:rsidRPr="00A23FC0">
              <w:rPr>
                <w:rFonts w:eastAsia="Times New Roman" w:cs="Times New Roman"/>
                <w:lang w:eastAsia="cs-CZ"/>
              </w:rPr>
              <w:t>,</w:t>
            </w:r>
            <w:r>
              <w:rPr>
                <w:rFonts w:eastAsia="Times New Roman" w:cs="Times New Roman"/>
                <w:lang w:eastAsia="cs-CZ"/>
              </w:rPr>
              <w:t>99</w:t>
            </w:r>
          </w:p>
        </w:tc>
      </w:tr>
      <w:tr w:rsidR="00115B57" w:rsidRPr="00252FF8" w14:paraId="34DA51A7" w14:textId="77777777" w:rsidTr="00DC64B4">
        <w:trPr>
          <w:trHeight w:val="255"/>
        </w:trPr>
        <w:tc>
          <w:tcPr>
            <w:tcW w:w="4326" w:type="dxa"/>
            <w:tcBorders>
              <w:bottom w:val="single" w:sz="4" w:space="0" w:color="7F7F7F" w:themeColor="text1" w:themeTint="80"/>
            </w:tcBorders>
            <w:shd w:val="clear" w:color="auto" w:fill="auto"/>
          </w:tcPr>
          <w:p w14:paraId="6E76025B" w14:textId="77777777" w:rsidR="00115B57" w:rsidRPr="00252FF8" w:rsidRDefault="00115B57" w:rsidP="00DC64B4">
            <w:pPr>
              <w:rPr>
                <w:rFonts w:eastAsia="Times New Roman" w:cs="Times New Roman"/>
                <w:lang w:eastAsia="cs-CZ"/>
              </w:rPr>
            </w:pPr>
            <w:r w:rsidRPr="00252FF8">
              <w:rPr>
                <w:rFonts w:eastAsia="Times New Roman" w:cs="Times New Roman"/>
                <w:lang w:eastAsia="cs-CZ"/>
              </w:rPr>
              <w:t>příděl FKSP</w:t>
            </w:r>
          </w:p>
        </w:tc>
        <w:tc>
          <w:tcPr>
            <w:tcW w:w="1337" w:type="dxa"/>
            <w:tcBorders>
              <w:bottom w:val="single" w:sz="4" w:space="0" w:color="7F7F7F" w:themeColor="text1" w:themeTint="80"/>
            </w:tcBorders>
            <w:shd w:val="clear" w:color="auto" w:fill="auto"/>
          </w:tcPr>
          <w:p w14:paraId="4045565E" w14:textId="77777777" w:rsidR="00115B57" w:rsidRPr="00252FF8" w:rsidRDefault="00115B57" w:rsidP="00DC64B4">
            <w:pPr>
              <w:jc w:val="right"/>
              <w:rPr>
                <w:rFonts w:eastAsia="Times New Roman" w:cs="Times New Roman"/>
                <w:lang w:eastAsia="cs-CZ"/>
              </w:rPr>
            </w:pPr>
            <w:r>
              <w:rPr>
                <w:rFonts w:eastAsia="Times New Roman" w:cs="Times New Roman"/>
                <w:lang w:eastAsia="cs-CZ"/>
              </w:rPr>
              <w:t>1 089</w:t>
            </w:r>
          </w:p>
        </w:tc>
        <w:tc>
          <w:tcPr>
            <w:tcW w:w="1261" w:type="dxa"/>
            <w:tcBorders>
              <w:bottom w:val="single" w:sz="4" w:space="0" w:color="7F7F7F" w:themeColor="text1" w:themeTint="80"/>
            </w:tcBorders>
            <w:shd w:val="clear" w:color="auto" w:fill="auto"/>
          </w:tcPr>
          <w:p w14:paraId="3F0F30FC" w14:textId="77777777" w:rsidR="00115B57" w:rsidRPr="00252FF8" w:rsidRDefault="00115B57" w:rsidP="00DC64B4">
            <w:pPr>
              <w:jc w:val="right"/>
              <w:rPr>
                <w:rFonts w:eastAsia="Times New Roman" w:cs="Times New Roman"/>
                <w:lang w:eastAsia="cs-CZ"/>
              </w:rPr>
            </w:pPr>
            <w:r w:rsidRPr="00252FF8">
              <w:rPr>
                <w:rFonts w:eastAsia="Times New Roman" w:cs="Times New Roman"/>
                <w:lang w:eastAsia="cs-CZ"/>
              </w:rPr>
              <w:t xml:space="preserve">1 </w:t>
            </w:r>
            <w:r>
              <w:rPr>
                <w:rFonts w:eastAsia="Times New Roman" w:cs="Times New Roman"/>
                <w:lang w:eastAsia="cs-CZ"/>
              </w:rPr>
              <w:t>088</w:t>
            </w:r>
          </w:p>
        </w:tc>
        <w:tc>
          <w:tcPr>
            <w:tcW w:w="1132" w:type="dxa"/>
            <w:tcBorders>
              <w:bottom w:val="single" w:sz="4" w:space="0" w:color="7F7F7F" w:themeColor="text1" w:themeTint="80"/>
            </w:tcBorders>
            <w:shd w:val="clear" w:color="auto" w:fill="auto"/>
          </w:tcPr>
          <w:p w14:paraId="44D70F69" w14:textId="77777777" w:rsidR="00115B57" w:rsidRPr="00A23FC0" w:rsidRDefault="00115B57" w:rsidP="00DC64B4">
            <w:pPr>
              <w:jc w:val="right"/>
              <w:rPr>
                <w:rFonts w:eastAsia="Times New Roman" w:cs="Times New Roman"/>
                <w:lang w:eastAsia="cs-CZ"/>
              </w:rPr>
            </w:pPr>
            <w:r w:rsidRPr="00A23FC0">
              <w:rPr>
                <w:rFonts w:eastAsia="Times New Roman" w:cs="Times New Roman"/>
                <w:lang w:eastAsia="cs-CZ"/>
              </w:rPr>
              <w:t>1 153</w:t>
            </w:r>
          </w:p>
        </w:tc>
        <w:tc>
          <w:tcPr>
            <w:tcW w:w="1006" w:type="dxa"/>
            <w:tcBorders>
              <w:bottom w:val="single" w:sz="4" w:space="0" w:color="7F7F7F" w:themeColor="text1" w:themeTint="80"/>
            </w:tcBorders>
            <w:shd w:val="clear" w:color="auto" w:fill="auto"/>
          </w:tcPr>
          <w:p w14:paraId="0976FD26" w14:textId="77777777" w:rsidR="00115B57" w:rsidRPr="00A23FC0" w:rsidRDefault="00115B57" w:rsidP="00DC64B4">
            <w:pPr>
              <w:jc w:val="right"/>
              <w:rPr>
                <w:rFonts w:eastAsia="Times New Roman" w:cs="Times New Roman"/>
                <w:lang w:eastAsia="cs-CZ"/>
              </w:rPr>
            </w:pPr>
            <w:r w:rsidRPr="00A23FC0">
              <w:rPr>
                <w:rFonts w:eastAsia="Times New Roman" w:cs="Times New Roman"/>
                <w:lang w:eastAsia="cs-CZ"/>
              </w:rPr>
              <w:t>10</w:t>
            </w:r>
            <w:r>
              <w:rPr>
                <w:rFonts w:eastAsia="Times New Roman" w:cs="Times New Roman"/>
                <w:lang w:eastAsia="cs-CZ"/>
              </w:rPr>
              <w:t>5</w:t>
            </w:r>
            <w:r w:rsidRPr="00A23FC0">
              <w:rPr>
                <w:rFonts w:eastAsia="Times New Roman" w:cs="Times New Roman"/>
                <w:lang w:eastAsia="cs-CZ"/>
              </w:rPr>
              <w:t>,</w:t>
            </w:r>
            <w:r>
              <w:rPr>
                <w:rFonts w:eastAsia="Times New Roman" w:cs="Times New Roman"/>
                <w:lang w:eastAsia="cs-CZ"/>
              </w:rPr>
              <w:t>97</w:t>
            </w:r>
          </w:p>
        </w:tc>
      </w:tr>
      <w:tr w:rsidR="00115B57" w:rsidRPr="00252FF8" w14:paraId="62CCF44D" w14:textId="77777777" w:rsidTr="00DC64B4">
        <w:trPr>
          <w:trHeight w:val="255"/>
        </w:trPr>
        <w:tc>
          <w:tcPr>
            <w:tcW w:w="4326" w:type="dxa"/>
            <w:tcBorders>
              <w:top w:val="single" w:sz="4" w:space="0" w:color="7F7F7F" w:themeColor="text1" w:themeTint="80"/>
              <w:bottom w:val="nil"/>
            </w:tcBorders>
            <w:shd w:val="clear" w:color="auto" w:fill="auto"/>
          </w:tcPr>
          <w:p w14:paraId="367B4C02" w14:textId="77777777" w:rsidR="00115B57" w:rsidRPr="00252FF8" w:rsidRDefault="00115B57" w:rsidP="00DC64B4">
            <w:pPr>
              <w:rPr>
                <w:rFonts w:eastAsia="Times New Roman" w:cs="Times New Roman"/>
                <w:lang w:eastAsia="cs-CZ"/>
              </w:rPr>
            </w:pPr>
            <w:r w:rsidRPr="00252FF8">
              <w:rPr>
                <w:rFonts w:eastAsia="Times New Roman" w:cs="Times New Roman"/>
                <w:lang w:eastAsia="cs-CZ"/>
              </w:rPr>
              <w:t xml:space="preserve">ostatní </w:t>
            </w:r>
            <w:proofErr w:type="spellStart"/>
            <w:r w:rsidRPr="00252FF8">
              <w:rPr>
                <w:rFonts w:eastAsia="Times New Roman" w:cs="Times New Roman"/>
                <w:lang w:eastAsia="cs-CZ"/>
              </w:rPr>
              <w:t>neinv</w:t>
            </w:r>
            <w:proofErr w:type="spellEnd"/>
            <w:r w:rsidRPr="00252FF8">
              <w:rPr>
                <w:rFonts w:eastAsia="Times New Roman" w:cs="Times New Roman"/>
                <w:lang w:eastAsia="cs-CZ"/>
              </w:rPr>
              <w:t>. nákupy a související výdaje</w:t>
            </w:r>
          </w:p>
        </w:tc>
        <w:tc>
          <w:tcPr>
            <w:tcW w:w="1337" w:type="dxa"/>
            <w:tcBorders>
              <w:top w:val="single" w:sz="4" w:space="0" w:color="7F7F7F" w:themeColor="text1" w:themeTint="80"/>
              <w:bottom w:val="nil"/>
            </w:tcBorders>
            <w:shd w:val="clear" w:color="auto" w:fill="auto"/>
          </w:tcPr>
          <w:p w14:paraId="331FC87C" w14:textId="77777777" w:rsidR="00115B57" w:rsidRPr="00252FF8" w:rsidRDefault="00115B57" w:rsidP="00DC64B4">
            <w:pPr>
              <w:jc w:val="right"/>
              <w:rPr>
                <w:rFonts w:eastAsia="Times New Roman" w:cs="Times New Roman"/>
                <w:lang w:eastAsia="cs-CZ"/>
              </w:rPr>
            </w:pPr>
            <w:r>
              <w:rPr>
                <w:rFonts w:eastAsia="Times New Roman" w:cs="Times New Roman"/>
                <w:lang w:eastAsia="cs-CZ"/>
              </w:rPr>
              <w:t>28 357</w:t>
            </w:r>
          </w:p>
        </w:tc>
        <w:tc>
          <w:tcPr>
            <w:tcW w:w="1261" w:type="dxa"/>
            <w:tcBorders>
              <w:top w:val="single" w:sz="4" w:space="0" w:color="7F7F7F" w:themeColor="text1" w:themeTint="80"/>
              <w:bottom w:val="nil"/>
            </w:tcBorders>
            <w:shd w:val="clear" w:color="auto" w:fill="auto"/>
          </w:tcPr>
          <w:p w14:paraId="655B1C21" w14:textId="77777777" w:rsidR="00115B57" w:rsidRPr="00252FF8" w:rsidRDefault="00115B57" w:rsidP="00DC64B4">
            <w:pPr>
              <w:jc w:val="right"/>
              <w:rPr>
                <w:rFonts w:eastAsia="Times New Roman" w:cs="Times New Roman"/>
                <w:lang w:eastAsia="cs-CZ"/>
              </w:rPr>
            </w:pPr>
            <w:r>
              <w:rPr>
                <w:rFonts w:eastAsia="Times New Roman" w:cs="Times New Roman"/>
                <w:lang w:eastAsia="cs-CZ"/>
              </w:rPr>
              <w:t>28 327</w:t>
            </w:r>
          </w:p>
        </w:tc>
        <w:tc>
          <w:tcPr>
            <w:tcW w:w="1132" w:type="dxa"/>
            <w:tcBorders>
              <w:top w:val="single" w:sz="4" w:space="0" w:color="7F7F7F" w:themeColor="text1" w:themeTint="80"/>
              <w:bottom w:val="nil"/>
            </w:tcBorders>
            <w:shd w:val="clear" w:color="auto" w:fill="auto"/>
          </w:tcPr>
          <w:p w14:paraId="73530B15" w14:textId="76093A9A" w:rsidR="00115B57" w:rsidRPr="00A23FC0" w:rsidRDefault="00115B57">
            <w:pPr>
              <w:jc w:val="right"/>
              <w:rPr>
                <w:rFonts w:eastAsia="Times New Roman" w:cs="Times New Roman"/>
                <w:lang w:eastAsia="cs-CZ"/>
              </w:rPr>
            </w:pPr>
            <w:r w:rsidRPr="00A23FC0">
              <w:rPr>
                <w:rFonts w:eastAsia="Times New Roman" w:cs="Times New Roman"/>
                <w:lang w:eastAsia="cs-CZ"/>
              </w:rPr>
              <w:t>29 37</w:t>
            </w:r>
            <w:r w:rsidR="00E74986">
              <w:rPr>
                <w:rFonts w:eastAsia="Times New Roman" w:cs="Times New Roman"/>
                <w:lang w:eastAsia="cs-CZ"/>
              </w:rPr>
              <w:t>6</w:t>
            </w:r>
          </w:p>
        </w:tc>
        <w:tc>
          <w:tcPr>
            <w:tcW w:w="1006" w:type="dxa"/>
            <w:tcBorders>
              <w:top w:val="single" w:sz="4" w:space="0" w:color="7F7F7F" w:themeColor="text1" w:themeTint="80"/>
              <w:bottom w:val="nil"/>
            </w:tcBorders>
            <w:shd w:val="clear" w:color="auto" w:fill="auto"/>
          </w:tcPr>
          <w:p w14:paraId="53DD1073" w14:textId="77777777" w:rsidR="00115B57" w:rsidRPr="00A23FC0" w:rsidRDefault="00115B57" w:rsidP="00DC64B4">
            <w:pPr>
              <w:jc w:val="right"/>
              <w:rPr>
                <w:rFonts w:eastAsia="Times New Roman" w:cs="Times New Roman"/>
                <w:lang w:eastAsia="cs-CZ"/>
              </w:rPr>
            </w:pPr>
            <w:r w:rsidRPr="00A23FC0">
              <w:rPr>
                <w:rFonts w:eastAsia="Times New Roman" w:cs="Times New Roman"/>
                <w:lang w:eastAsia="cs-CZ"/>
              </w:rPr>
              <w:t>103,70</w:t>
            </w:r>
          </w:p>
        </w:tc>
      </w:tr>
      <w:tr w:rsidR="00115B57" w:rsidRPr="00252FF8" w14:paraId="421D5F79" w14:textId="77777777" w:rsidTr="00DC64B4">
        <w:trPr>
          <w:trHeight w:val="255"/>
        </w:trPr>
        <w:tc>
          <w:tcPr>
            <w:tcW w:w="4326" w:type="dxa"/>
            <w:tcBorders>
              <w:top w:val="nil"/>
            </w:tcBorders>
            <w:shd w:val="clear" w:color="auto" w:fill="auto"/>
          </w:tcPr>
          <w:p w14:paraId="6BC516B8" w14:textId="77777777" w:rsidR="00115B57" w:rsidRPr="00252FF8" w:rsidRDefault="00115B57" w:rsidP="00DC64B4">
            <w:pPr>
              <w:jc w:val="left"/>
              <w:rPr>
                <w:rFonts w:eastAsia="Times New Roman" w:cs="Times New Roman"/>
                <w:i/>
                <w:lang w:eastAsia="cs-CZ"/>
              </w:rPr>
            </w:pPr>
            <w:r w:rsidRPr="00252FF8">
              <w:rPr>
                <w:rFonts w:eastAsia="Times New Roman" w:cs="Times New Roman"/>
                <w:i/>
                <w:lang w:eastAsia="cs-CZ"/>
              </w:rPr>
              <w:t>z toho: programové financování (EDS/SMVS)</w:t>
            </w:r>
          </w:p>
        </w:tc>
        <w:tc>
          <w:tcPr>
            <w:tcW w:w="1337" w:type="dxa"/>
            <w:tcBorders>
              <w:top w:val="nil"/>
            </w:tcBorders>
            <w:shd w:val="clear" w:color="auto" w:fill="auto"/>
          </w:tcPr>
          <w:p w14:paraId="03058E81" w14:textId="77777777" w:rsidR="00115B57" w:rsidRPr="00252FF8" w:rsidRDefault="00115B57" w:rsidP="00DC64B4">
            <w:pPr>
              <w:spacing w:before="81"/>
              <w:jc w:val="right"/>
              <w:rPr>
                <w:rFonts w:eastAsia="Times New Roman" w:cs="Times New Roman"/>
                <w:i/>
                <w:lang w:eastAsia="cs-CZ"/>
              </w:rPr>
            </w:pPr>
            <w:r w:rsidRPr="00252FF8">
              <w:rPr>
                <w:rFonts w:eastAsia="Times New Roman" w:cs="Times New Roman"/>
                <w:i/>
                <w:lang w:eastAsia="cs-CZ"/>
              </w:rPr>
              <w:t xml:space="preserve">   0</w:t>
            </w:r>
          </w:p>
        </w:tc>
        <w:tc>
          <w:tcPr>
            <w:tcW w:w="1261" w:type="dxa"/>
            <w:tcBorders>
              <w:top w:val="nil"/>
            </w:tcBorders>
            <w:shd w:val="clear" w:color="auto" w:fill="auto"/>
            <w:vAlign w:val="center"/>
          </w:tcPr>
          <w:p w14:paraId="07388F82" w14:textId="77777777" w:rsidR="00115B57" w:rsidRPr="00252FF8" w:rsidRDefault="00115B57" w:rsidP="00DC64B4">
            <w:pPr>
              <w:jc w:val="right"/>
              <w:rPr>
                <w:rFonts w:eastAsia="Times New Roman" w:cs="Times New Roman"/>
                <w:i/>
                <w:lang w:eastAsia="cs-CZ"/>
              </w:rPr>
            </w:pPr>
            <w:r w:rsidRPr="00252FF8">
              <w:rPr>
                <w:rFonts w:eastAsia="Times New Roman" w:cs="Times New Roman"/>
                <w:i/>
                <w:lang w:eastAsia="cs-CZ"/>
              </w:rPr>
              <w:t>0</w:t>
            </w:r>
          </w:p>
        </w:tc>
        <w:tc>
          <w:tcPr>
            <w:tcW w:w="1132" w:type="dxa"/>
            <w:tcBorders>
              <w:top w:val="nil"/>
            </w:tcBorders>
            <w:shd w:val="clear" w:color="auto" w:fill="auto"/>
            <w:vAlign w:val="center"/>
          </w:tcPr>
          <w:p w14:paraId="1FE61AE3" w14:textId="77777777" w:rsidR="00115B57" w:rsidRPr="000C1876" w:rsidRDefault="00115B57" w:rsidP="00DC64B4">
            <w:pPr>
              <w:jc w:val="right"/>
              <w:rPr>
                <w:rFonts w:eastAsia="Times New Roman" w:cs="Times New Roman"/>
                <w:i/>
                <w:lang w:eastAsia="cs-CZ"/>
              </w:rPr>
            </w:pPr>
            <w:r w:rsidRPr="000C1876">
              <w:rPr>
                <w:rFonts w:eastAsia="Times New Roman" w:cs="Times New Roman"/>
                <w:i/>
                <w:lang w:eastAsia="cs-CZ"/>
              </w:rPr>
              <w:t>0</w:t>
            </w:r>
          </w:p>
        </w:tc>
        <w:tc>
          <w:tcPr>
            <w:tcW w:w="1006" w:type="dxa"/>
            <w:tcBorders>
              <w:top w:val="nil"/>
            </w:tcBorders>
            <w:shd w:val="clear" w:color="auto" w:fill="auto"/>
            <w:vAlign w:val="center"/>
          </w:tcPr>
          <w:p w14:paraId="59A24AD3" w14:textId="77777777" w:rsidR="00115B57" w:rsidRPr="000C1876" w:rsidRDefault="00115B57" w:rsidP="00DC64B4">
            <w:pPr>
              <w:jc w:val="right"/>
              <w:rPr>
                <w:rFonts w:eastAsia="Times New Roman" w:cs="Times New Roman"/>
                <w:i/>
                <w:lang w:eastAsia="cs-CZ"/>
              </w:rPr>
            </w:pPr>
            <w:r w:rsidRPr="000C1876">
              <w:rPr>
                <w:rFonts w:eastAsia="Times New Roman" w:cs="Times New Roman"/>
                <w:i/>
                <w:lang w:eastAsia="cs-CZ"/>
              </w:rPr>
              <w:t>x</w:t>
            </w:r>
          </w:p>
        </w:tc>
      </w:tr>
    </w:tbl>
    <w:p w14:paraId="7BE48CCE" w14:textId="77777777" w:rsidR="00115B57" w:rsidRPr="002E51DF" w:rsidRDefault="00115B57" w:rsidP="00115B57">
      <w:pPr>
        <w:pStyle w:val="Styl1"/>
      </w:pPr>
      <w:r w:rsidRPr="002E51DF">
        <w:t>Navrhovaný objem běžných výdajů na rok 202</w:t>
      </w:r>
      <w:r>
        <w:t>3</w:t>
      </w:r>
      <w:r w:rsidRPr="002E51DF">
        <w:t xml:space="preserve"> je oproti roku 202</w:t>
      </w:r>
      <w:r>
        <w:t>2</w:t>
      </w:r>
      <w:r w:rsidRPr="002E51DF">
        <w:t xml:space="preserve"> </w:t>
      </w:r>
      <w:r w:rsidRPr="0060555B">
        <w:t xml:space="preserve">vyšší o </w:t>
      </w:r>
      <w:r>
        <w:t>5</w:t>
      </w:r>
      <w:r w:rsidRPr="0060555B">
        <w:t xml:space="preserve"> </w:t>
      </w:r>
      <w:r>
        <w:t>48</w:t>
      </w:r>
      <w:r w:rsidRPr="0060555B">
        <w:t xml:space="preserve">1 tis. Kč. </w:t>
      </w:r>
    </w:p>
    <w:p w14:paraId="09FAB19A" w14:textId="77777777" w:rsidR="00115B57" w:rsidRDefault="00115B57" w:rsidP="00115B57">
      <w:pPr>
        <w:pStyle w:val="Styl1"/>
      </w:pPr>
      <w:r>
        <w:t xml:space="preserve">Výdaje na platy vč. příslušenství </w:t>
      </w:r>
      <w:r w:rsidRPr="0060555B">
        <w:t xml:space="preserve">se zvýšily oproti roku 2022 o </w:t>
      </w:r>
      <w:r>
        <w:t>4 432</w:t>
      </w:r>
      <w:r w:rsidRPr="0060555B">
        <w:t xml:space="preserve">  tis. Kč</w:t>
      </w:r>
      <w:r>
        <w:t xml:space="preserve">, podrobněji viz oddíl 3.2.2 Výdaje na platy a počty pracovníků za OSS a PO. </w:t>
      </w:r>
    </w:p>
    <w:p w14:paraId="717C10AC" w14:textId="77777777" w:rsidR="00115B57" w:rsidRPr="002E51DF" w:rsidRDefault="00115B57" w:rsidP="00115B57">
      <w:pPr>
        <w:pStyle w:val="Styl1"/>
      </w:pPr>
      <w:r w:rsidRPr="002E51DF">
        <w:t>Počet zaměstnanců organizace pro rok 202</w:t>
      </w:r>
      <w:r>
        <w:t>3</w:t>
      </w:r>
      <w:r w:rsidRPr="002E51DF">
        <w:t xml:space="preserve"> je navržen ve výši 111 zaměstnanců, v tom 100 státních zaměstnanců a 11 zaměstnanců v pracovním poměru. Ve srovnání s rokem 202</w:t>
      </w:r>
      <w:r>
        <w:t>2</w:t>
      </w:r>
      <w:r w:rsidRPr="002E51DF">
        <w:t xml:space="preserve"> nedochází ke změně.</w:t>
      </w:r>
    </w:p>
    <w:p w14:paraId="2221AA5A" w14:textId="745E9DE3" w:rsidR="009361F8" w:rsidRPr="0088307E" w:rsidRDefault="00115B57" w:rsidP="0088307E">
      <w:pPr>
        <w:pStyle w:val="Styl1"/>
      </w:pPr>
      <w:r w:rsidRPr="00643C58">
        <w:t xml:space="preserve">Ostatní běžné výdaje se </w:t>
      </w:r>
      <w:r>
        <w:t>navýšily</w:t>
      </w:r>
      <w:r w:rsidRPr="00643C58">
        <w:t xml:space="preserve"> oproti roku </w:t>
      </w:r>
      <w:r w:rsidRPr="009E4DA9">
        <w:t>2022 o 1 </w:t>
      </w:r>
      <w:r>
        <w:t>049</w:t>
      </w:r>
      <w:r w:rsidRPr="009E4DA9">
        <w:t xml:space="preserve"> tis. Kč, tj. na částku 29 375 tis. Kč. Jednalo se o zajištění potřebných výdajů na elektrickou energii ve vazbě na aktuální situaci v ČR.</w:t>
      </w:r>
      <w:r w:rsidRPr="0088307E">
        <w:t xml:space="preserve"> </w:t>
      </w:r>
      <w:r w:rsidRPr="009E4DA9">
        <w:t>V rámci ostatních běžných výdajů činí největší podíl výdaje na nájemné a výdaje na nákup ostatních služeb, dále pak konzultační, poradenské a právní služby, zpracování</w:t>
      </w:r>
      <w:r w:rsidR="009361F8">
        <w:t xml:space="preserve"> </w:t>
      </w:r>
      <w:r w:rsidRPr="009E4DA9">
        <w:t xml:space="preserve">dat </w:t>
      </w:r>
      <w:r w:rsidR="006646F3">
        <w:br/>
      </w:r>
      <w:r w:rsidRPr="009E4DA9">
        <w:t xml:space="preserve">a služby související s informačními a komunikačními technologiemi. </w:t>
      </w:r>
    </w:p>
    <w:p w14:paraId="6C2D5FC2" w14:textId="77777777" w:rsidR="0057450B" w:rsidRPr="0088307E" w:rsidRDefault="0057450B" w:rsidP="00A66629">
      <w:pPr>
        <w:pStyle w:val="Nadpis9"/>
      </w:pPr>
      <w:r w:rsidRPr="0088307E">
        <w:t>Drážní inspekce</w:t>
      </w:r>
    </w:p>
    <w:p w14:paraId="23BF8E90" w14:textId="77777777" w:rsidR="0057450B" w:rsidRPr="0088307E" w:rsidRDefault="0057450B" w:rsidP="001D1C48">
      <w:pPr>
        <w:pStyle w:val="Styl1"/>
      </w:pPr>
      <w:r w:rsidRPr="0088307E">
        <w:t>Organizační složka státu Drážní inspekce vznikla jako správní úřad k </w:t>
      </w:r>
      <w:r w:rsidR="00146324" w:rsidRPr="0088307E">
        <w:t>1. 1. 2003</w:t>
      </w:r>
      <w:r w:rsidRPr="0088307E">
        <w:t xml:space="preserve"> podle zákona č. 77/2002 Sb., o akciové společnosti České dráhy, státní organizaci Správa železniční dopravní cesty a o změně zákona č. 266/1994 Sb., o dráhách, ve znění pozdějších předpisů</w:t>
      </w:r>
      <w:r w:rsidR="00BE5DDF" w:rsidRPr="0088307E">
        <w:t>,</w:t>
      </w:r>
      <w:r w:rsidRPr="0088307E">
        <w:t xml:space="preserve"> a zákona </w:t>
      </w:r>
      <w:r w:rsidR="003949CB" w:rsidRPr="0088307E">
        <w:br/>
      </w:r>
      <w:r w:rsidRPr="0088307E">
        <w:t xml:space="preserve">č. 77/1997 Sb., o státním podniku, ve znění pozdějších předpisů. </w:t>
      </w:r>
    </w:p>
    <w:p w14:paraId="06CCF22C" w14:textId="77777777" w:rsidR="0057450B" w:rsidRPr="0088307E" w:rsidRDefault="0057450B" w:rsidP="001D1C48">
      <w:pPr>
        <w:pStyle w:val="Styl1"/>
      </w:pPr>
      <w:r w:rsidRPr="0088307E">
        <w:t>Hlavní činností organizace je zjišťování příčin a okolností vzniku mimořád</w:t>
      </w:r>
      <w:r w:rsidR="003C011C" w:rsidRPr="0088307E">
        <w:t xml:space="preserve">ných událostí </w:t>
      </w:r>
      <w:r w:rsidR="003949CB" w:rsidRPr="0088307E">
        <w:br/>
      </w:r>
      <w:r w:rsidR="003C011C" w:rsidRPr="0088307E">
        <w:t>v drážní dopravě</w:t>
      </w:r>
      <w:r w:rsidR="00BE5DDF" w:rsidRPr="0088307E">
        <w:t>,</w:t>
      </w:r>
      <w:r w:rsidR="003C011C" w:rsidRPr="0088307E">
        <w:t xml:space="preserve"> a to na drahách železničních, tramvajových, trolejbusových, lanových </w:t>
      </w:r>
      <w:r w:rsidR="00146324" w:rsidRPr="0088307E">
        <w:br/>
      </w:r>
      <w:r w:rsidR="003C011C" w:rsidRPr="0088307E">
        <w:t>a speciálních</w:t>
      </w:r>
      <w:r w:rsidR="00CA24A2" w:rsidRPr="0088307E">
        <w:t xml:space="preserve"> (metro) s cílem zabránit jejich</w:t>
      </w:r>
      <w:r w:rsidR="003C011C" w:rsidRPr="0088307E">
        <w:t xml:space="preserve"> opakování. </w:t>
      </w:r>
    </w:p>
    <w:p w14:paraId="7F733CE0" w14:textId="6BE43FF9" w:rsidR="0057450B" w:rsidRPr="0088307E" w:rsidRDefault="0057450B" w:rsidP="0057450B">
      <w:pPr>
        <w:pStyle w:val="Titulek"/>
      </w:pPr>
      <w:r w:rsidRPr="0088307E">
        <w:t xml:space="preserve">Tabulka č. </w:t>
      </w:r>
      <w:r w:rsidR="0001421C" w:rsidRPr="0088307E">
        <w:rPr>
          <w:noProof/>
        </w:rPr>
        <w:fldChar w:fldCharType="begin"/>
      </w:r>
      <w:r w:rsidR="0001421C" w:rsidRPr="0088307E">
        <w:rPr>
          <w:noProof/>
        </w:rPr>
        <w:instrText xml:space="preserve"> SEQ Tabulka \* ARABIC </w:instrText>
      </w:r>
      <w:r w:rsidR="0001421C" w:rsidRPr="0088307E">
        <w:rPr>
          <w:noProof/>
        </w:rPr>
        <w:fldChar w:fldCharType="separate"/>
      </w:r>
      <w:r w:rsidR="00F80947">
        <w:rPr>
          <w:noProof/>
        </w:rPr>
        <w:t>13</w:t>
      </w:r>
      <w:r w:rsidR="0001421C" w:rsidRPr="0088307E">
        <w:rPr>
          <w:noProof/>
        </w:rPr>
        <w:fldChar w:fldCharType="end"/>
      </w:r>
      <w:r w:rsidRPr="0088307E">
        <w:t xml:space="preserve"> Drážní inspekce – běžné výdaje (v tis. Kč)</w:t>
      </w:r>
    </w:p>
    <w:tbl>
      <w:tblPr>
        <w:tblStyle w:val="Svtltabulkasmkou1zvraznn1"/>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80"/>
        <w:gridCol w:w="1380"/>
        <w:gridCol w:w="1276"/>
        <w:gridCol w:w="1134"/>
        <w:gridCol w:w="992"/>
      </w:tblGrid>
      <w:tr w:rsidR="00FF0003" w:rsidRPr="00E8518E" w14:paraId="2CD4355B" w14:textId="77777777" w:rsidTr="00CC49DC">
        <w:trPr>
          <w:tblHeader/>
        </w:trPr>
        <w:tc>
          <w:tcPr>
            <w:tcW w:w="42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2F354BD" w14:textId="7E0D33F3" w:rsidR="00FF0003" w:rsidRPr="00E8518E" w:rsidRDefault="00FF0003" w:rsidP="00FF0003">
            <w:pPr>
              <w:jc w:val="center"/>
              <w:rPr>
                <w:rFonts w:eastAsia="Times New Roman" w:cs="Times New Roman"/>
                <w:b/>
                <w:color w:val="FF0000"/>
                <w:szCs w:val="24"/>
                <w:lang w:eastAsia="cs-CZ"/>
              </w:rPr>
            </w:pPr>
            <w:r w:rsidRPr="003F730C">
              <w:rPr>
                <w:rFonts w:eastAsia="Times New Roman" w:cs="Times New Roman"/>
                <w:b/>
                <w:szCs w:val="24"/>
                <w:lang w:eastAsia="cs-CZ"/>
              </w:rPr>
              <w:t>Ukazatel</w:t>
            </w:r>
          </w:p>
        </w:tc>
        <w:tc>
          <w:tcPr>
            <w:tcW w:w="138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F2A2256" w14:textId="77777777" w:rsidR="00FF0003" w:rsidRPr="003F730C" w:rsidRDefault="00FF0003" w:rsidP="00FF0003">
            <w:pPr>
              <w:jc w:val="center"/>
              <w:rPr>
                <w:rFonts w:eastAsia="Times New Roman" w:cs="Times New Roman"/>
                <w:b/>
                <w:szCs w:val="24"/>
                <w:lang w:eastAsia="cs-CZ"/>
              </w:rPr>
            </w:pPr>
            <w:r w:rsidRPr="003F730C">
              <w:rPr>
                <w:rFonts w:eastAsia="Times New Roman" w:cs="Times New Roman"/>
                <w:b/>
                <w:szCs w:val="24"/>
                <w:lang w:eastAsia="cs-CZ"/>
              </w:rPr>
              <w:t>Skutečnost</w:t>
            </w:r>
          </w:p>
          <w:p w14:paraId="33F95ADA" w14:textId="2FD1E28A" w:rsidR="00FF0003" w:rsidRPr="00E8518E" w:rsidRDefault="00FF0003" w:rsidP="00FF0003">
            <w:pPr>
              <w:jc w:val="center"/>
              <w:rPr>
                <w:rFonts w:eastAsia="Times New Roman" w:cs="Times New Roman"/>
                <w:b/>
                <w:color w:val="FF0000"/>
                <w:szCs w:val="24"/>
                <w:lang w:eastAsia="cs-CZ"/>
              </w:rPr>
            </w:pPr>
            <w:r w:rsidRPr="003F730C">
              <w:rPr>
                <w:rFonts w:eastAsia="Times New Roman" w:cs="Times New Roman"/>
                <w:b/>
                <w:szCs w:val="24"/>
                <w:lang w:eastAsia="cs-CZ"/>
              </w:rPr>
              <w:t>2021</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52C5FFC" w14:textId="77777777" w:rsidR="00FF0003" w:rsidRPr="003F730C" w:rsidRDefault="00FF0003" w:rsidP="00FF0003">
            <w:pPr>
              <w:jc w:val="center"/>
              <w:rPr>
                <w:rFonts w:eastAsia="Times New Roman" w:cs="Times New Roman"/>
                <w:b/>
                <w:szCs w:val="24"/>
                <w:lang w:eastAsia="cs-CZ"/>
              </w:rPr>
            </w:pPr>
            <w:r w:rsidRPr="003F730C">
              <w:rPr>
                <w:rFonts w:eastAsia="Times New Roman" w:cs="Times New Roman"/>
                <w:b/>
                <w:szCs w:val="24"/>
                <w:lang w:eastAsia="cs-CZ"/>
              </w:rPr>
              <w:t>Schválený</w:t>
            </w:r>
          </w:p>
          <w:p w14:paraId="426B42B4" w14:textId="77777777" w:rsidR="00FF0003" w:rsidRPr="003F730C" w:rsidRDefault="00FF0003" w:rsidP="00FF0003">
            <w:pPr>
              <w:jc w:val="center"/>
              <w:rPr>
                <w:rFonts w:eastAsia="Times New Roman" w:cs="Times New Roman"/>
                <w:b/>
                <w:szCs w:val="24"/>
                <w:lang w:eastAsia="cs-CZ"/>
              </w:rPr>
            </w:pPr>
            <w:r w:rsidRPr="003F730C">
              <w:rPr>
                <w:rFonts w:eastAsia="Times New Roman" w:cs="Times New Roman"/>
                <w:b/>
                <w:szCs w:val="24"/>
                <w:lang w:eastAsia="cs-CZ"/>
              </w:rPr>
              <w:t>rozpočet</w:t>
            </w:r>
          </w:p>
          <w:p w14:paraId="65E943DD" w14:textId="0D84E387" w:rsidR="00FF0003" w:rsidRPr="00E8518E" w:rsidRDefault="00FF0003" w:rsidP="00FF0003">
            <w:pPr>
              <w:jc w:val="center"/>
              <w:rPr>
                <w:rFonts w:eastAsia="Times New Roman" w:cs="Times New Roman"/>
                <w:b/>
                <w:color w:val="FF0000"/>
                <w:szCs w:val="24"/>
                <w:lang w:eastAsia="cs-CZ"/>
              </w:rPr>
            </w:pPr>
            <w:r w:rsidRPr="003F730C">
              <w:rPr>
                <w:rFonts w:eastAsia="Times New Roman" w:cs="Times New Roman"/>
                <w:b/>
                <w:szCs w:val="24"/>
                <w:lang w:eastAsia="cs-CZ"/>
              </w:rPr>
              <w:t>2022</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A330F1F" w14:textId="77777777" w:rsidR="00FF0003" w:rsidRPr="003F730C" w:rsidRDefault="00FF0003" w:rsidP="00FF0003">
            <w:pPr>
              <w:jc w:val="center"/>
              <w:rPr>
                <w:rFonts w:eastAsia="Times New Roman" w:cs="Times New Roman"/>
                <w:b/>
                <w:szCs w:val="24"/>
                <w:lang w:eastAsia="cs-CZ"/>
              </w:rPr>
            </w:pPr>
            <w:r w:rsidRPr="003F730C">
              <w:rPr>
                <w:rFonts w:eastAsia="Times New Roman" w:cs="Times New Roman"/>
                <w:b/>
                <w:szCs w:val="24"/>
                <w:lang w:eastAsia="cs-CZ"/>
              </w:rPr>
              <w:t>Návrh</w:t>
            </w:r>
          </w:p>
          <w:p w14:paraId="53D7F552" w14:textId="77777777" w:rsidR="00FF0003" w:rsidRPr="003F730C" w:rsidRDefault="00FF0003" w:rsidP="00FF0003">
            <w:pPr>
              <w:jc w:val="center"/>
              <w:rPr>
                <w:rFonts w:eastAsia="Times New Roman" w:cs="Times New Roman"/>
                <w:b/>
                <w:szCs w:val="24"/>
                <w:lang w:eastAsia="cs-CZ"/>
              </w:rPr>
            </w:pPr>
            <w:r w:rsidRPr="003F730C">
              <w:rPr>
                <w:rFonts w:eastAsia="Times New Roman" w:cs="Times New Roman"/>
                <w:b/>
                <w:szCs w:val="24"/>
                <w:lang w:eastAsia="cs-CZ"/>
              </w:rPr>
              <w:t>rozpočtu</w:t>
            </w:r>
          </w:p>
          <w:p w14:paraId="2C30E691" w14:textId="5DF9C144" w:rsidR="00FF0003" w:rsidRPr="00E8518E" w:rsidRDefault="00FF0003" w:rsidP="00FF0003">
            <w:pPr>
              <w:jc w:val="center"/>
              <w:rPr>
                <w:rFonts w:eastAsia="Times New Roman" w:cs="Times New Roman"/>
                <w:b/>
                <w:color w:val="FF0000"/>
                <w:szCs w:val="24"/>
                <w:lang w:eastAsia="cs-CZ"/>
              </w:rPr>
            </w:pPr>
            <w:r w:rsidRPr="003F730C">
              <w:rPr>
                <w:rFonts w:eastAsia="Times New Roman" w:cs="Times New Roman"/>
                <w:b/>
                <w:szCs w:val="24"/>
                <w:lang w:eastAsia="cs-CZ"/>
              </w:rPr>
              <w:t>2023</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34D98CA" w14:textId="77777777" w:rsidR="00FF0003" w:rsidRPr="003F730C" w:rsidRDefault="00FF0003" w:rsidP="00FF0003">
            <w:pPr>
              <w:jc w:val="center"/>
              <w:rPr>
                <w:rFonts w:eastAsia="Times New Roman" w:cs="Times New Roman"/>
                <w:b/>
                <w:szCs w:val="24"/>
                <w:lang w:eastAsia="cs-CZ"/>
              </w:rPr>
            </w:pPr>
            <w:r w:rsidRPr="003F730C">
              <w:rPr>
                <w:rFonts w:eastAsia="Times New Roman" w:cs="Times New Roman"/>
                <w:b/>
                <w:szCs w:val="24"/>
                <w:lang w:eastAsia="cs-CZ"/>
              </w:rPr>
              <w:t>Index</w:t>
            </w:r>
          </w:p>
          <w:p w14:paraId="7EC6D487" w14:textId="0F3206CB" w:rsidR="00FF0003" w:rsidRPr="00E8518E" w:rsidRDefault="00FF0003" w:rsidP="00FF0003">
            <w:pPr>
              <w:jc w:val="center"/>
              <w:rPr>
                <w:rFonts w:eastAsia="Times New Roman" w:cs="Times New Roman"/>
                <w:b/>
                <w:color w:val="FF0000"/>
                <w:szCs w:val="24"/>
                <w:lang w:eastAsia="cs-CZ"/>
              </w:rPr>
            </w:pPr>
            <w:r w:rsidRPr="003F730C">
              <w:rPr>
                <w:rFonts w:eastAsia="Times New Roman" w:cs="Times New Roman"/>
                <w:b/>
                <w:szCs w:val="24"/>
                <w:lang w:eastAsia="cs-CZ"/>
              </w:rPr>
              <w:t>2023/</w:t>
            </w:r>
            <w:r w:rsidRPr="003F730C">
              <w:rPr>
                <w:rFonts w:eastAsia="Times New Roman" w:cs="Times New Roman"/>
                <w:b/>
                <w:szCs w:val="24"/>
                <w:lang w:eastAsia="cs-CZ"/>
              </w:rPr>
              <w:br/>
              <w:t xml:space="preserve">2022 </w:t>
            </w:r>
            <w:r w:rsidRPr="003F730C">
              <w:rPr>
                <w:rFonts w:eastAsia="Times New Roman" w:cs="Times New Roman"/>
                <w:b/>
                <w:szCs w:val="24"/>
                <w:lang w:eastAsia="cs-CZ"/>
              </w:rPr>
              <w:br/>
              <w:t>(v %)</w:t>
            </w:r>
          </w:p>
        </w:tc>
      </w:tr>
      <w:tr w:rsidR="00E8518E" w:rsidRPr="00E8518E" w14:paraId="615E93EA" w14:textId="77777777" w:rsidTr="00CC49DC">
        <w:trPr>
          <w:tblHeader/>
        </w:trPr>
        <w:tc>
          <w:tcPr>
            <w:tcW w:w="4280" w:type="dxa"/>
            <w:tcBorders>
              <w:top w:val="single" w:sz="4" w:space="0" w:color="7F7F7F" w:themeColor="text1" w:themeTint="80"/>
              <w:bottom w:val="single" w:sz="8" w:space="0" w:color="7F7F7F" w:themeColor="text1" w:themeTint="80"/>
            </w:tcBorders>
            <w:shd w:val="clear" w:color="auto" w:fill="auto"/>
          </w:tcPr>
          <w:p w14:paraId="640FB6B4" w14:textId="77777777" w:rsidR="005B1CCA" w:rsidRPr="0088307E" w:rsidRDefault="005B1CCA" w:rsidP="00316A6C">
            <w:pPr>
              <w:jc w:val="center"/>
              <w:rPr>
                <w:rFonts w:eastAsia="Times New Roman" w:cs="Times New Roman"/>
                <w:szCs w:val="24"/>
                <w:lang w:eastAsia="cs-CZ"/>
              </w:rPr>
            </w:pPr>
            <w:r w:rsidRPr="0088307E">
              <w:rPr>
                <w:rFonts w:eastAsia="Times New Roman" w:cs="Times New Roman"/>
                <w:szCs w:val="24"/>
                <w:lang w:eastAsia="cs-CZ"/>
              </w:rPr>
              <w:t>a</w:t>
            </w:r>
          </w:p>
        </w:tc>
        <w:tc>
          <w:tcPr>
            <w:tcW w:w="1380" w:type="dxa"/>
            <w:tcBorders>
              <w:top w:val="single" w:sz="4" w:space="0" w:color="7F7F7F" w:themeColor="text1" w:themeTint="80"/>
              <w:bottom w:val="single" w:sz="8" w:space="0" w:color="7F7F7F" w:themeColor="text1" w:themeTint="80"/>
            </w:tcBorders>
            <w:shd w:val="clear" w:color="auto" w:fill="auto"/>
          </w:tcPr>
          <w:p w14:paraId="49E0FEA4" w14:textId="77777777" w:rsidR="005B1CCA" w:rsidRPr="0088307E" w:rsidRDefault="005B1CCA" w:rsidP="00316A6C">
            <w:pPr>
              <w:jc w:val="center"/>
              <w:rPr>
                <w:rFonts w:eastAsia="Times New Roman" w:cs="Times New Roman"/>
                <w:szCs w:val="24"/>
                <w:lang w:eastAsia="cs-CZ"/>
              </w:rPr>
            </w:pPr>
            <w:r w:rsidRPr="0088307E">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5795BEF4" w14:textId="77777777" w:rsidR="005B1CCA" w:rsidRPr="0088307E" w:rsidRDefault="005B1CCA" w:rsidP="00316A6C">
            <w:pPr>
              <w:jc w:val="center"/>
              <w:rPr>
                <w:rFonts w:eastAsia="Times New Roman" w:cs="Times New Roman"/>
                <w:szCs w:val="24"/>
                <w:lang w:eastAsia="cs-CZ"/>
              </w:rPr>
            </w:pPr>
            <w:r w:rsidRPr="0088307E">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26CB8DA1" w14:textId="77777777" w:rsidR="005B1CCA" w:rsidRPr="0088307E" w:rsidRDefault="005B1CCA" w:rsidP="00316A6C">
            <w:pPr>
              <w:jc w:val="center"/>
              <w:rPr>
                <w:rFonts w:eastAsia="Times New Roman" w:cs="Times New Roman"/>
                <w:szCs w:val="24"/>
                <w:lang w:eastAsia="cs-CZ"/>
              </w:rPr>
            </w:pPr>
            <w:r w:rsidRPr="0088307E">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6A051E0C" w14:textId="77777777" w:rsidR="005B1CCA" w:rsidRPr="0088307E" w:rsidRDefault="005B1CCA" w:rsidP="00316A6C">
            <w:pPr>
              <w:jc w:val="center"/>
              <w:rPr>
                <w:rFonts w:eastAsia="Times New Roman" w:cs="Times New Roman"/>
                <w:szCs w:val="24"/>
                <w:lang w:eastAsia="cs-CZ"/>
              </w:rPr>
            </w:pPr>
            <w:r w:rsidRPr="0088307E">
              <w:rPr>
                <w:rFonts w:eastAsia="Times New Roman" w:cs="Times New Roman"/>
                <w:szCs w:val="24"/>
                <w:lang w:eastAsia="cs-CZ"/>
              </w:rPr>
              <w:t>4</w:t>
            </w:r>
          </w:p>
        </w:tc>
      </w:tr>
      <w:tr w:rsidR="00E6578D" w:rsidRPr="00E8518E" w14:paraId="7FD07922" w14:textId="77777777" w:rsidTr="00CC49DC">
        <w:trPr>
          <w:trHeight w:val="468"/>
          <w:tblHeader/>
        </w:trPr>
        <w:tc>
          <w:tcPr>
            <w:tcW w:w="4280" w:type="dxa"/>
            <w:tcBorders>
              <w:top w:val="single" w:sz="8" w:space="0" w:color="7F7F7F" w:themeColor="text1" w:themeTint="80"/>
              <w:bottom w:val="single" w:sz="8" w:space="0" w:color="7F7F7F" w:themeColor="text1" w:themeTint="80"/>
            </w:tcBorders>
            <w:shd w:val="clear" w:color="auto" w:fill="auto"/>
          </w:tcPr>
          <w:p w14:paraId="045D64E2" w14:textId="0A8F496E" w:rsidR="00E6578D" w:rsidRPr="00E8518E" w:rsidRDefault="00E6578D" w:rsidP="00E6578D">
            <w:pPr>
              <w:spacing w:before="81"/>
              <w:rPr>
                <w:rFonts w:eastAsia="Times New Roman" w:cs="Times New Roman"/>
                <w:b/>
                <w:color w:val="FF0000"/>
                <w:lang w:eastAsia="cs-CZ"/>
              </w:rPr>
            </w:pPr>
            <w:r w:rsidRPr="003F730C">
              <w:rPr>
                <w:rFonts w:eastAsia="Times New Roman" w:cs="Times New Roman"/>
                <w:b/>
                <w:bCs/>
                <w:lang w:eastAsia="cs-CZ"/>
              </w:rPr>
              <w:t xml:space="preserve">Běžné výdaje </w:t>
            </w:r>
            <w:r w:rsidRPr="003F730C">
              <w:rPr>
                <w:rFonts w:eastAsia="Times New Roman" w:cs="Times New Roman"/>
                <w:lang w:eastAsia="cs-CZ"/>
              </w:rPr>
              <w:t>v tom:</w:t>
            </w:r>
            <w:r w:rsidRPr="003F730C">
              <w:rPr>
                <w:rFonts w:eastAsia="Times New Roman" w:cs="Times New Roman"/>
                <w:b/>
                <w:lang w:eastAsia="cs-CZ"/>
              </w:rPr>
              <w:t xml:space="preserve"> </w:t>
            </w:r>
          </w:p>
        </w:tc>
        <w:tc>
          <w:tcPr>
            <w:tcW w:w="1380" w:type="dxa"/>
            <w:tcBorders>
              <w:top w:val="single" w:sz="8" w:space="0" w:color="7F7F7F" w:themeColor="text1" w:themeTint="80"/>
              <w:left w:val="single" w:sz="4" w:space="0" w:color="auto"/>
              <w:bottom w:val="single" w:sz="4" w:space="0" w:color="auto"/>
              <w:right w:val="single" w:sz="4" w:space="0" w:color="auto"/>
            </w:tcBorders>
            <w:vAlign w:val="center"/>
          </w:tcPr>
          <w:p w14:paraId="0DF3E2A9" w14:textId="3600C4EC" w:rsidR="00E6578D" w:rsidRPr="00E8518E" w:rsidRDefault="00E6578D" w:rsidP="00E6578D">
            <w:pPr>
              <w:jc w:val="right"/>
              <w:rPr>
                <w:b/>
                <w:bCs/>
                <w:color w:val="FF0000"/>
                <w:szCs w:val="24"/>
              </w:rPr>
            </w:pPr>
            <w:r w:rsidRPr="003F730C">
              <w:rPr>
                <w:b/>
                <w:bCs/>
                <w:szCs w:val="24"/>
              </w:rPr>
              <w:t>41 340</w:t>
            </w:r>
          </w:p>
        </w:tc>
        <w:tc>
          <w:tcPr>
            <w:tcW w:w="1276" w:type="dxa"/>
            <w:tcBorders>
              <w:top w:val="single" w:sz="8" w:space="0" w:color="7F7F7F" w:themeColor="text1" w:themeTint="80"/>
              <w:left w:val="single" w:sz="4" w:space="0" w:color="auto"/>
              <w:bottom w:val="single" w:sz="4" w:space="0" w:color="auto"/>
              <w:right w:val="single" w:sz="4" w:space="0" w:color="auto"/>
            </w:tcBorders>
            <w:vAlign w:val="center"/>
          </w:tcPr>
          <w:p w14:paraId="604B157B" w14:textId="568F61E8" w:rsidR="00E6578D" w:rsidRPr="00E8518E" w:rsidRDefault="00E6578D" w:rsidP="00E6578D">
            <w:pPr>
              <w:jc w:val="right"/>
              <w:rPr>
                <w:b/>
                <w:bCs/>
                <w:color w:val="FF0000"/>
                <w:szCs w:val="24"/>
              </w:rPr>
            </w:pPr>
            <w:r w:rsidRPr="003F730C">
              <w:rPr>
                <w:b/>
                <w:bCs/>
                <w:szCs w:val="24"/>
              </w:rPr>
              <w:t>42 204</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3B83F057" w14:textId="55ABE8C2" w:rsidR="00E6578D" w:rsidRPr="00182A64" w:rsidRDefault="00746FF9" w:rsidP="00E6578D">
            <w:pPr>
              <w:jc w:val="right"/>
              <w:rPr>
                <w:rFonts w:eastAsia="Times New Roman" w:cs="Times New Roman"/>
                <w:b/>
                <w:bCs/>
                <w:color w:val="FF0000"/>
                <w:lang w:eastAsia="cs-CZ"/>
              </w:rPr>
            </w:pPr>
            <w:r w:rsidRPr="0088307E">
              <w:rPr>
                <w:rFonts w:eastAsia="Times New Roman" w:cs="Times New Roman"/>
                <w:b/>
                <w:bCs/>
                <w:lang w:eastAsia="cs-CZ"/>
              </w:rPr>
              <w:t>41 472</w:t>
            </w:r>
          </w:p>
        </w:tc>
        <w:tc>
          <w:tcPr>
            <w:tcW w:w="992" w:type="dxa"/>
            <w:tcBorders>
              <w:top w:val="single" w:sz="8" w:space="0" w:color="7F7F7F" w:themeColor="text1" w:themeTint="80"/>
              <w:bottom w:val="single" w:sz="8" w:space="0" w:color="7F7F7F" w:themeColor="text1" w:themeTint="80"/>
            </w:tcBorders>
            <w:shd w:val="clear" w:color="auto" w:fill="auto"/>
            <w:vAlign w:val="center"/>
          </w:tcPr>
          <w:p w14:paraId="4FA81F95" w14:textId="3F0D2E66" w:rsidR="00E6578D" w:rsidRPr="00182A64" w:rsidRDefault="00E6578D" w:rsidP="00E6578D">
            <w:pPr>
              <w:jc w:val="right"/>
              <w:rPr>
                <w:rFonts w:eastAsia="Times New Roman" w:cs="Times New Roman"/>
                <w:b/>
                <w:bCs/>
                <w:color w:val="FF0000"/>
                <w:lang w:eastAsia="cs-CZ"/>
              </w:rPr>
            </w:pPr>
            <w:r w:rsidRPr="00B424E5">
              <w:rPr>
                <w:rFonts w:eastAsia="Times New Roman" w:cs="Times New Roman"/>
                <w:b/>
                <w:bCs/>
                <w:lang w:eastAsia="cs-CZ"/>
              </w:rPr>
              <w:t>9</w:t>
            </w:r>
            <w:r w:rsidR="00B424E5" w:rsidRPr="0088307E">
              <w:rPr>
                <w:rFonts w:eastAsia="Times New Roman" w:cs="Times New Roman"/>
                <w:b/>
                <w:bCs/>
                <w:lang w:eastAsia="cs-CZ"/>
              </w:rPr>
              <w:t>8,27</w:t>
            </w:r>
          </w:p>
        </w:tc>
      </w:tr>
      <w:tr w:rsidR="00E6578D" w:rsidRPr="00E8518E" w14:paraId="219C9484" w14:textId="77777777" w:rsidTr="00CC49DC">
        <w:trPr>
          <w:tblHeader/>
        </w:trPr>
        <w:tc>
          <w:tcPr>
            <w:tcW w:w="4280" w:type="dxa"/>
            <w:tcBorders>
              <w:top w:val="single" w:sz="8" w:space="0" w:color="7F7F7F" w:themeColor="text1" w:themeTint="80"/>
              <w:bottom w:val="nil"/>
            </w:tcBorders>
            <w:shd w:val="clear" w:color="auto" w:fill="auto"/>
          </w:tcPr>
          <w:p w14:paraId="228D07F1" w14:textId="152A3F87" w:rsidR="00E6578D" w:rsidRPr="003F730C" w:rsidRDefault="00E6578D" w:rsidP="00E6578D">
            <w:pPr>
              <w:rPr>
                <w:rFonts w:eastAsia="Times New Roman" w:cs="Times New Roman"/>
                <w:lang w:eastAsia="cs-CZ"/>
              </w:rPr>
            </w:pPr>
            <w:r w:rsidRPr="003F730C">
              <w:rPr>
                <w:rFonts w:eastAsia="Times New Roman" w:cs="Times New Roman"/>
                <w:lang w:eastAsia="cs-CZ"/>
              </w:rPr>
              <w:t>platy zaměstnanců a ostatní platby</w:t>
            </w:r>
          </w:p>
          <w:p w14:paraId="28E76DC0" w14:textId="53E5485C" w:rsidR="00E6578D" w:rsidRPr="00E8518E" w:rsidRDefault="00E6578D" w:rsidP="00E6578D">
            <w:pPr>
              <w:rPr>
                <w:rFonts w:eastAsia="Times New Roman" w:cs="Times New Roman"/>
                <w:color w:val="FF0000"/>
                <w:lang w:eastAsia="cs-CZ"/>
              </w:rPr>
            </w:pPr>
            <w:r w:rsidRPr="003F730C">
              <w:rPr>
                <w:rFonts w:eastAsia="Times New Roman" w:cs="Times New Roman"/>
                <w:lang w:eastAsia="cs-CZ"/>
              </w:rPr>
              <w:t>za provedenou práci</w:t>
            </w:r>
          </w:p>
        </w:tc>
        <w:tc>
          <w:tcPr>
            <w:tcW w:w="1380" w:type="dxa"/>
            <w:tcBorders>
              <w:top w:val="single" w:sz="4" w:space="0" w:color="auto"/>
              <w:left w:val="single" w:sz="4" w:space="0" w:color="auto"/>
              <w:bottom w:val="nil"/>
              <w:right w:val="single" w:sz="4" w:space="0" w:color="auto"/>
            </w:tcBorders>
            <w:vAlign w:val="center"/>
          </w:tcPr>
          <w:p w14:paraId="516A367E" w14:textId="1E15C8DE" w:rsidR="00E6578D" w:rsidRPr="00E8518E" w:rsidRDefault="00E6578D" w:rsidP="00E6578D">
            <w:pPr>
              <w:jc w:val="right"/>
              <w:rPr>
                <w:color w:val="FF0000"/>
                <w:szCs w:val="24"/>
              </w:rPr>
            </w:pPr>
            <w:r w:rsidRPr="003F730C">
              <w:rPr>
                <w:szCs w:val="24"/>
              </w:rPr>
              <w:t>24 344</w:t>
            </w:r>
          </w:p>
        </w:tc>
        <w:tc>
          <w:tcPr>
            <w:tcW w:w="1276" w:type="dxa"/>
            <w:tcBorders>
              <w:top w:val="single" w:sz="4" w:space="0" w:color="auto"/>
              <w:left w:val="single" w:sz="4" w:space="0" w:color="auto"/>
              <w:bottom w:val="nil"/>
              <w:right w:val="single" w:sz="4" w:space="0" w:color="auto"/>
            </w:tcBorders>
            <w:vAlign w:val="center"/>
          </w:tcPr>
          <w:p w14:paraId="72B94E25" w14:textId="44C79F26" w:rsidR="00E6578D" w:rsidRPr="00E8518E" w:rsidRDefault="00E6578D" w:rsidP="00E6578D">
            <w:pPr>
              <w:jc w:val="right"/>
              <w:rPr>
                <w:color w:val="FF0000"/>
                <w:szCs w:val="24"/>
              </w:rPr>
            </w:pPr>
            <w:r w:rsidRPr="003F730C">
              <w:rPr>
                <w:szCs w:val="24"/>
              </w:rPr>
              <w:t>23 610</w:t>
            </w:r>
          </w:p>
        </w:tc>
        <w:tc>
          <w:tcPr>
            <w:tcW w:w="1134" w:type="dxa"/>
            <w:tcBorders>
              <w:top w:val="single" w:sz="8" w:space="0" w:color="7F7F7F" w:themeColor="text1" w:themeTint="80"/>
              <w:bottom w:val="nil"/>
            </w:tcBorders>
            <w:shd w:val="clear" w:color="auto" w:fill="auto"/>
            <w:vAlign w:val="center"/>
          </w:tcPr>
          <w:p w14:paraId="49F7E17E" w14:textId="39315EFB" w:rsidR="00E6578D" w:rsidRPr="0088307E" w:rsidRDefault="008A7B08" w:rsidP="00E6578D">
            <w:pPr>
              <w:jc w:val="right"/>
              <w:rPr>
                <w:rFonts w:eastAsia="Times New Roman" w:cs="Times New Roman"/>
                <w:lang w:eastAsia="cs-CZ"/>
              </w:rPr>
            </w:pPr>
            <w:r w:rsidRPr="0088307E">
              <w:rPr>
                <w:rFonts w:eastAsia="Times New Roman" w:cs="Times New Roman"/>
                <w:lang w:eastAsia="cs-CZ"/>
              </w:rPr>
              <w:t>23 562</w:t>
            </w:r>
          </w:p>
        </w:tc>
        <w:tc>
          <w:tcPr>
            <w:tcW w:w="992" w:type="dxa"/>
            <w:tcBorders>
              <w:top w:val="single" w:sz="8" w:space="0" w:color="7F7F7F" w:themeColor="text1" w:themeTint="80"/>
              <w:bottom w:val="nil"/>
            </w:tcBorders>
            <w:shd w:val="clear" w:color="auto" w:fill="auto"/>
            <w:vAlign w:val="center"/>
          </w:tcPr>
          <w:p w14:paraId="459288F2" w14:textId="3615856C" w:rsidR="00E6578D" w:rsidRPr="00182A64" w:rsidRDefault="00E04A47" w:rsidP="00E6578D">
            <w:pPr>
              <w:jc w:val="right"/>
              <w:rPr>
                <w:rFonts w:eastAsia="Times New Roman" w:cs="Times New Roman"/>
                <w:color w:val="FF0000"/>
                <w:lang w:eastAsia="cs-CZ"/>
              </w:rPr>
            </w:pPr>
            <w:r w:rsidRPr="0088307E">
              <w:rPr>
                <w:rFonts w:eastAsia="Times New Roman" w:cs="Times New Roman"/>
                <w:lang w:eastAsia="cs-CZ"/>
              </w:rPr>
              <w:t>99,80</w:t>
            </w:r>
          </w:p>
        </w:tc>
      </w:tr>
      <w:tr w:rsidR="00E6578D" w:rsidRPr="00E8518E" w14:paraId="2105C686" w14:textId="77777777" w:rsidTr="00CC49DC">
        <w:trPr>
          <w:tblHeader/>
        </w:trPr>
        <w:tc>
          <w:tcPr>
            <w:tcW w:w="4280" w:type="dxa"/>
            <w:tcBorders>
              <w:top w:val="nil"/>
              <w:bottom w:val="nil"/>
            </w:tcBorders>
            <w:shd w:val="clear" w:color="auto" w:fill="auto"/>
          </w:tcPr>
          <w:p w14:paraId="0EFA5550" w14:textId="72AC4996" w:rsidR="00E6578D" w:rsidRPr="00E8518E" w:rsidRDefault="00E6578D" w:rsidP="00E6578D">
            <w:pPr>
              <w:jc w:val="left"/>
              <w:rPr>
                <w:rFonts w:eastAsia="Times New Roman" w:cs="Times New Roman"/>
                <w:i/>
                <w:color w:val="FF0000"/>
                <w:lang w:eastAsia="cs-CZ"/>
              </w:rPr>
            </w:pPr>
            <w:r w:rsidRPr="003F730C">
              <w:rPr>
                <w:rFonts w:eastAsia="Times New Roman" w:cs="Times New Roman"/>
                <w:i/>
                <w:lang w:eastAsia="cs-CZ"/>
              </w:rPr>
              <w:t xml:space="preserve">z toho: výdaje na programy </w:t>
            </w:r>
            <w:proofErr w:type="spellStart"/>
            <w:r w:rsidRPr="003F730C">
              <w:rPr>
                <w:rFonts w:eastAsia="Times New Roman" w:cs="Times New Roman"/>
                <w:i/>
                <w:lang w:eastAsia="cs-CZ"/>
              </w:rPr>
              <w:t>spolufin</w:t>
            </w:r>
            <w:proofErr w:type="spellEnd"/>
            <w:r w:rsidRPr="003F730C">
              <w:rPr>
                <w:rFonts w:eastAsia="Times New Roman" w:cs="Times New Roman"/>
                <w:i/>
                <w:lang w:eastAsia="cs-CZ"/>
              </w:rPr>
              <w:t>.</w:t>
            </w:r>
            <w:r w:rsidRPr="003F730C">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34A78ADF" w14:textId="568FF906" w:rsidR="00E6578D" w:rsidRPr="00E8518E" w:rsidRDefault="00E6578D" w:rsidP="00E6578D">
            <w:pPr>
              <w:jc w:val="right"/>
              <w:rPr>
                <w:i/>
                <w:color w:val="FF0000"/>
                <w:szCs w:val="24"/>
              </w:rPr>
            </w:pPr>
            <w:r w:rsidRPr="003F730C">
              <w:rPr>
                <w:i/>
                <w:szCs w:val="24"/>
              </w:rPr>
              <w:t>1 150,7</w:t>
            </w:r>
          </w:p>
        </w:tc>
        <w:tc>
          <w:tcPr>
            <w:tcW w:w="1276" w:type="dxa"/>
            <w:tcBorders>
              <w:top w:val="nil"/>
              <w:left w:val="single" w:sz="4" w:space="0" w:color="auto"/>
              <w:bottom w:val="nil"/>
              <w:right w:val="single" w:sz="4" w:space="0" w:color="auto"/>
            </w:tcBorders>
            <w:vAlign w:val="center"/>
          </w:tcPr>
          <w:p w14:paraId="1A875851" w14:textId="6C514CFE" w:rsidR="00E6578D" w:rsidRPr="00E8518E" w:rsidRDefault="00E6578D" w:rsidP="00E6578D">
            <w:pPr>
              <w:jc w:val="right"/>
              <w:rPr>
                <w:i/>
                <w:color w:val="FF0000"/>
                <w:szCs w:val="24"/>
              </w:rPr>
            </w:pPr>
            <w:r w:rsidRPr="003F730C">
              <w:rPr>
                <w:i/>
                <w:szCs w:val="24"/>
              </w:rPr>
              <w:t>1 670</w:t>
            </w:r>
          </w:p>
        </w:tc>
        <w:tc>
          <w:tcPr>
            <w:tcW w:w="1134" w:type="dxa"/>
            <w:tcBorders>
              <w:top w:val="nil"/>
              <w:bottom w:val="nil"/>
            </w:tcBorders>
            <w:shd w:val="clear" w:color="auto" w:fill="auto"/>
            <w:vAlign w:val="center"/>
          </w:tcPr>
          <w:p w14:paraId="5553E3F5" w14:textId="0603A91C" w:rsidR="00E6578D" w:rsidRPr="0088307E" w:rsidRDefault="00E6578D" w:rsidP="00E6578D">
            <w:pPr>
              <w:jc w:val="right"/>
              <w:rPr>
                <w:rFonts w:eastAsia="Times New Roman" w:cs="Times New Roman"/>
                <w:i/>
                <w:lang w:eastAsia="cs-CZ"/>
              </w:rPr>
            </w:pPr>
            <w:r w:rsidRPr="008A7B08">
              <w:rPr>
                <w:rFonts w:eastAsia="Times New Roman" w:cs="Times New Roman"/>
                <w:i/>
                <w:lang w:eastAsia="cs-CZ"/>
              </w:rPr>
              <w:t>0</w:t>
            </w:r>
          </w:p>
        </w:tc>
        <w:tc>
          <w:tcPr>
            <w:tcW w:w="992" w:type="dxa"/>
            <w:tcBorders>
              <w:top w:val="nil"/>
              <w:bottom w:val="nil"/>
            </w:tcBorders>
            <w:shd w:val="clear" w:color="auto" w:fill="auto"/>
            <w:vAlign w:val="center"/>
          </w:tcPr>
          <w:p w14:paraId="0E5D0141" w14:textId="557B3BF6" w:rsidR="00E6578D" w:rsidRPr="0088307E" w:rsidRDefault="00E6578D" w:rsidP="00E6578D">
            <w:pPr>
              <w:jc w:val="right"/>
              <w:rPr>
                <w:rFonts w:eastAsia="Times New Roman" w:cs="Times New Roman"/>
                <w:i/>
                <w:lang w:eastAsia="cs-CZ"/>
              </w:rPr>
            </w:pPr>
            <w:r w:rsidRPr="004B1CB4">
              <w:rPr>
                <w:rFonts w:eastAsia="Times New Roman" w:cs="Times New Roman"/>
                <w:i/>
                <w:lang w:eastAsia="cs-CZ"/>
              </w:rPr>
              <w:t>x</w:t>
            </w:r>
          </w:p>
        </w:tc>
      </w:tr>
      <w:tr w:rsidR="00E6578D" w:rsidRPr="00E8518E" w14:paraId="739A08E3" w14:textId="77777777" w:rsidTr="00CC49DC">
        <w:trPr>
          <w:tblHeader/>
        </w:trPr>
        <w:tc>
          <w:tcPr>
            <w:tcW w:w="4280" w:type="dxa"/>
            <w:tcBorders>
              <w:top w:val="nil"/>
              <w:bottom w:val="nil"/>
            </w:tcBorders>
            <w:shd w:val="clear" w:color="auto" w:fill="auto"/>
          </w:tcPr>
          <w:p w14:paraId="759DC716" w14:textId="73B82D52"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40EB90FA" w14:textId="7BAFA4A3" w:rsidR="00E6578D" w:rsidRPr="00E8518E" w:rsidRDefault="00E6578D" w:rsidP="00E6578D">
            <w:pPr>
              <w:jc w:val="right"/>
              <w:rPr>
                <w:i/>
                <w:color w:val="FF0000"/>
                <w:szCs w:val="24"/>
              </w:rPr>
            </w:pPr>
            <w:r w:rsidRPr="003F730C">
              <w:rPr>
                <w:i/>
                <w:szCs w:val="24"/>
              </w:rPr>
              <w:t>220,2</w:t>
            </w:r>
          </w:p>
        </w:tc>
        <w:tc>
          <w:tcPr>
            <w:tcW w:w="1276" w:type="dxa"/>
            <w:tcBorders>
              <w:top w:val="nil"/>
              <w:left w:val="single" w:sz="4" w:space="0" w:color="auto"/>
              <w:bottom w:val="nil"/>
              <w:right w:val="single" w:sz="4" w:space="0" w:color="auto"/>
            </w:tcBorders>
            <w:vAlign w:val="center"/>
          </w:tcPr>
          <w:p w14:paraId="28259592" w14:textId="1C4BF92D" w:rsidR="00E6578D" w:rsidRPr="00E8518E" w:rsidRDefault="00E6578D" w:rsidP="00E6578D">
            <w:pPr>
              <w:jc w:val="right"/>
              <w:rPr>
                <w:i/>
                <w:color w:val="FF0000"/>
                <w:szCs w:val="24"/>
              </w:rPr>
            </w:pPr>
            <w:r w:rsidRPr="003F730C">
              <w:rPr>
                <w:i/>
                <w:szCs w:val="24"/>
              </w:rPr>
              <w:t>320</w:t>
            </w:r>
          </w:p>
        </w:tc>
        <w:tc>
          <w:tcPr>
            <w:tcW w:w="1134" w:type="dxa"/>
            <w:tcBorders>
              <w:top w:val="nil"/>
              <w:bottom w:val="nil"/>
            </w:tcBorders>
            <w:shd w:val="clear" w:color="auto" w:fill="auto"/>
            <w:vAlign w:val="center"/>
          </w:tcPr>
          <w:p w14:paraId="44E7D835" w14:textId="29A305D8" w:rsidR="00E6578D" w:rsidRPr="0088307E" w:rsidRDefault="00E6578D" w:rsidP="00E6578D">
            <w:pPr>
              <w:jc w:val="right"/>
              <w:rPr>
                <w:rFonts w:eastAsia="Times New Roman" w:cs="Times New Roman"/>
                <w:i/>
                <w:lang w:eastAsia="cs-CZ"/>
              </w:rPr>
            </w:pPr>
            <w:r w:rsidRPr="008A7B08">
              <w:rPr>
                <w:rFonts w:eastAsia="Times New Roman" w:cs="Times New Roman"/>
                <w:i/>
                <w:lang w:eastAsia="cs-CZ"/>
              </w:rPr>
              <w:t>0</w:t>
            </w:r>
          </w:p>
        </w:tc>
        <w:tc>
          <w:tcPr>
            <w:tcW w:w="992" w:type="dxa"/>
            <w:tcBorders>
              <w:top w:val="nil"/>
              <w:bottom w:val="nil"/>
            </w:tcBorders>
            <w:shd w:val="clear" w:color="auto" w:fill="auto"/>
            <w:vAlign w:val="center"/>
          </w:tcPr>
          <w:p w14:paraId="0D5E3EC0" w14:textId="6E2408C8" w:rsidR="00E6578D" w:rsidRPr="0088307E" w:rsidRDefault="00E6578D" w:rsidP="00E6578D">
            <w:pPr>
              <w:jc w:val="right"/>
              <w:rPr>
                <w:rFonts w:eastAsia="Times New Roman" w:cs="Times New Roman"/>
                <w:i/>
                <w:lang w:eastAsia="cs-CZ"/>
              </w:rPr>
            </w:pPr>
            <w:r w:rsidRPr="004B1CB4">
              <w:rPr>
                <w:rFonts w:eastAsia="Times New Roman" w:cs="Times New Roman"/>
                <w:i/>
                <w:lang w:eastAsia="cs-CZ"/>
              </w:rPr>
              <w:t>x</w:t>
            </w:r>
          </w:p>
        </w:tc>
      </w:tr>
      <w:tr w:rsidR="00E6578D" w:rsidRPr="00E8518E" w14:paraId="64067A4C" w14:textId="77777777" w:rsidTr="00CC49DC">
        <w:trPr>
          <w:tblHeader/>
        </w:trPr>
        <w:tc>
          <w:tcPr>
            <w:tcW w:w="4280" w:type="dxa"/>
            <w:tcBorders>
              <w:top w:val="nil"/>
              <w:bottom w:val="single" w:sz="4" w:space="0" w:color="7F7F7F" w:themeColor="text1" w:themeTint="80"/>
            </w:tcBorders>
            <w:shd w:val="clear" w:color="auto" w:fill="auto"/>
          </w:tcPr>
          <w:p w14:paraId="7753F50E" w14:textId="7771CE46"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6AED1F62" w14:textId="640349BD" w:rsidR="00E6578D" w:rsidRPr="00E8518E" w:rsidRDefault="00E6578D" w:rsidP="00E6578D">
            <w:pPr>
              <w:jc w:val="right"/>
              <w:rPr>
                <w:i/>
                <w:color w:val="FF0000"/>
                <w:szCs w:val="24"/>
              </w:rPr>
            </w:pPr>
            <w:r w:rsidRPr="003F730C">
              <w:rPr>
                <w:i/>
                <w:szCs w:val="24"/>
              </w:rPr>
              <w:t>930,4</w:t>
            </w:r>
          </w:p>
        </w:tc>
        <w:tc>
          <w:tcPr>
            <w:tcW w:w="1276" w:type="dxa"/>
            <w:tcBorders>
              <w:top w:val="nil"/>
              <w:left w:val="single" w:sz="4" w:space="0" w:color="auto"/>
              <w:bottom w:val="single" w:sz="4" w:space="0" w:color="auto"/>
              <w:right w:val="single" w:sz="4" w:space="0" w:color="auto"/>
            </w:tcBorders>
            <w:vAlign w:val="center"/>
          </w:tcPr>
          <w:p w14:paraId="25D9D1D6" w14:textId="6D30D0AB" w:rsidR="00E6578D" w:rsidRPr="00E8518E" w:rsidRDefault="00E6578D" w:rsidP="00E6578D">
            <w:pPr>
              <w:jc w:val="right"/>
              <w:rPr>
                <w:i/>
                <w:color w:val="FF0000"/>
                <w:szCs w:val="24"/>
              </w:rPr>
            </w:pPr>
            <w:r w:rsidRPr="003F730C">
              <w:rPr>
                <w:i/>
                <w:szCs w:val="24"/>
              </w:rPr>
              <w:t>1 350</w:t>
            </w:r>
          </w:p>
        </w:tc>
        <w:tc>
          <w:tcPr>
            <w:tcW w:w="1134" w:type="dxa"/>
            <w:tcBorders>
              <w:top w:val="nil"/>
              <w:bottom w:val="single" w:sz="4" w:space="0" w:color="7F7F7F" w:themeColor="text1" w:themeTint="80"/>
            </w:tcBorders>
            <w:shd w:val="clear" w:color="auto" w:fill="auto"/>
            <w:vAlign w:val="center"/>
          </w:tcPr>
          <w:p w14:paraId="3053D37D" w14:textId="04C21760" w:rsidR="00E6578D" w:rsidRPr="0088307E" w:rsidRDefault="00E6578D" w:rsidP="00E6578D">
            <w:pPr>
              <w:jc w:val="right"/>
              <w:rPr>
                <w:rFonts w:eastAsia="Times New Roman" w:cs="Times New Roman"/>
                <w:i/>
                <w:lang w:eastAsia="cs-CZ"/>
              </w:rPr>
            </w:pPr>
            <w:r w:rsidRPr="008A7B08">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14:paraId="1AE52699" w14:textId="25077D0B" w:rsidR="00E6578D" w:rsidRPr="0088307E" w:rsidRDefault="00E6578D" w:rsidP="00E6578D">
            <w:pPr>
              <w:jc w:val="right"/>
              <w:rPr>
                <w:rFonts w:eastAsia="Times New Roman" w:cs="Times New Roman"/>
                <w:i/>
                <w:lang w:eastAsia="cs-CZ"/>
              </w:rPr>
            </w:pPr>
            <w:r w:rsidRPr="004B1CB4">
              <w:rPr>
                <w:rFonts w:eastAsia="Times New Roman" w:cs="Times New Roman"/>
                <w:i/>
                <w:lang w:eastAsia="cs-CZ"/>
              </w:rPr>
              <w:t>x</w:t>
            </w:r>
          </w:p>
        </w:tc>
      </w:tr>
      <w:tr w:rsidR="00E6578D" w:rsidRPr="00E8518E" w14:paraId="6FA687BF" w14:textId="77777777" w:rsidTr="00CC49DC">
        <w:trPr>
          <w:trHeight w:val="324"/>
          <w:tblHeader/>
        </w:trPr>
        <w:tc>
          <w:tcPr>
            <w:tcW w:w="4280" w:type="dxa"/>
            <w:tcBorders>
              <w:top w:val="single" w:sz="4" w:space="0" w:color="7F7F7F" w:themeColor="text1" w:themeTint="80"/>
              <w:bottom w:val="nil"/>
            </w:tcBorders>
            <w:shd w:val="clear" w:color="auto" w:fill="auto"/>
          </w:tcPr>
          <w:p w14:paraId="678E90B8" w14:textId="2B54C732" w:rsidR="00E6578D" w:rsidRPr="00E8518E" w:rsidRDefault="00E6578D" w:rsidP="00E6578D">
            <w:pPr>
              <w:rPr>
                <w:rFonts w:eastAsia="Times New Roman" w:cs="Times New Roman"/>
                <w:color w:val="FF0000"/>
                <w:lang w:eastAsia="cs-CZ"/>
              </w:rPr>
            </w:pPr>
            <w:r w:rsidRPr="003F730C">
              <w:rPr>
                <w:rFonts w:eastAsia="Times New Roman" w:cs="Times New Roman"/>
                <w:lang w:eastAsia="cs-CZ"/>
              </w:rPr>
              <w:t>povinné pojistné placené zaměstnavatelem</w:t>
            </w:r>
          </w:p>
        </w:tc>
        <w:tc>
          <w:tcPr>
            <w:tcW w:w="1380" w:type="dxa"/>
            <w:tcBorders>
              <w:top w:val="single" w:sz="4" w:space="0" w:color="auto"/>
              <w:left w:val="single" w:sz="4" w:space="0" w:color="auto"/>
              <w:bottom w:val="nil"/>
              <w:right w:val="single" w:sz="4" w:space="0" w:color="auto"/>
            </w:tcBorders>
            <w:vAlign w:val="center"/>
          </w:tcPr>
          <w:p w14:paraId="6352DE40" w14:textId="6E6A857B" w:rsidR="00E6578D" w:rsidRPr="00E8518E" w:rsidRDefault="00E6578D" w:rsidP="00E6578D">
            <w:pPr>
              <w:jc w:val="right"/>
              <w:rPr>
                <w:color w:val="FF0000"/>
                <w:szCs w:val="24"/>
              </w:rPr>
            </w:pPr>
            <w:r w:rsidRPr="003F730C">
              <w:rPr>
                <w:szCs w:val="24"/>
              </w:rPr>
              <w:t>7 979</w:t>
            </w:r>
          </w:p>
        </w:tc>
        <w:tc>
          <w:tcPr>
            <w:tcW w:w="1276" w:type="dxa"/>
            <w:tcBorders>
              <w:top w:val="single" w:sz="4" w:space="0" w:color="auto"/>
              <w:left w:val="single" w:sz="4" w:space="0" w:color="auto"/>
              <w:bottom w:val="nil"/>
              <w:right w:val="single" w:sz="4" w:space="0" w:color="auto"/>
            </w:tcBorders>
            <w:vAlign w:val="center"/>
          </w:tcPr>
          <w:p w14:paraId="7D251D4E" w14:textId="078FA1FE" w:rsidR="00E6578D" w:rsidRPr="00E8518E" w:rsidRDefault="00E6578D" w:rsidP="00E6578D">
            <w:pPr>
              <w:jc w:val="right"/>
              <w:rPr>
                <w:color w:val="FF0000"/>
                <w:szCs w:val="24"/>
              </w:rPr>
            </w:pPr>
            <w:r w:rsidRPr="003F730C">
              <w:rPr>
                <w:szCs w:val="24"/>
              </w:rPr>
              <w:t>7 980</w:t>
            </w:r>
          </w:p>
        </w:tc>
        <w:tc>
          <w:tcPr>
            <w:tcW w:w="1134" w:type="dxa"/>
            <w:tcBorders>
              <w:top w:val="single" w:sz="4" w:space="0" w:color="7F7F7F" w:themeColor="text1" w:themeTint="80"/>
              <w:bottom w:val="nil"/>
            </w:tcBorders>
            <w:shd w:val="clear" w:color="auto" w:fill="auto"/>
            <w:vAlign w:val="center"/>
          </w:tcPr>
          <w:p w14:paraId="13E2344C" w14:textId="1FFAC2BB" w:rsidR="00E6578D" w:rsidRPr="0088307E" w:rsidRDefault="00122904" w:rsidP="00E6578D">
            <w:pPr>
              <w:jc w:val="right"/>
              <w:rPr>
                <w:rFonts w:eastAsia="Times New Roman" w:cs="Times New Roman"/>
                <w:lang w:eastAsia="cs-CZ"/>
              </w:rPr>
            </w:pPr>
            <w:r w:rsidRPr="0088307E">
              <w:rPr>
                <w:rFonts w:eastAsia="Times New Roman" w:cs="Times New Roman"/>
                <w:lang w:eastAsia="cs-CZ"/>
              </w:rPr>
              <w:t>7 964</w:t>
            </w:r>
          </w:p>
        </w:tc>
        <w:tc>
          <w:tcPr>
            <w:tcW w:w="992" w:type="dxa"/>
            <w:tcBorders>
              <w:top w:val="single" w:sz="4" w:space="0" w:color="7F7F7F" w:themeColor="text1" w:themeTint="80"/>
              <w:bottom w:val="nil"/>
            </w:tcBorders>
            <w:shd w:val="clear" w:color="auto" w:fill="auto"/>
            <w:vAlign w:val="center"/>
          </w:tcPr>
          <w:p w14:paraId="67FCFDEE" w14:textId="720D5221" w:rsidR="00E6578D" w:rsidRPr="0088307E" w:rsidRDefault="00667E2D" w:rsidP="00E6578D">
            <w:pPr>
              <w:jc w:val="right"/>
              <w:rPr>
                <w:rFonts w:eastAsia="Times New Roman" w:cs="Times New Roman"/>
                <w:lang w:eastAsia="cs-CZ"/>
              </w:rPr>
            </w:pPr>
            <w:r w:rsidRPr="0088307E">
              <w:rPr>
                <w:rFonts w:eastAsia="Times New Roman" w:cs="Times New Roman"/>
                <w:lang w:eastAsia="cs-CZ"/>
              </w:rPr>
              <w:t>99,80</w:t>
            </w:r>
            <w:r w:rsidR="00E6578D" w:rsidRPr="00667E2D">
              <w:rPr>
                <w:rFonts w:eastAsia="Times New Roman" w:cs="Times New Roman"/>
                <w:lang w:eastAsia="cs-CZ"/>
              </w:rPr>
              <w:t xml:space="preserve"> </w:t>
            </w:r>
          </w:p>
        </w:tc>
      </w:tr>
      <w:tr w:rsidR="00E6578D" w:rsidRPr="00E8518E" w14:paraId="0BADE671" w14:textId="77777777" w:rsidTr="00CC49DC">
        <w:trPr>
          <w:tblHeader/>
        </w:trPr>
        <w:tc>
          <w:tcPr>
            <w:tcW w:w="4280" w:type="dxa"/>
            <w:tcBorders>
              <w:top w:val="nil"/>
              <w:bottom w:val="nil"/>
            </w:tcBorders>
            <w:shd w:val="clear" w:color="auto" w:fill="auto"/>
          </w:tcPr>
          <w:p w14:paraId="62B2A6FE" w14:textId="04149FCC" w:rsidR="00E6578D" w:rsidRPr="00E8518E" w:rsidRDefault="00E6578D" w:rsidP="00E6578D">
            <w:pPr>
              <w:jc w:val="left"/>
              <w:rPr>
                <w:rFonts w:eastAsia="Times New Roman" w:cs="Times New Roman"/>
                <w:i/>
                <w:color w:val="FF0000"/>
                <w:lang w:eastAsia="cs-CZ"/>
              </w:rPr>
            </w:pPr>
            <w:r w:rsidRPr="003F730C">
              <w:rPr>
                <w:rFonts w:eastAsia="Times New Roman" w:cs="Times New Roman"/>
                <w:i/>
                <w:lang w:eastAsia="cs-CZ"/>
              </w:rPr>
              <w:t xml:space="preserve">z toho: výdaje na programy </w:t>
            </w:r>
            <w:proofErr w:type="spellStart"/>
            <w:r w:rsidRPr="003F730C">
              <w:rPr>
                <w:rFonts w:eastAsia="Times New Roman" w:cs="Times New Roman"/>
                <w:i/>
                <w:lang w:eastAsia="cs-CZ"/>
              </w:rPr>
              <w:t>spolufin</w:t>
            </w:r>
            <w:proofErr w:type="spellEnd"/>
            <w:r w:rsidRPr="003F730C">
              <w:rPr>
                <w:rFonts w:eastAsia="Times New Roman" w:cs="Times New Roman"/>
                <w:i/>
                <w:lang w:eastAsia="cs-CZ"/>
              </w:rPr>
              <w:t>.</w:t>
            </w:r>
            <w:r w:rsidRPr="003F730C">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7ABD3ACE" w14:textId="2643067D" w:rsidR="00E6578D" w:rsidRPr="00E8518E" w:rsidRDefault="00E6578D" w:rsidP="00E6578D">
            <w:pPr>
              <w:jc w:val="right"/>
              <w:rPr>
                <w:i/>
                <w:color w:val="FF0000"/>
                <w:szCs w:val="24"/>
              </w:rPr>
            </w:pPr>
            <w:r w:rsidRPr="003F730C">
              <w:rPr>
                <w:i/>
                <w:szCs w:val="24"/>
              </w:rPr>
              <w:t>382,2</w:t>
            </w:r>
          </w:p>
        </w:tc>
        <w:tc>
          <w:tcPr>
            <w:tcW w:w="1276" w:type="dxa"/>
            <w:tcBorders>
              <w:top w:val="nil"/>
              <w:left w:val="single" w:sz="4" w:space="0" w:color="auto"/>
              <w:bottom w:val="nil"/>
              <w:right w:val="single" w:sz="4" w:space="0" w:color="auto"/>
            </w:tcBorders>
            <w:vAlign w:val="center"/>
          </w:tcPr>
          <w:p w14:paraId="4885FD8D" w14:textId="745CB7C8" w:rsidR="00E6578D" w:rsidRPr="00E8518E" w:rsidRDefault="00E6578D" w:rsidP="00E6578D">
            <w:pPr>
              <w:jc w:val="right"/>
              <w:rPr>
                <w:i/>
                <w:color w:val="FF0000"/>
                <w:szCs w:val="24"/>
              </w:rPr>
            </w:pPr>
            <w:r w:rsidRPr="003F730C">
              <w:rPr>
                <w:i/>
                <w:szCs w:val="24"/>
              </w:rPr>
              <w:t>564</w:t>
            </w:r>
          </w:p>
        </w:tc>
        <w:tc>
          <w:tcPr>
            <w:tcW w:w="1134" w:type="dxa"/>
            <w:tcBorders>
              <w:top w:val="nil"/>
              <w:bottom w:val="nil"/>
            </w:tcBorders>
            <w:shd w:val="clear" w:color="auto" w:fill="auto"/>
            <w:vAlign w:val="center"/>
          </w:tcPr>
          <w:p w14:paraId="575CE8DB" w14:textId="240373B6" w:rsidR="00E6578D" w:rsidRPr="0088307E" w:rsidRDefault="00E6578D" w:rsidP="00E6578D">
            <w:pPr>
              <w:jc w:val="right"/>
              <w:rPr>
                <w:rFonts w:eastAsia="Times New Roman" w:cs="Times New Roman"/>
                <w:i/>
                <w:lang w:eastAsia="cs-CZ"/>
              </w:rPr>
            </w:pPr>
            <w:r w:rsidRPr="00122904">
              <w:rPr>
                <w:rFonts w:eastAsia="Times New Roman" w:cs="Times New Roman"/>
                <w:i/>
                <w:lang w:eastAsia="cs-CZ"/>
              </w:rPr>
              <w:t>0</w:t>
            </w:r>
          </w:p>
        </w:tc>
        <w:tc>
          <w:tcPr>
            <w:tcW w:w="992" w:type="dxa"/>
            <w:tcBorders>
              <w:top w:val="nil"/>
              <w:bottom w:val="nil"/>
            </w:tcBorders>
            <w:shd w:val="clear" w:color="auto" w:fill="auto"/>
            <w:vAlign w:val="center"/>
          </w:tcPr>
          <w:p w14:paraId="225E0336" w14:textId="337AD0EE" w:rsidR="00E6578D" w:rsidRPr="0088307E" w:rsidRDefault="00E6578D" w:rsidP="00E6578D">
            <w:pPr>
              <w:jc w:val="right"/>
              <w:rPr>
                <w:rFonts w:eastAsia="Times New Roman" w:cs="Times New Roman"/>
                <w:i/>
                <w:lang w:eastAsia="cs-CZ"/>
              </w:rPr>
            </w:pPr>
            <w:r w:rsidRPr="00667E2D">
              <w:rPr>
                <w:rFonts w:eastAsia="Times New Roman" w:cs="Times New Roman"/>
                <w:i/>
                <w:lang w:eastAsia="cs-CZ"/>
              </w:rPr>
              <w:t>x</w:t>
            </w:r>
          </w:p>
        </w:tc>
      </w:tr>
      <w:tr w:rsidR="00E6578D" w:rsidRPr="00E8518E" w14:paraId="10AD258D" w14:textId="77777777" w:rsidTr="00CC49DC">
        <w:trPr>
          <w:tblHeader/>
        </w:trPr>
        <w:tc>
          <w:tcPr>
            <w:tcW w:w="4280" w:type="dxa"/>
            <w:tcBorders>
              <w:top w:val="nil"/>
              <w:bottom w:val="nil"/>
            </w:tcBorders>
            <w:shd w:val="clear" w:color="auto" w:fill="auto"/>
          </w:tcPr>
          <w:p w14:paraId="296E3CE4" w14:textId="09ADFCB4"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0522C761" w14:textId="72C42861" w:rsidR="00E6578D" w:rsidRPr="00E8518E" w:rsidRDefault="00E6578D" w:rsidP="00E6578D">
            <w:pPr>
              <w:jc w:val="right"/>
              <w:rPr>
                <w:i/>
                <w:color w:val="FF0000"/>
                <w:szCs w:val="24"/>
              </w:rPr>
            </w:pPr>
            <w:r w:rsidRPr="003F730C">
              <w:rPr>
                <w:i/>
                <w:szCs w:val="24"/>
              </w:rPr>
              <w:t>73,2</w:t>
            </w:r>
          </w:p>
        </w:tc>
        <w:tc>
          <w:tcPr>
            <w:tcW w:w="1276" w:type="dxa"/>
            <w:tcBorders>
              <w:top w:val="nil"/>
              <w:left w:val="single" w:sz="4" w:space="0" w:color="auto"/>
              <w:bottom w:val="nil"/>
              <w:right w:val="single" w:sz="4" w:space="0" w:color="auto"/>
            </w:tcBorders>
            <w:vAlign w:val="center"/>
          </w:tcPr>
          <w:p w14:paraId="224791D5" w14:textId="6A4E0AC5" w:rsidR="00E6578D" w:rsidRPr="00E8518E" w:rsidRDefault="00E6578D" w:rsidP="00E6578D">
            <w:pPr>
              <w:jc w:val="right"/>
              <w:rPr>
                <w:i/>
                <w:color w:val="FF0000"/>
                <w:szCs w:val="24"/>
              </w:rPr>
            </w:pPr>
            <w:r w:rsidRPr="003F730C">
              <w:rPr>
                <w:i/>
                <w:szCs w:val="24"/>
              </w:rPr>
              <w:t>108</w:t>
            </w:r>
          </w:p>
        </w:tc>
        <w:tc>
          <w:tcPr>
            <w:tcW w:w="1134" w:type="dxa"/>
            <w:tcBorders>
              <w:top w:val="nil"/>
              <w:bottom w:val="nil"/>
            </w:tcBorders>
            <w:shd w:val="clear" w:color="auto" w:fill="auto"/>
            <w:vAlign w:val="center"/>
          </w:tcPr>
          <w:p w14:paraId="2EB257B2" w14:textId="4F001962" w:rsidR="00E6578D" w:rsidRPr="0088307E" w:rsidRDefault="00E6578D" w:rsidP="00E6578D">
            <w:pPr>
              <w:jc w:val="right"/>
              <w:rPr>
                <w:rFonts w:eastAsia="Times New Roman" w:cs="Times New Roman"/>
                <w:i/>
                <w:lang w:eastAsia="cs-CZ"/>
              </w:rPr>
            </w:pPr>
            <w:r w:rsidRPr="00122904">
              <w:rPr>
                <w:rFonts w:eastAsia="Times New Roman" w:cs="Times New Roman"/>
                <w:i/>
                <w:lang w:eastAsia="cs-CZ"/>
              </w:rPr>
              <w:t>0</w:t>
            </w:r>
          </w:p>
        </w:tc>
        <w:tc>
          <w:tcPr>
            <w:tcW w:w="992" w:type="dxa"/>
            <w:tcBorders>
              <w:top w:val="nil"/>
              <w:bottom w:val="nil"/>
            </w:tcBorders>
            <w:shd w:val="clear" w:color="auto" w:fill="auto"/>
            <w:vAlign w:val="center"/>
          </w:tcPr>
          <w:p w14:paraId="0ADB0DCD" w14:textId="51DA9B11" w:rsidR="00E6578D" w:rsidRPr="0088307E" w:rsidRDefault="00E6578D" w:rsidP="00E6578D">
            <w:pPr>
              <w:jc w:val="right"/>
              <w:rPr>
                <w:rFonts w:eastAsia="Times New Roman" w:cs="Times New Roman"/>
                <w:i/>
                <w:lang w:eastAsia="cs-CZ"/>
              </w:rPr>
            </w:pPr>
            <w:r w:rsidRPr="00667E2D">
              <w:rPr>
                <w:rFonts w:eastAsia="Times New Roman" w:cs="Times New Roman"/>
                <w:i/>
                <w:lang w:eastAsia="cs-CZ"/>
              </w:rPr>
              <w:t>x</w:t>
            </w:r>
          </w:p>
        </w:tc>
      </w:tr>
      <w:tr w:rsidR="00E6578D" w:rsidRPr="00E8518E" w14:paraId="29A6155D" w14:textId="77777777" w:rsidTr="00CC49DC">
        <w:trPr>
          <w:tblHeader/>
        </w:trPr>
        <w:tc>
          <w:tcPr>
            <w:tcW w:w="4280" w:type="dxa"/>
            <w:tcBorders>
              <w:top w:val="nil"/>
              <w:bottom w:val="single" w:sz="4" w:space="0" w:color="7F7F7F" w:themeColor="text1" w:themeTint="80"/>
            </w:tcBorders>
            <w:shd w:val="clear" w:color="auto" w:fill="auto"/>
          </w:tcPr>
          <w:p w14:paraId="5D864EEA" w14:textId="4A7BCC8B"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048E45CC" w14:textId="0A62C385" w:rsidR="00E6578D" w:rsidRPr="00E8518E" w:rsidRDefault="00E6578D" w:rsidP="00E6578D">
            <w:pPr>
              <w:jc w:val="right"/>
              <w:rPr>
                <w:i/>
                <w:color w:val="FF0000"/>
                <w:szCs w:val="24"/>
              </w:rPr>
            </w:pPr>
            <w:r w:rsidRPr="003F730C">
              <w:rPr>
                <w:i/>
                <w:szCs w:val="24"/>
              </w:rPr>
              <w:t>309,1</w:t>
            </w:r>
          </w:p>
        </w:tc>
        <w:tc>
          <w:tcPr>
            <w:tcW w:w="1276" w:type="dxa"/>
            <w:tcBorders>
              <w:top w:val="nil"/>
              <w:left w:val="single" w:sz="4" w:space="0" w:color="auto"/>
              <w:bottom w:val="single" w:sz="4" w:space="0" w:color="auto"/>
              <w:right w:val="single" w:sz="4" w:space="0" w:color="auto"/>
            </w:tcBorders>
            <w:vAlign w:val="center"/>
          </w:tcPr>
          <w:p w14:paraId="61184DF7" w14:textId="09F382B0" w:rsidR="00E6578D" w:rsidRPr="00E8518E" w:rsidRDefault="00E6578D" w:rsidP="00E6578D">
            <w:pPr>
              <w:jc w:val="right"/>
              <w:rPr>
                <w:i/>
                <w:color w:val="FF0000"/>
                <w:szCs w:val="24"/>
              </w:rPr>
            </w:pPr>
            <w:r w:rsidRPr="003F730C">
              <w:rPr>
                <w:i/>
                <w:szCs w:val="24"/>
              </w:rPr>
              <w:t>456</w:t>
            </w:r>
          </w:p>
        </w:tc>
        <w:tc>
          <w:tcPr>
            <w:tcW w:w="1134" w:type="dxa"/>
            <w:tcBorders>
              <w:top w:val="nil"/>
              <w:bottom w:val="single" w:sz="4" w:space="0" w:color="7F7F7F" w:themeColor="text1" w:themeTint="80"/>
            </w:tcBorders>
            <w:shd w:val="clear" w:color="auto" w:fill="auto"/>
            <w:vAlign w:val="center"/>
          </w:tcPr>
          <w:p w14:paraId="7C73F908" w14:textId="5DE94458" w:rsidR="00E6578D" w:rsidRPr="0088307E" w:rsidRDefault="00E6578D" w:rsidP="00E6578D">
            <w:pPr>
              <w:jc w:val="right"/>
              <w:rPr>
                <w:rFonts w:eastAsia="Times New Roman" w:cs="Times New Roman"/>
                <w:i/>
                <w:lang w:eastAsia="cs-CZ"/>
              </w:rPr>
            </w:pPr>
            <w:r w:rsidRPr="00122904">
              <w:rPr>
                <w:rFonts w:eastAsia="Times New Roman" w:cs="Times New Roman"/>
                <w:i/>
                <w:lang w:eastAsia="cs-CZ"/>
              </w:rPr>
              <w:t>0</w:t>
            </w:r>
          </w:p>
        </w:tc>
        <w:tc>
          <w:tcPr>
            <w:tcW w:w="992" w:type="dxa"/>
            <w:tcBorders>
              <w:top w:val="nil"/>
              <w:bottom w:val="single" w:sz="4" w:space="0" w:color="7F7F7F" w:themeColor="text1" w:themeTint="80"/>
            </w:tcBorders>
            <w:shd w:val="clear" w:color="auto" w:fill="auto"/>
            <w:vAlign w:val="center"/>
          </w:tcPr>
          <w:p w14:paraId="0825B53A" w14:textId="58EFDCD4" w:rsidR="00E6578D" w:rsidRPr="0088307E" w:rsidRDefault="00E6578D" w:rsidP="00E6578D">
            <w:pPr>
              <w:jc w:val="right"/>
              <w:rPr>
                <w:rFonts w:eastAsia="Times New Roman" w:cs="Times New Roman"/>
                <w:i/>
                <w:lang w:eastAsia="cs-CZ"/>
              </w:rPr>
            </w:pPr>
            <w:r w:rsidRPr="00667E2D">
              <w:rPr>
                <w:rFonts w:eastAsia="Times New Roman" w:cs="Times New Roman"/>
                <w:i/>
                <w:lang w:eastAsia="cs-CZ"/>
              </w:rPr>
              <w:t>x</w:t>
            </w:r>
          </w:p>
        </w:tc>
      </w:tr>
      <w:tr w:rsidR="00E6578D" w:rsidRPr="00E8518E" w14:paraId="73C851B4" w14:textId="77777777" w:rsidTr="00CC49DC">
        <w:trPr>
          <w:trHeight w:val="358"/>
          <w:tblHeader/>
        </w:trPr>
        <w:tc>
          <w:tcPr>
            <w:tcW w:w="4280" w:type="dxa"/>
            <w:tcBorders>
              <w:top w:val="single" w:sz="4" w:space="0" w:color="7F7F7F" w:themeColor="text1" w:themeTint="80"/>
              <w:bottom w:val="nil"/>
            </w:tcBorders>
            <w:shd w:val="clear" w:color="auto" w:fill="auto"/>
          </w:tcPr>
          <w:p w14:paraId="638E5977" w14:textId="04F78A56" w:rsidR="00E6578D" w:rsidRPr="00E8518E" w:rsidRDefault="00E6578D" w:rsidP="00E6578D">
            <w:pPr>
              <w:rPr>
                <w:rFonts w:eastAsia="Times New Roman" w:cs="Times New Roman"/>
                <w:color w:val="FF0000"/>
                <w:lang w:eastAsia="cs-CZ"/>
              </w:rPr>
            </w:pPr>
            <w:r w:rsidRPr="003F730C">
              <w:rPr>
                <w:rFonts w:eastAsia="Times New Roman" w:cs="Times New Roman"/>
                <w:lang w:eastAsia="cs-CZ"/>
              </w:rPr>
              <w:t>příděl FKSP</w:t>
            </w:r>
          </w:p>
        </w:tc>
        <w:tc>
          <w:tcPr>
            <w:tcW w:w="1380" w:type="dxa"/>
            <w:tcBorders>
              <w:top w:val="single" w:sz="4" w:space="0" w:color="auto"/>
              <w:left w:val="single" w:sz="4" w:space="0" w:color="auto"/>
              <w:bottom w:val="nil"/>
              <w:right w:val="single" w:sz="4" w:space="0" w:color="auto"/>
            </w:tcBorders>
            <w:vAlign w:val="center"/>
          </w:tcPr>
          <w:p w14:paraId="670B0B69" w14:textId="2782A623" w:rsidR="00E6578D" w:rsidRPr="00E8518E" w:rsidRDefault="00E6578D" w:rsidP="00E6578D">
            <w:pPr>
              <w:jc w:val="right"/>
              <w:rPr>
                <w:color w:val="FF0000"/>
                <w:szCs w:val="24"/>
              </w:rPr>
            </w:pPr>
            <w:r w:rsidRPr="003F730C">
              <w:rPr>
                <w:szCs w:val="24"/>
              </w:rPr>
              <w:t>472</w:t>
            </w:r>
          </w:p>
        </w:tc>
        <w:tc>
          <w:tcPr>
            <w:tcW w:w="1276" w:type="dxa"/>
            <w:tcBorders>
              <w:top w:val="single" w:sz="4" w:space="0" w:color="auto"/>
              <w:left w:val="single" w:sz="4" w:space="0" w:color="auto"/>
              <w:bottom w:val="nil"/>
              <w:right w:val="single" w:sz="4" w:space="0" w:color="auto"/>
            </w:tcBorders>
            <w:vAlign w:val="center"/>
          </w:tcPr>
          <w:p w14:paraId="2DC1AB8A" w14:textId="5A2C5C96" w:rsidR="00E6578D" w:rsidRPr="00E8518E" w:rsidRDefault="00E6578D" w:rsidP="00E6578D">
            <w:pPr>
              <w:jc w:val="right"/>
              <w:rPr>
                <w:color w:val="FF0000"/>
                <w:szCs w:val="24"/>
              </w:rPr>
            </w:pPr>
            <w:r w:rsidRPr="003F730C">
              <w:rPr>
                <w:szCs w:val="24"/>
              </w:rPr>
              <w:t>469</w:t>
            </w:r>
          </w:p>
        </w:tc>
        <w:tc>
          <w:tcPr>
            <w:tcW w:w="1134" w:type="dxa"/>
            <w:tcBorders>
              <w:top w:val="single" w:sz="4" w:space="0" w:color="7F7F7F" w:themeColor="text1" w:themeTint="80"/>
              <w:bottom w:val="nil"/>
            </w:tcBorders>
            <w:shd w:val="clear" w:color="auto" w:fill="auto"/>
            <w:vAlign w:val="center"/>
          </w:tcPr>
          <w:p w14:paraId="79DE924A" w14:textId="72E8D875" w:rsidR="00E6578D" w:rsidRPr="0088307E" w:rsidRDefault="00182A64" w:rsidP="00E6578D">
            <w:pPr>
              <w:jc w:val="right"/>
              <w:rPr>
                <w:rFonts w:eastAsia="Times New Roman" w:cs="Times New Roman"/>
                <w:lang w:eastAsia="cs-CZ"/>
              </w:rPr>
            </w:pPr>
            <w:r w:rsidRPr="0088307E">
              <w:rPr>
                <w:rFonts w:eastAsia="Times New Roman" w:cs="Times New Roman"/>
                <w:lang w:eastAsia="cs-CZ"/>
              </w:rPr>
              <w:t>471</w:t>
            </w:r>
          </w:p>
        </w:tc>
        <w:tc>
          <w:tcPr>
            <w:tcW w:w="992" w:type="dxa"/>
            <w:tcBorders>
              <w:top w:val="single" w:sz="4" w:space="0" w:color="7F7F7F" w:themeColor="text1" w:themeTint="80"/>
              <w:bottom w:val="nil"/>
            </w:tcBorders>
            <w:shd w:val="clear" w:color="auto" w:fill="auto"/>
            <w:vAlign w:val="center"/>
          </w:tcPr>
          <w:p w14:paraId="6A9F13D2" w14:textId="69C4E4E8" w:rsidR="00E6578D" w:rsidRPr="00182A64" w:rsidRDefault="00667E2D" w:rsidP="00E6578D">
            <w:pPr>
              <w:jc w:val="right"/>
              <w:rPr>
                <w:rFonts w:eastAsia="Times New Roman" w:cs="Times New Roman"/>
                <w:color w:val="FF0000"/>
                <w:lang w:eastAsia="cs-CZ"/>
              </w:rPr>
            </w:pPr>
            <w:r w:rsidRPr="0088307E">
              <w:rPr>
                <w:rFonts w:eastAsia="Times New Roman" w:cs="Times New Roman"/>
                <w:lang w:eastAsia="cs-CZ"/>
              </w:rPr>
              <w:t>100,43</w:t>
            </w:r>
          </w:p>
        </w:tc>
      </w:tr>
      <w:tr w:rsidR="00E6578D" w:rsidRPr="00E8518E" w14:paraId="62C84DDE" w14:textId="77777777" w:rsidTr="00CC49DC">
        <w:trPr>
          <w:tblHeader/>
        </w:trPr>
        <w:tc>
          <w:tcPr>
            <w:tcW w:w="4280" w:type="dxa"/>
            <w:tcBorders>
              <w:top w:val="nil"/>
              <w:bottom w:val="nil"/>
            </w:tcBorders>
            <w:shd w:val="clear" w:color="auto" w:fill="auto"/>
          </w:tcPr>
          <w:p w14:paraId="66F34E3D" w14:textId="1307468E" w:rsidR="00E6578D" w:rsidRPr="00E8518E" w:rsidRDefault="00E6578D" w:rsidP="00E6578D">
            <w:pPr>
              <w:jc w:val="left"/>
              <w:rPr>
                <w:rFonts w:eastAsia="Times New Roman" w:cs="Times New Roman"/>
                <w:i/>
                <w:color w:val="FF0000"/>
                <w:lang w:eastAsia="cs-CZ"/>
              </w:rPr>
            </w:pPr>
            <w:r w:rsidRPr="003F730C">
              <w:rPr>
                <w:rFonts w:eastAsia="Times New Roman" w:cs="Times New Roman"/>
                <w:i/>
                <w:lang w:eastAsia="cs-CZ"/>
              </w:rPr>
              <w:t xml:space="preserve">z toho: výdaje na programy </w:t>
            </w:r>
            <w:proofErr w:type="spellStart"/>
            <w:r w:rsidRPr="003F730C">
              <w:rPr>
                <w:rFonts w:eastAsia="Times New Roman" w:cs="Times New Roman"/>
                <w:i/>
                <w:lang w:eastAsia="cs-CZ"/>
              </w:rPr>
              <w:t>spolufin</w:t>
            </w:r>
            <w:proofErr w:type="spellEnd"/>
            <w:r w:rsidRPr="003F730C">
              <w:rPr>
                <w:rFonts w:eastAsia="Times New Roman" w:cs="Times New Roman"/>
                <w:i/>
                <w:lang w:eastAsia="cs-CZ"/>
              </w:rPr>
              <w:t>.</w:t>
            </w:r>
            <w:r w:rsidRPr="003F730C">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1F0D7113" w14:textId="192A6BE9" w:rsidR="00E6578D" w:rsidRPr="00E8518E" w:rsidRDefault="00E6578D" w:rsidP="00E6578D">
            <w:pPr>
              <w:jc w:val="right"/>
              <w:rPr>
                <w:i/>
                <w:color w:val="FF0000"/>
                <w:szCs w:val="24"/>
              </w:rPr>
            </w:pPr>
            <w:r w:rsidRPr="003F730C">
              <w:rPr>
                <w:i/>
                <w:szCs w:val="24"/>
              </w:rPr>
              <w:t>22,6</w:t>
            </w:r>
          </w:p>
        </w:tc>
        <w:tc>
          <w:tcPr>
            <w:tcW w:w="1276" w:type="dxa"/>
            <w:tcBorders>
              <w:top w:val="nil"/>
              <w:left w:val="single" w:sz="4" w:space="0" w:color="auto"/>
              <w:bottom w:val="nil"/>
              <w:right w:val="single" w:sz="4" w:space="0" w:color="auto"/>
            </w:tcBorders>
            <w:vAlign w:val="center"/>
          </w:tcPr>
          <w:p w14:paraId="61B7A37E" w14:textId="0B7A9793" w:rsidR="00E6578D" w:rsidRPr="00E8518E" w:rsidRDefault="00E6578D" w:rsidP="00E6578D">
            <w:pPr>
              <w:jc w:val="right"/>
              <w:rPr>
                <w:i/>
                <w:color w:val="FF0000"/>
                <w:szCs w:val="24"/>
              </w:rPr>
            </w:pPr>
            <w:r w:rsidRPr="003F730C">
              <w:rPr>
                <w:i/>
                <w:szCs w:val="24"/>
              </w:rPr>
              <w:t>30,3</w:t>
            </w:r>
          </w:p>
        </w:tc>
        <w:tc>
          <w:tcPr>
            <w:tcW w:w="1134" w:type="dxa"/>
            <w:tcBorders>
              <w:top w:val="nil"/>
              <w:bottom w:val="nil"/>
            </w:tcBorders>
            <w:shd w:val="clear" w:color="auto" w:fill="auto"/>
            <w:vAlign w:val="center"/>
          </w:tcPr>
          <w:p w14:paraId="5D07FE73" w14:textId="79159247" w:rsidR="00E6578D" w:rsidRPr="0088307E" w:rsidRDefault="00E6578D" w:rsidP="00E6578D">
            <w:pPr>
              <w:jc w:val="right"/>
              <w:rPr>
                <w:rFonts w:eastAsia="Times New Roman" w:cs="Times New Roman"/>
                <w:i/>
                <w:lang w:eastAsia="cs-CZ"/>
              </w:rPr>
            </w:pPr>
            <w:r w:rsidRPr="00182A64">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14:paraId="16B96E47" w14:textId="4B99B09E" w:rsidR="00E6578D" w:rsidRPr="0088307E" w:rsidRDefault="00E6578D" w:rsidP="00E6578D">
            <w:pPr>
              <w:jc w:val="right"/>
              <w:rPr>
                <w:rFonts w:eastAsia="Times New Roman" w:cs="Times New Roman"/>
                <w:i/>
                <w:lang w:eastAsia="cs-CZ"/>
              </w:rPr>
            </w:pPr>
            <w:r w:rsidRPr="008509E2">
              <w:rPr>
                <w:rFonts w:eastAsia="Times New Roman" w:cs="Times New Roman"/>
                <w:i/>
                <w:lang w:eastAsia="cs-CZ"/>
              </w:rPr>
              <w:t>x</w:t>
            </w:r>
          </w:p>
        </w:tc>
      </w:tr>
      <w:tr w:rsidR="00E6578D" w:rsidRPr="00E8518E" w14:paraId="09A9A539" w14:textId="77777777" w:rsidTr="00CC49DC">
        <w:trPr>
          <w:tblHeader/>
        </w:trPr>
        <w:tc>
          <w:tcPr>
            <w:tcW w:w="4280" w:type="dxa"/>
            <w:tcBorders>
              <w:top w:val="nil"/>
              <w:bottom w:val="nil"/>
            </w:tcBorders>
            <w:shd w:val="clear" w:color="auto" w:fill="auto"/>
          </w:tcPr>
          <w:p w14:paraId="396020B4" w14:textId="62197CEE"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37D3782D" w14:textId="06DAA702" w:rsidR="00E6578D" w:rsidRPr="00E8518E" w:rsidRDefault="00E6578D" w:rsidP="00E6578D">
            <w:pPr>
              <w:jc w:val="right"/>
              <w:rPr>
                <w:i/>
                <w:color w:val="FF0000"/>
                <w:szCs w:val="24"/>
              </w:rPr>
            </w:pPr>
            <w:r w:rsidRPr="003F730C">
              <w:rPr>
                <w:i/>
                <w:szCs w:val="24"/>
              </w:rPr>
              <w:t>4,3</w:t>
            </w:r>
          </w:p>
        </w:tc>
        <w:tc>
          <w:tcPr>
            <w:tcW w:w="1276" w:type="dxa"/>
            <w:tcBorders>
              <w:top w:val="nil"/>
              <w:left w:val="single" w:sz="4" w:space="0" w:color="auto"/>
              <w:bottom w:val="nil"/>
              <w:right w:val="single" w:sz="4" w:space="0" w:color="auto"/>
            </w:tcBorders>
            <w:vAlign w:val="center"/>
          </w:tcPr>
          <w:p w14:paraId="46B62792" w14:textId="0D45A476" w:rsidR="00E6578D" w:rsidRPr="00E8518E" w:rsidRDefault="00E6578D" w:rsidP="00E6578D">
            <w:pPr>
              <w:jc w:val="right"/>
              <w:rPr>
                <w:i/>
                <w:color w:val="FF0000"/>
                <w:szCs w:val="24"/>
              </w:rPr>
            </w:pPr>
            <w:r w:rsidRPr="003F730C">
              <w:rPr>
                <w:i/>
                <w:szCs w:val="24"/>
              </w:rPr>
              <w:t>5,8</w:t>
            </w:r>
          </w:p>
        </w:tc>
        <w:tc>
          <w:tcPr>
            <w:tcW w:w="1134" w:type="dxa"/>
            <w:tcBorders>
              <w:top w:val="nil"/>
              <w:bottom w:val="nil"/>
            </w:tcBorders>
            <w:shd w:val="clear" w:color="auto" w:fill="auto"/>
            <w:vAlign w:val="center"/>
          </w:tcPr>
          <w:p w14:paraId="5518E1FB" w14:textId="43C30734" w:rsidR="00E6578D" w:rsidRPr="0088307E" w:rsidRDefault="00E6578D" w:rsidP="00E6578D">
            <w:pPr>
              <w:jc w:val="right"/>
              <w:rPr>
                <w:rFonts w:eastAsia="Times New Roman" w:cs="Times New Roman"/>
                <w:i/>
                <w:lang w:eastAsia="cs-CZ"/>
              </w:rPr>
            </w:pPr>
            <w:r w:rsidRPr="00182A64">
              <w:rPr>
                <w:rFonts w:eastAsia="Times New Roman" w:cs="Times New Roman"/>
                <w:i/>
                <w:lang w:eastAsia="cs-CZ"/>
              </w:rPr>
              <w:t>0</w:t>
            </w:r>
          </w:p>
        </w:tc>
        <w:tc>
          <w:tcPr>
            <w:tcW w:w="992" w:type="dxa"/>
            <w:tcBorders>
              <w:top w:val="nil"/>
              <w:bottom w:val="nil"/>
              <w:right w:val="single" w:sz="8" w:space="0" w:color="7F7F7F" w:themeColor="text1" w:themeTint="80"/>
            </w:tcBorders>
            <w:shd w:val="clear" w:color="auto" w:fill="auto"/>
            <w:vAlign w:val="center"/>
          </w:tcPr>
          <w:p w14:paraId="36A24123" w14:textId="2BF8228B" w:rsidR="00E6578D" w:rsidRPr="0088307E" w:rsidRDefault="00E6578D" w:rsidP="00E6578D">
            <w:pPr>
              <w:jc w:val="right"/>
              <w:rPr>
                <w:rFonts w:eastAsia="Times New Roman" w:cs="Times New Roman"/>
                <w:i/>
                <w:lang w:eastAsia="cs-CZ"/>
              </w:rPr>
            </w:pPr>
            <w:r w:rsidRPr="008509E2">
              <w:rPr>
                <w:rFonts w:eastAsia="Times New Roman" w:cs="Times New Roman"/>
                <w:i/>
                <w:lang w:eastAsia="cs-CZ"/>
              </w:rPr>
              <w:t>x</w:t>
            </w:r>
          </w:p>
        </w:tc>
      </w:tr>
      <w:tr w:rsidR="00E6578D" w:rsidRPr="00E8518E" w14:paraId="2C038171" w14:textId="77777777" w:rsidTr="00CC49DC">
        <w:trPr>
          <w:tblHeader/>
        </w:trPr>
        <w:tc>
          <w:tcPr>
            <w:tcW w:w="4280" w:type="dxa"/>
            <w:tcBorders>
              <w:top w:val="nil"/>
              <w:bottom w:val="single" w:sz="4" w:space="0" w:color="7F7F7F" w:themeColor="text1" w:themeTint="80"/>
            </w:tcBorders>
            <w:shd w:val="clear" w:color="auto" w:fill="auto"/>
          </w:tcPr>
          <w:p w14:paraId="4C343673" w14:textId="6952015D"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0A19C334" w14:textId="0A0B48F2" w:rsidR="00E6578D" w:rsidRPr="00E8518E" w:rsidRDefault="00E6578D" w:rsidP="00E6578D">
            <w:pPr>
              <w:jc w:val="right"/>
              <w:rPr>
                <w:i/>
                <w:color w:val="FF0000"/>
                <w:szCs w:val="24"/>
              </w:rPr>
            </w:pPr>
            <w:r w:rsidRPr="003F730C">
              <w:rPr>
                <w:i/>
                <w:szCs w:val="24"/>
              </w:rPr>
              <w:t>18,3</w:t>
            </w:r>
          </w:p>
        </w:tc>
        <w:tc>
          <w:tcPr>
            <w:tcW w:w="1276" w:type="dxa"/>
            <w:tcBorders>
              <w:top w:val="nil"/>
              <w:left w:val="single" w:sz="4" w:space="0" w:color="auto"/>
              <w:bottom w:val="single" w:sz="4" w:space="0" w:color="auto"/>
              <w:right w:val="single" w:sz="4" w:space="0" w:color="auto"/>
            </w:tcBorders>
            <w:vAlign w:val="center"/>
          </w:tcPr>
          <w:p w14:paraId="19626B2C" w14:textId="6DFA1E90" w:rsidR="00E6578D" w:rsidRPr="00E8518E" w:rsidRDefault="00E6578D" w:rsidP="00E6578D">
            <w:pPr>
              <w:jc w:val="right"/>
              <w:rPr>
                <w:i/>
                <w:color w:val="FF0000"/>
                <w:szCs w:val="24"/>
              </w:rPr>
            </w:pPr>
            <w:r w:rsidRPr="003F730C">
              <w:rPr>
                <w:i/>
                <w:szCs w:val="24"/>
              </w:rPr>
              <w:t>24,5</w:t>
            </w:r>
          </w:p>
        </w:tc>
        <w:tc>
          <w:tcPr>
            <w:tcW w:w="1134" w:type="dxa"/>
            <w:tcBorders>
              <w:top w:val="nil"/>
              <w:bottom w:val="single" w:sz="4" w:space="0" w:color="7F7F7F" w:themeColor="text1" w:themeTint="80"/>
            </w:tcBorders>
            <w:shd w:val="clear" w:color="auto" w:fill="auto"/>
            <w:vAlign w:val="center"/>
          </w:tcPr>
          <w:p w14:paraId="6FB6432F" w14:textId="2F73726D" w:rsidR="00E6578D" w:rsidRPr="0088307E" w:rsidRDefault="00E6578D" w:rsidP="00E6578D">
            <w:pPr>
              <w:jc w:val="right"/>
              <w:rPr>
                <w:rFonts w:eastAsia="Times New Roman" w:cs="Times New Roman"/>
                <w:i/>
                <w:lang w:eastAsia="cs-CZ"/>
              </w:rPr>
            </w:pPr>
            <w:r w:rsidRPr="00182A64">
              <w:rPr>
                <w:rFonts w:eastAsia="Times New Roman" w:cs="Times New Roman"/>
                <w:i/>
                <w:lang w:eastAsia="cs-CZ"/>
              </w:rPr>
              <w:t>0</w:t>
            </w:r>
          </w:p>
        </w:tc>
        <w:tc>
          <w:tcPr>
            <w:tcW w:w="992" w:type="dxa"/>
            <w:tcBorders>
              <w:top w:val="nil"/>
              <w:bottom w:val="single" w:sz="4" w:space="0" w:color="7F7F7F" w:themeColor="text1" w:themeTint="80"/>
              <w:right w:val="single" w:sz="8" w:space="0" w:color="7F7F7F" w:themeColor="text1" w:themeTint="80"/>
            </w:tcBorders>
            <w:shd w:val="clear" w:color="auto" w:fill="auto"/>
            <w:vAlign w:val="center"/>
          </w:tcPr>
          <w:p w14:paraId="3E3C57DD" w14:textId="7AF979AA" w:rsidR="00E6578D" w:rsidRPr="0088307E" w:rsidRDefault="00E6578D" w:rsidP="00E6578D">
            <w:pPr>
              <w:jc w:val="right"/>
              <w:rPr>
                <w:rFonts w:eastAsia="Times New Roman" w:cs="Times New Roman"/>
                <w:i/>
                <w:lang w:eastAsia="cs-CZ"/>
              </w:rPr>
            </w:pPr>
            <w:r w:rsidRPr="008509E2">
              <w:rPr>
                <w:rFonts w:eastAsia="Times New Roman" w:cs="Times New Roman"/>
                <w:i/>
                <w:lang w:eastAsia="cs-CZ"/>
              </w:rPr>
              <w:t>x</w:t>
            </w:r>
          </w:p>
        </w:tc>
      </w:tr>
      <w:tr w:rsidR="00E6578D" w:rsidRPr="00E8518E" w14:paraId="583541EB" w14:textId="77777777" w:rsidTr="00CC49DC">
        <w:trPr>
          <w:trHeight w:val="349"/>
          <w:tblHeader/>
        </w:trPr>
        <w:tc>
          <w:tcPr>
            <w:tcW w:w="4280" w:type="dxa"/>
            <w:tcBorders>
              <w:top w:val="single" w:sz="4" w:space="0" w:color="7F7F7F" w:themeColor="text1" w:themeTint="80"/>
              <w:bottom w:val="nil"/>
            </w:tcBorders>
            <w:shd w:val="clear" w:color="auto" w:fill="auto"/>
          </w:tcPr>
          <w:p w14:paraId="1D89A2D2" w14:textId="4FBD6631" w:rsidR="00E6578D" w:rsidRPr="00E8518E" w:rsidRDefault="00E6578D" w:rsidP="00E6578D">
            <w:pPr>
              <w:spacing w:before="40"/>
              <w:rPr>
                <w:rFonts w:eastAsia="Times New Roman" w:cs="Times New Roman"/>
                <w:color w:val="FF0000"/>
                <w:lang w:eastAsia="cs-CZ"/>
              </w:rPr>
            </w:pPr>
            <w:r w:rsidRPr="003F730C">
              <w:rPr>
                <w:rFonts w:eastAsia="Times New Roman" w:cs="Times New Roman"/>
                <w:lang w:eastAsia="cs-CZ"/>
              </w:rPr>
              <w:t>ostatní neinvestiční nákupy a související výdaje</w:t>
            </w:r>
          </w:p>
        </w:tc>
        <w:tc>
          <w:tcPr>
            <w:tcW w:w="1380" w:type="dxa"/>
            <w:tcBorders>
              <w:top w:val="single" w:sz="4" w:space="0" w:color="auto"/>
              <w:left w:val="single" w:sz="4" w:space="0" w:color="auto"/>
              <w:bottom w:val="nil"/>
              <w:right w:val="single" w:sz="4" w:space="0" w:color="auto"/>
            </w:tcBorders>
            <w:vAlign w:val="center"/>
          </w:tcPr>
          <w:p w14:paraId="443812CD" w14:textId="30065452" w:rsidR="00E6578D" w:rsidRPr="00E8518E" w:rsidRDefault="00E6578D" w:rsidP="00E6578D">
            <w:pPr>
              <w:jc w:val="right"/>
              <w:rPr>
                <w:color w:val="FF0000"/>
                <w:szCs w:val="24"/>
              </w:rPr>
            </w:pPr>
            <w:r w:rsidRPr="003F730C">
              <w:rPr>
                <w:szCs w:val="24"/>
              </w:rPr>
              <w:t>8 545</w:t>
            </w:r>
          </w:p>
        </w:tc>
        <w:tc>
          <w:tcPr>
            <w:tcW w:w="1276" w:type="dxa"/>
            <w:tcBorders>
              <w:top w:val="single" w:sz="4" w:space="0" w:color="auto"/>
              <w:left w:val="single" w:sz="4" w:space="0" w:color="auto"/>
              <w:bottom w:val="nil"/>
              <w:right w:val="single" w:sz="4" w:space="0" w:color="auto"/>
            </w:tcBorders>
            <w:vAlign w:val="center"/>
          </w:tcPr>
          <w:p w14:paraId="36362B60" w14:textId="7DDDA48D" w:rsidR="00E6578D" w:rsidRPr="00E8518E" w:rsidRDefault="00E6578D" w:rsidP="00E6578D">
            <w:pPr>
              <w:jc w:val="right"/>
              <w:rPr>
                <w:color w:val="FF0000"/>
                <w:szCs w:val="24"/>
              </w:rPr>
            </w:pPr>
            <w:r w:rsidRPr="003F730C">
              <w:rPr>
                <w:szCs w:val="24"/>
              </w:rPr>
              <w:t>10 146</w:t>
            </w:r>
          </w:p>
        </w:tc>
        <w:tc>
          <w:tcPr>
            <w:tcW w:w="1134" w:type="dxa"/>
            <w:tcBorders>
              <w:top w:val="single" w:sz="4" w:space="0" w:color="7F7F7F" w:themeColor="text1" w:themeTint="80"/>
              <w:bottom w:val="nil"/>
            </w:tcBorders>
            <w:shd w:val="clear" w:color="auto" w:fill="auto"/>
            <w:vAlign w:val="center"/>
          </w:tcPr>
          <w:p w14:paraId="572AC0BD" w14:textId="3AFEC277" w:rsidR="00E6578D" w:rsidRPr="0088307E" w:rsidRDefault="00E6578D" w:rsidP="00E6578D">
            <w:pPr>
              <w:jc w:val="right"/>
              <w:rPr>
                <w:rFonts w:eastAsia="Times New Roman" w:cs="Times New Roman"/>
                <w:lang w:eastAsia="cs-CZ"/>
              </w:rPr>
            </w:pPr>
            <w:r w:rsidRPr="004719A6">
              <w:rPr>
                <w:rFonts w:eastAsia="Times New Roman" w:cs="Times New Roman"/>
                <w:lang w:eastAsia="cs-CZ"/>
              </w:rPr>
              <w:t xml:space="preserve">9 </w:t>
            </w:r>
            <w:r w:rsidR="004719A6" w:rsidRPr="0088307E">
              <w:rPr>
                <w:rFonts w:eastAsia="Times New Roman" w:cs="Times New Roman"/>
                <w:lang w:eastAsia="cs-CZ"/>
              </w:rPr>
              <w:t>475</w:t>
            </w:r>
          </w:p>
        </w:tc>
        <w:tc>
          <w:tcPr>
            <w:tcW w:w="992" w:type="dxa"/>
            <w:tcBorders>
              <w:top w:val="single" w:sz="4" w:space="0" w:color="7F7F7F" w:themeColor="text1" w:themeTint="80"/>
              <w:bottom w:val="nil"/>
            </w:tcBorders>
            <w:shd w:val="clear" w:color="auto" w:fill="auto"/>
            <w:vAlign w:val="center"/>
          </w:tcPr>
          <w:p w14:paraId="1E30FBB6" w14:textId="5A7711D7" w:rsidR="00E6578D" w:rsidRPr="0088307E" w:rsidRDefault="008509E2" w:rsidP="00E6578D">
            <w:pPr>
              <w:jc w:val="right"/>
              <w:rPr>
                <w:rFonts w:eastAsia="Times New Roman" w:cs="Times New Roman"/>
                <w:highlight w:val="yellow"/>
                <w:lang w:eastAsia="cs-CZ"/>
              </w:rPr>
            </w:pPr>
            <w:r w:rsidRPr="0088307E">
              <w:rPr>
                <w:rFonts w:eastAsia="Times New Roman" w:cs="Times New Roman"/>
                <w:lang w:eastAsia="cs-CZ"/>
              </w:rPr>
              <w:t>93,39</w:t>
            </w:r>
          </w:p>
        </w:tc>
      </w:tr>
      <w:tr w:rsidR="00E6578D" w:rsidRPr="00E8518E" w14:paraId="325D334C" w14:textId="77777777" w:rsidTr="00CC49DC">
        <w:trPr>
          <w:tblHeader/>
        </w:trPr>
        <w:tc>
          <w:tcPr>
            <w:tcW w:w="4280" w:type="dxa"/>
            <w:tcBorders>
              <w:top w:val="nil"/>
              <w:bottom w:val="nil"/>
            </w:tcBorders>
            <w:shd w:val="clear" w:color="auto" w:fill="auto"/>
          </w:tcPr>
          <w:p w14:paraId="0E2EB52F" w14:textId="24F4514E" w:rsidR="00E6578D" w:rsidRPr="00E8518E" w:rsidRDefault="00E6578D" w:rsidP="00E6578D">
            <w:pPr>
              <w:jc w:val="left"/>
              <w:rPr>
                <w:rFonts w:eastAsia="Times New Roman" w:cs="Times New Roman"/>
                <w:i/>
                <w:color w:val="FF0000"/>
                <w:lang w:eastAsia="cs-CZ"/>
              </w:rPr>
            </w:pPr>
            <w:r w:rsidRPr="003F730C">
              <w:rPr>
                <w:rFonts w:eastAsia="Times New Roman" w:cs="Times New Roman"/>
                <w:i/>
                <w:lang w:eastAsia="cs-CZ"/>
              </w:rPr>
              <w:t>z toho: programové financování</w:t>
            </w:r>
            <w:r w:rsidRPr="003F730C">
              <w:rPr>
                <w:rFonts w:eastAsia="Times New Roman" w:cs="Times New Roman"/>
                <w:i/>
                <w:lang w:eastAsia="cs-CZ"/>
              </w:rPr>
              <w:br/>
            </w:r>
            <w:r w:rsidRPr="003F730C">
              <w:rPr>
                <w:rFonts w:eastAsia="Times New Roman" w:cs="Times New Roman"/>
                <w:i/>
                <w:lang w:eastAsia="cs-CZ"/>
              </w:rPr>
              <w:tab/>
              <w:t>(EDS/SMVS)</w:t>
            </w:r>
          </w:p>
        </w:tc>
        <w:tc>
          <w:tcPr>
            <w:tcW w:w="1380" w:type="dxa"/>
            <w:tcBorders>
              <w:top w:val="nil"/>
              <w:left w:val="single" w:sz="4" w:space="0" w:color="auto"/>
              <w:bottom w:val="nil"/>
              <w:right w:val="single" w:sz="4" w:space="0" w:color="auto"/>
            </w:tcBorders>
            <w:vAlign w:val="center"/>
          </w:tcPr>
          <w:p w14:paraId="30E97343" w14:textId="4BDFDBE7" w:rsidR="00E6578D" w:rsidRPr="00E8518E" w:rsidRDefault="00E6578D" w:rsidP="00E6578D">
            <w:pPr>
              <w:jc w:val="right"/>
              <w:rPr>
                <w:i/>
                <w:color w:val="FF0000"/>
                <w:szCs w:val="24"/>
              </w:rPr>
            </w:pPr>
            <w:r w:rsidRPr="003F730C">
              <w:rPr>
                <w:i/>
                <w:szCs w:val="24"/>
              </w:rPr>
              <w:t>0</w:t>
            </w:r>
          </w:p>
        </w:tc>
        <w:tc>
          <w:tcPr>
            <w:tcW w:w="1276" w:type="dxa"/>
            <w:tcBorders>
              <w:top w:val="nil"/>
              <w:left w:val="single" w:sz="4" w:space="0" w:color="auto"/>
              <w:bottom w:val="nil"/>
              <w:right w:val="single" w:sz="4" w:space="0" w:color="auto"/>
            </w:tcBorders>
            <w:vAlign w:val="center"/>
          </w:tcPr>
          <w:p w14:paraId="06F7AB1C" w14:textId="6603FA18" w:rsidR="00E6578D" w:rsidRPr="00E8518E" w:rsidRDefault="00E6578D" w:rsidP="00E6578D">
            <w:pPr>
              <w:jc w:val="right"/>
              <w:rPr>
                <w:i/>
                <w:color w:val="FF0000"/>
                <w:szCs w:val="24"/>
              </w:rPr>
            </w:pPr>
            <w:r w:rsidRPr="003F730C">
              <w:rPr>
                <w:i/>
                <w:szCs w:val="24"/>
              </w:rPr>
              <w:t>0</w:t>
            </w:r>
          </w:p>
        </w:tc>
        <w:tc>
          <w:tcPr>
            <w:tcW w:w="1134" w:type="dxa"/>
            <w:tcBorders>
              <w:top w:val="nil"/>
              <w:bottom w:val="nil"/>
            </w:tcBorders>
            <w:shd w:val="clear" w:color="auto" w:fill="auto"/>
            <w:vAlign w:val="center"/>
          </w:tcPr>
          <w:p w14:paraId="666BF583" w14:textId="419E4801" w:rsidR="00E6578D" w:rsidRPr="0088307E" w:rsidRDefault="00E6578D" w:rsidP="00E6578D">
            <w:pPr>
              <w:jc w:val="right"/>
              <w:rPr>
                <w:rFonts w:cs="Times New Roman"/>
              </w:rPr>
            </w:pPr>
            <w:r w:rsidRPr="004719A6">
              <w:rPr>
                <w:rFonts w:cs="Times New Roman"/>
              </w:rPr>
              <w:t>0</w:t>
            </w:r>
          </w:p>
        </w:tc>
        <w:tc>
          <w:tcPr>
            <w:tcW w:w="992" w:type="dxa"/>
            <w:tcBorders>
              <w:top w:val="nil"/>
              <w:bottom w:val="nil"/>
            </w:tcBorders>
            <w:shd w:val="clear" w:color="auto" w:fill="auto"/>
            <w:vAlign w:val="center"/>
          </w:tcPr>
          <w:p w14:paraId="56B68019" w14:textId="703D2DAB" w:rsidR="00E6578D" w:rsidRPr="0088307E" w:rsidRDefault="00E6578D" w:rsidP="00E6578D">
            <w:pPr>
              <w:jc w:val="right"/>
              <w:rPr>
                <w:rFonts w:eastAsia="Times New Roman" w:cs="Times New Roman"/>
                <w:i/>
                <w:lang w:eastAsia="cs-CZ"/>
              </w:rPr>
            </w:pPr>
            <w:r w:rsidRPr="008509E2">
              <w:rPr>
                <w:rFonts w:eastAsia="Times New Roman" w:cs="Times New Roman"/>
                <w:i/>
                <w:lang w:eastAsia="cs-CZ"/>
              </w:rPr>
              <w:t>x</w:t>
            </w:r>
          </w:p>
        </w:tc>
      </w:tr>
      <w:tr w:rsidR="00E6578D" w:rsidRPr="00E8518E" w14:paraId="7A4E6DA8" w14:textId="77777777" w:rsidTr="00CC49DC">
        <w:trPr>
          <w:tblHeader/>
        </w:trPr>
        <w:tc>
          <w:tcPr>
            <w:tcW w:w="4280" w:type="dxa"/>
            <w:tcBorders>
              <w:top w:val="nil"/>
              <w:bottom w:val="nil"/>
            </w:tcBorders>
            <w:shd w:val="clear" w:color="auto" w:fill="auto"/>
          </w:tcPr>
          <w:p w14:paraId="3C85B9E2" w14:textId="760DFB1E" w:rsidR="00E6578D" w:rsidRPr="00E8518E" w:rsidRDefault="00E6578D" w:rsidP="00E6578D">
            <w:pPr>
              <w:jc w:val="left"/>
              <w:rPr>
                <w:rFonts w:eastAsia="Times New Roman" w:cs="Times New Roman"/>
                <w:i/>
                <w:color w:val="FF0000"/>
                <w:lang w:eastAsia="cs-CZ"/>
              </w:rPr>
            </w:pPr>
            <w:r w:rsidRPr="003F730C">
              <w:rPr>
                <w:rFonts w:eastAsia="Times New Roman" w:cs="Times New Roman"/>
                <w:i/>
                <w:lang w:eastAsia="cs-CZ"/>
              </w:rPr>
              <w:t xml:space="preserve">            výdaje na programy </w:t>
            </w:r>
            <w:proofErr w:type="spellStart"/>
            <w:r w:rsidRPr="003F730C">
              <w:rPr>
                <w:rFonts w:eastAsia="Times New Roman" w:cs="Times New Roman"/>
                <w:i/>
                <w:lang w:eastAsia="cs-CZ"/>
              </w:rPr>
              <w:t>spolufin</w:t>
            </w:r>
            <w:proofErr w:type="spellEnd"/>
            <w:r w:rsidRPr="003F730C">
              <w:rPr>
                <w:rFonts w:eastAsia="Times New Roman" w:cs="Times New Roman"/>
                <w:i/>
                <w:lang w:eastAsia="cs-CZ"/>
              </w:rPr>
              <w:t>.</w:t>
            </w:r>
            <w:r w:rsidRPr="003F730C">
              <w:rPr>
                <w:rFonts w:eastAsia="Times New Roman" w:cs="Times New Roman"/>
                <w:i/>
                <w:lang w:eastAsia="cs-CZ"/>
              </w:rPr>
              <w:br/>
              <w:t xml:space="preserve">            z rozpočtu EU</w:t>
            </w:r>
          </w:p>
        </w:tc>
        <w:tc>
          <w:tcPr>
            <w:tcW w:w="1380" w:type="dxa"/>
            <w:tcBorders>
              <w:top w:val="nil"/>
              <w:left w:val="single" w:sz="4" w:space="0" w:color="auto"/>
              <w:bottom w:val="nil"/>
              <w:right w:val="single" w:sz="4" w:space="0" w:color="auto"/>
            </w:tcBorders>
            <w:vAlign w:val="center"/>
          </w:tcPr>
          <w:p w14:paraId="7138F3AE" w14:textId="1167B3CC" w:rsidR="00E6578D" w:rsidRPr="00E8518E" w:rsidRDefault="00E6578D" w:rsidP="00E6578D">
            <w:pPr>
              <w:jc w:val="right"/>
              <w:rPr>
                <w:i/>
                <w:color w:val="FF0000"/>
                <w:szCs w:val="24"/>
              </w:rPr>
            </w:pPr>
            <w:r w:rsidRPr="003F730C">
              <w:rPr>
                <w:i/>
                <w:szCs w:val="24"/>
              </w:rPr>
              <w:t>415,5</w:t>
            </w:r>
          </w:p>
        </w:tc>
        <w:tc>
          <w:tcPr>
            <w:tcW w:w="1276" w:type="dxa"/>
            <w:tcBorders>
              <w:top w:val="nil"/>
              <w:left w:val="single" w:sz="4" w:space="0" w:color="auto"/>
              <w:bottom w:val="nil"/>
              <w:right w:val="single" w:sz="4" w:space="0" w:color="auto"/>
            </w:tcBorders>
            <w:vAlign w:val="center"/>
          </w:tcPr>
          <w:p w14:paraId="30E95F96" w14:textId="5269635D" w:rsidR="00E6578D" w:rsidRPr="00E8518E" w:rsidRDefault="00E6578D" w:rsidP="00E6578D">
            <w:pPr>
              <w:jc w:val="right"/>
              <w:rPr>
                <w:i/>
                <w:color w:val="FF0000"/>
                <w:szCs w:val="24"/>
              </w:rPr>
            </w:pPr>
            <w:r w:rsidRPr="003F730C">
              <w:rPr>
                <w:i/>
                <w:szCs w:val="24"/>
              </w:rPr>
              <w:t>1 028</w:t>
            </w:r>
          </w:p>
        </w:tc>
        <w:tc>
          <w:tcPr>
            <w:tcW w:w="1134" w:type="dxa"/>
            <w:tcBorders>
              <w:top w:val="nil"/>
              <w:bottom w:val="nil"/>
            </w:tcBorders>
            <w:shd w:val="clear" w:color="auto" w:fill="auto"/>
            <w:vAlign w:val="center"/>
          </w:tcPr>
          <w:p w14:paraId="0404BD43" w14:textId="3015C0DA" w:rsidR="00E6578D" w:rsidRPr="0088307E" w:rsidRDefault="00E6578D" w:rsidP="00E6578D">
            <w:pPr>
              <w:jc w:val="right"/>
              <w:rPr>
                <w:rFonts w:cs="Times New Roman"/>
              </w:rPr>
            </w:pPr>
            <w:r w:rsidRPr="004719A6">
              <w:rPr>
                <w:rFonts w:cs="Times New Roman"/>
              </w:rPr>
              <w:t>0</w:t>
            </w:r>
          </w:p>
        </w:tc>
        <w:tc>
          <w:tcPr>
            <w:tcW w:w="992" w:type="dxa"/>
            <w:tcBorders>
              <w:top w:val="nil"/>
              <w:bottom w:val="nil"/>
            </w:tcBorders>
            <w:shd w:val="clear" w:color="auto" w:fill="auto"/>
            <w:vAlign w:val="center"/>
          </w:tcPr>
          <w:p w14:paraId="44DD568E" w14:textId="4D942B69" w:rsidR="00E6578D" w:rsidRPr="0088307E" w:rsidRDefault="00E6578D" w:rsidP="00E6578D">
            <w:pPr>
              <w:jc w:val="right"/>
              <w:rPr>
                <w:rFonts w:eastAsia="Times New Roman" w:cs="Times New Roman"/>
                <w:i/>
                <w:lang w:eastAsia="cs-CZ"/>
              </w:rPr>
            </w:pPr>
            <w:r w:rsidRPr="008509E2">
              <w:rPr>
                <w:rFonts w:eastAsia="Times New Roman" w:cs="Times New Roman"/>
                <w:i/>
                <w:lang w:eastAsia="cs-CZ"/>
              </w:rPr>
              <w:t>x</w:t>
            </w:r>
          </w:p>
        </w:tc>
      </w:tr>
      <w:tr w:rsidR="00E6578D" w:rsidRPr="00E8518E" w14:paraId="140A873D" w14:textId="77777777" w:rsidTr="00CC49DC">
        <w:trPr>
          <w:tblHeader/>
        </w:trPr>
        <w:tc>
          <w:tcPr>
            <w:tcW w:w="4280" w:type="dxa"/>
            <w:tcBorders>
              <w:top w:val="nil"/>
              <w:bottom w:val="nil"/>
            </w:tcBorders>
            <w:shd w:val="clear" w:color="auto" w:fill="auto"/>
          </w:tcPr>
          <w:p w14:paraId="2DD1D1B3" w14:textId="4852282C"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v  tom: ze SR</w:t>
            </w:r>
          </w:p>
        </w:tc>
        <w:tc>
          <w:tcPr>
            <w:tcW w:w="1380" w:type="dxa"/>
            <w:tcBorders>
              <w:top w:val="nil"/>
              <w:left w:val="single" w:sz="4" w:space="0" w:color="auto"/>
              <w:bottom w:val="nil"/>
              <w:right w:val="single" w:sz="4" w:space="0" w:color="auto"/>
            </w:tcBorders>
            <w:vAlign w:val="center"/>
          </w:tcPr>
          <w:p w14:paraId="656689AE" w14:textId="12DBEF56" w:rsidR="00E6578D" w:rsidRPr="00E8518E" w:rsidRDefault="00E6578D" w:rsidP="00E6578D">
            <w:pPr>
              <w:jc w:val="right"/>
              <w:rPr>
                <w:i/>
                <w:color w:val="FF0000"/>
                <w:szCs w:val="24"/>
              </w:rPr>
            </w:pPr>
            <w:r w:rsidRPr="003F730C">
              <w:rPr>
                <w:i/>
                <w:szCs w:val="24"/>
              </w:rPr>
              <w:t>79,5</w:t>
            </w:r>
          </w:p>
        </w:tc>
        <w:tc>
          <w:tcPr>
            <w:tcW w:w="1276" w:type="dxa"/>
            <w:tcBorders>
              <w:top w:val="nil"/>
              <w:left w:val="single" w:sz="4" w:space="0" w:color="auto"/>
              <w:bottom w:val="nil"/>
              <w:right w:val="single" w:sz="4" w:space="0" w:color="auto"/>
            </w:tcBorders>
            <w:vAlign w:val="center"/>
          </w:tcPr>
          <w:p w14:paraId="29BCC742" w14:textId="1A79776F" w:rsidR="00E6578D" w:rsidRPr="00E8518E" w:rsidRDefault="00E6578D" w:rsidP="00E6578D">
            <w:pPr>
              <w:jc w:val="right"/>
              <w:rPr>
                <w:i/>
                <w:color w:val="FF0000"/>
                <w:szCs w:val="24"/>
              </w:rPr>
            </w:pPr>
            <w:r w:rsidRPr="003F730C">
              <w:rPr>
                <w:i/>
                <w:szCs w:val="24"/>
              </w:rPr>
              <w:t>197</w:t>
            </w:r>
          </w:p>
        </w:tc>
        <w:tc>
          <w:tcPr>
            <w:tcW w:w="1134" w:type="dxa"/>
            <w:tcBorders>
              <w:top w:val="nil"/>
              <w:bottom w:val="nil"/>
            </w:tcBorders>
            <w:shd w:val="clear" w:color="auto" w:fill="auto"/>
            <w:vAlign w:val="center"/>
          </w:tcPr>
          <w:p w14:paraId="4A34E9CC" w14:textId="40E791D9" w:rsidR="00E6578D" w:rsidRPr="0088307E" w:rsidRDefault="00E6578D" w:rsidP="00E6578D">
            <w:pPr>
              <w:jc w:val="right"/>
              <w:rPr>
                <w:rFonts w:cs="Times New Roman"/>
              </w:rPr>
            </w:pPr>
            <w:r w:rsidRPr="004719A6">
              <w:rPr>
                <w:rFonts w:cs="Times New Roman"/>
              </w:rPr>
              <w:t>0</w:t>
            </w:r>
          </w:p>
        </w:tc>
        <w:tc>
          <w:tcPr>
            <w:tcW w:w="992" w:type="dxa"/>
            <w:tcBorders>
              <w:top w:val="nil"/>
              <w:bottom w:val="nil"/>
            </w:tcBorders>
            <w:shd w:val="clear" w:color="auto" w:fill="auto"/>
            <w:vAlign w:val="center"/>
          </w:tcPr>
          <w:p w14:paraId="6AFA0123" w14:textId="0ED31856" w:rsidR="00E6578D" w:rsidRPr="0088307E" w:rsidRDefault="00E6578D" w:rsidP="00E6578D">
            <w:pPr>
              <w:jc w:val="right"/>
              <w:rPr>
                <w:rFonts w:eastAsia="Times New Roman" w:cs="Times New Roman"/>
                <w:i/>
                <w:lang w:eastAsia="cs-CZ"/>
              </w:rPr>
            </w:pPr>
            <w:r w:rsidRPr="008509E2">
              <w:rPr>
                <w:rFonts w:eastAsia="Times New Roman" w:cs="Times New Roman"/>
                <w:i/>
                <w:lang w:eastAsia="cs-CZ"/>
              </w:rPr>
              <w:t>x</w:t>
            </w:r>
          </w:p>
        </w:tc>
      </w:tr>
      <w:tr w:rsidR="00E6578D" w:rsidRPr="00E8518E" w14:paraId="0F8B34A4" w14:textId="77777777" w:rsidTr="00CC49DC">
        <w:trPr>
          <w:tblHeader/>
        </w:trPr>
        <w:tc>
          <w:tcPr>
            <w:tcW w:w="4280" w:type="dxa"/>
            <w:tcBorders>
              <w:top w:val="nil"/>
              <w:bottom w:val="single" w:sz="8" w:space="0" w:color="7F7F7F" w:themeColor="text1" w:themeTint="80"/>
            </w:tcBorders>
            <w:shd w:val="clear" w:color="auto" w:fill="auto"/>
          </w:tcPr>
          <w:p w14:paraId="72F2FBCF" w14:textId="5359614D" w:rsidR="00E6578D" w:rsidRPr="00E8518E" w:rsidRDefault="00E6578D" w:rsidP="00E6578D">
            <w:pPr>
              <w:rPr>
                <w:rFonts w:eastAsia="Times New Roman" w:cs="Times New Roman"/>
                <w:i/>
                <w:color w:val="FF0000"/>
                <w:lang w:eastAsia="cs-CZ"/>
              </w:rPr>
            </w:pPr>
            <w:r w:rsidRPr="003F730C">
              <w:rPr>
                <w:rFonts w:eastAsia="Times New Roman" w:cs="Times New Roman"/>
                <w:i/>
                <w:lang w:eastAsia="cs-CZ"/>
              </w:rPr>
              <w:t xml:space="preserve">                        z rozpočtu EU</w:t>
            </w:r>
          </w:p>
        </w:tc>
        <w:tc>
          <w:tcPr>
            <w:tcW w:w="1380" w:type="dxa"/>
            <w:tcBorders>
              <w:top w:val="nil"/>
              <w:left w:val="single" w:sz="4" w:space="0" w:color="auto"/>
              <w:bottom w:val="single" w:sz="4" w:space="0" w:color="auto"/>
              <w:right w:val="single" w:sz="4" w:space="0" w:color="auto"/>
            </w:tcBorders>
            <w:vAlign w:val="center"/>
          </w:tcPr>
          <w:p w14:paraId="6EB32D6E" w14:textId="26F69A72" w:rsidR="00E6578D" w:rsidRPr="00E8518E" w:rsidRDefault="00E6578D" w:rsidP="00E6578D">
            <w:pPr>
              <w:jc w:val="right"/>
              <w:rPr>
                <w:i/>
                <w:color w:val="FF0000"/>
                <w:szCs w:val="24"/>
              </w:rPr>
            </w:pPr>
            <w:r w:rsidRPr="003F730C">
              <w:rPr>
                <w:i/>
                <w:szCs w:val="24"/>
              </w:rPr>
              <w:t>336,0</w:t>
            </w:r>
          </w:p>
        </w:tc>
        <w:tc>
          <w:tcPr>
            <w:tcW w:w="1276" w:type="dxa"/>
            <w:tcBorders>
              <w:top w:val="nil"/>
              <w:left w:val="single" w:sz="4" w:space="0" w:color="auto"/>
              <w:bottom w:val="single" w:sz="4" w:space="0" w:color="auto"/>
              <w:right w:val="single" w:sz="4" w:space="0" w:color="auto"/>
            </w:tcBorders>
            <w:vAlign w:val="center"/>
          </w:tcPr>
          <w:p w14:paraId="6AE2D144" w14:textId="5D8FC83A" w:rsidR="00E6578D" w:rsidRPr="00E8518E" w:rsidRDefault="00E6578D" w:rsidP="00E6578D">
            <w:pPr>
              <w:jc w:val="right"/>
              <w:rPr>
                <w:i/>
                <w:color w:val="FF0000"/>
                <w:szCs w:val="24"/>
              </w:rPr>
            </w:pPr>
            <w:r w:rsidRPr="003F730C">
              <w:rPr>
                <w:i/>
                <w:szCs w:val="24"/>
              </w:rPr>
              <w:t>832</w:t>
            </w:r>
          </w:p>
        </w:tc>
        <w:tc>
          <w:tcPr>
            <w:tcW w:w="1134" w:type="dxa"/>
            <w:tcBorders>
              <w:top w:val="nil"/>
              <w:bottom w:val="single" w:sz="8" w:space="0" w:color="7F7F7F" w:themeColor="text1" w:themeTint="80"/>
            </w:tcBorders>
            <w:shd w:val="clear" w:color="auto" w:fill="auto"/>
            <w:vAlign w:val="center"/>
          </w:tcPr>
          <w:p w14:paraId="1A8304BB" w14:textId="7001377A" w:rsidR="00E6578D" w:rsidRPr="0088307E" w:rsidRDefault="00E6578D" w:rsidP="00E6578D">
            <w:pPr>
              <w:jc w:val="right"/>
              <w:rPr>
                <w:rFonts w:cs="Times New Roman"/>
              </w:rPr>
            </w:pPr>
            <w:r w:rsidRPr="004719A6">
              <w:rPr>
                <w:rFonts w:cs="Times New Roman"/>
              </w:rPr>
              <w:t>0</w:t>
            </w:r>
          </w:p>
        </w:tc>
        <w:tc>
          <w:tcPr>
            <w:tcW w:w="992" w:type="dxa"/>
            <w:tcBorders>
              <w:top w:val="nil"/>
              <w:bottom w:val="single" w:sz="8" w:space="0" w:color="7F7F7F" w:themeColor="text1" w:themeTint="80"/>
            </w:tcBorders>
            <w:shd w:val="clear" w:color="auto" w:fill="auto"/>
            <w:vAlign w:val="center"/>
          </w:tcPr>
          <w:p w14:paraId="2F594A7C" w14:textId="79BA3E6D" w:rsidR="00E6578D" w:rsidRPr="0088307E" w:rsidRDefault="00E6578D" w:rsidP="00E6578D">
            <w:pPr>
              <w:jc w:val="right"/>
              <w:rPr>
                <w:rFonts w:eastAsia="Times New Roman" w:cs="Times New Roman"/>
                <w:i/>
                <w:lang w:eastAsia="cs-CZ"/>
              </w:rPr>
            </w:pPr>
            <w:r w:rsidRPr="008509E2">
              <w:rPr>
                <w:rFonts w:eastAsia="Times New Roman" w:cs="Times New Roman"/>
                <w:i/>
                <w:lang w:eastAsia="cs-CZ"/>
              </w:rPr>
              <w:t>x</w:t>
            </w:r>
          </w:p>
        </w:tc>
      </w:tr>
    </w:tbl>
    <w:p w14:paraId="7A771D7D" w14:textId="11CDDBCB" w:rsidR="00EA6139" w:rsidRPr="006B3A04" w:rsidRDefault="00237DB4" w:rsidP="00EA6139">
      <w:pPr>
        <w:pStyle w:val="Styl1"/>
        <w:rPr>
          <w:color w:val="FF0000"/>
        </w:rPr>
      </w:pPr>
      <w:r w:rsidRPr="004A2F06">
        <w:t xml:space="preserve">Navrhovaný objem běžných výdajů pro rok 2023 je oproti roku 2022 snížen </w:t>
      </w:r>
      <w:r w:rsidR="006B34C1">
        <w:t xml:space="preserve">celkem </w:t>
      </w:r>
      <w:r w:rsidR="006B34C1">
        <w:br/>
      </w:r>
      <w:r w:rsidRPr="004A2F06">
        <w:t xml:space="preserve">o </w:t>
      </w:r>
      <w:r w:rsidR="004A2F06" w:rsidRPr="0088307E">
        <w:t>732</w:t>
      </w:r>
      <w:r w:rsidRPr="004A2F06">
        <w:t xml:space="preserve"> tis. Kč. Toto snížení je způsobeno </w:t>
      </w:r>
      <w:r w:rsidR="004A2F06">
        <w:t xml:space="preserve">především </w:t>
      </w:r>
      <w:r w:rsidRPr="004A2F06">
        <w:t xml:space="preserve">vlivem </w:t>
      </w:r>
      <w:r w:rsidR="002E7960">
        <w:t>nerozpočtování prostředků Drážní inspekce u</w:t>
      </w:r>
      <w:r w:rsidRPr="004A2F06">
        <w:t xml:space="preserve"> Operačního programu Zaměstnanost v rámci realizace projektu PRODI</w:t>
      </w:r>
      <w:r w:rsidR="00C50D3D">
        <w:t>, tj. snížení ve výši 2 899 tis. Kč</w:t>
      </w:r>
      <w:r w:rsidRPr="004A2F06">
        <w:t>.</w:t>
      </w:r>
      <w:r w:rsidR="004A2F06">
        <w:t xml:space="preserve"> </w:t>
      </w:r>
      <w:r w:rsidR="00EA6139">
        <w:t xml:space="preserve">Mezi další vlivy patří navýšení výdajů na energie o 358 tis. Kč </w:t>
      </w:r>
      <w:r w:rsidR="00EA6139">
        <w:rPr>
          <w:color w:val="000000" w:themeColor="text1"/>
        </w:rPr>
        <w:t xml:space="preserve">a platy </w:t>
      </w:r>
      <w:r w:rsidR="00C50D3D">
        <w:rPr>
          <w:color w:val="000000" w:themeColor="text1"/>
        </w:rPr>
        <w:br/>
      </w:r>
      <w:r w:rsidR="00EA6139">
        <w:rPr>
          <w:color w:val="000000" w:themeColor="text1"/>
        </w:rPr>
        <w:t>vč. příslušenst</w:t>
      </w:r>
      <w:r w:rsidR="009A5984">
        <w:rPr>
          <w:color w:val="000000" w:themeColor="text1"/>
        </w:rPr>
        <w:t>ví o 1 809 tis. Kč (viz oddíl</w:t>
      </w:r>
      <w:r w:rsidR="00EA6139">
        <w:rPr>
          <w:color w:val="000000" w:themeColor="text1"/>
        </w:rPr>
        <w:t xml:space="preserve"> 3.2.2. </w:t>
      </w:r>
      <w:r w:rsidR="00EA6139" w:rsidRPr="009B207A">
        <w:rPr>
          <w:color w:val="000000" w:themeColor="text1"/>
        </w:rPr>
        <w:t xml:space="preserve">Výdaje na platy a počty pracovníků za OSS </w:t>
      </w:r>
      <w:r w:rsidR="00B5106F">
        <w:rPr>
          <w:color w:val="000000" w:themeColor="text1"/>
        </w:rPr>
        <w:br/>
      </w:r>
      <w:r w:rsidR="00EA6139" w:rsidRPr="009B207A">
        <w:rPr>
          <w:color w:val="000000" w:themeColor="text1"/>
        </w:rPr>
        <w:t>a PO</w:t>
      </w:r>
      <w:r w:rsidR="00EA6139">
        <w:rPr>
          <w:color w:val="000000" w:themeColor="text1"/>
        </w:rPr>
        <w:t>).</w:t>
      </w:r>
    </w:p>
    <w:p w14:paraId="40630CBD" w14:textId="77777777" w:rsidR="00237DB4" w:rsidRPr="003F730C" w:rsidRDefault="00237DB4" w:rsidP="00237DB4">
      <w:pPr>
        <w:pStyle w:val="Styl1"/>
      </w:pPr>
      <w:r w:rsidRPr="003F730C">
        <w:t>Počet zaměstnanců organizace je pro rok 2023 stanoven ve výši 38 zaměstnanců, v tom 38 státních zaměstnanců.</w:t>
      </w:r>
    </w:p>
    <w:p w14:paraId="6ECE0B97" w14:textId="2366DF20" w:rsidR="008C1678" w:rsidRPr="0088307E" w:rsidRDefault="00237DB4" w:rsidP="005B1CCA">
      <w:pPr>
        <w:pStyle w:val="Styl1"/>
      </w:pPr>
      <w:r w:rsidRPr="004746D7">
        <w:t xml:space="preserve">Ostatní běžné výdaje jsou ve srovnání s rokem 2022 o </w:t>
      </w:r>
      <w:r w:rsidR="004746D7" w:rsidRPr="0088307E">
        <w:t>671</w:t>
      </w:r>
      <w:r w:rsidRPr="004746D7">
        <w:t xml:space="preserve"> tis. Kč nižší, a to vlivem ukončení realizace projektu PRODI</w:t>
      </w:r>
      <w:r w:rsidR="00255CE7">
        <w:t xml:space="preserve"> </w:t>
      </w:r>
      <w:r w:rsidR="00502899">
        <w:t>a navýšení</w:t>
      </w:r>
      <w:r w:rsidR="00992180">
        <w:t>m</w:t>
      </w:r>
      <w:r w:rsidR="00255CE7">
        <w:t xml:space="preserve"> výdajů na energie</w:t>
      </w:r>
      <w:r w:rsidRPr="004746D7">
        <w:rPr>
          <w:iCs w:val="0"/>
        </w:rPr>
        <w:t>.</w:t>
      </w:r>
      <w:r w:rsidRPr="004746D7">
        <w:t xml:space="preserve"> V rámci ostatních běžných výdajů činí největší podíl výdaje na nájemné a výdaje na nákup ostatních služeb. Dalšími významnými položkami jsou výdaje na energie; pohonné hmoty a na cestovné; konzultační, poradenské </w:t>
      </w:r>
      <w:r w:rsidR="001432A7">
        <w:br/>
      </w:r>
      <w:r w:rsidRPr="004746D7">
        <w:t>a právní služby; výdaje na telekomunikační služby; tj. výdaje přímo související s šetřením mimořádných událostí v drážní dopravě.</w:t>
      </w:r>
    </w:p>
    <w:p w14:paraId="719F82E8" w14:textId="77777777" w:rsidR="0057450B" w:rsidRPr="0088307E" w:rsidRDefault="0057450B" w:rsidP="00A66629">
      <w:pPr>
        <w:pStyle w:val="Nadpis9"/>
        <w:rPr>
          <w:lang w:eastAsia="cs-CZ"/>
        </w:rPr>
      </w:pPr>
      <w:r w:rsidRPr="0088307E">
        <w:rPr>
          <w:lang w:eastAsia="cs-CZ"/>
        </w:rPr>
        <w:t xml:space="preserve">Ředitelství vodních cest ČR  </w:t>
      </w:r>
    </w:p>
    <w:p w14:paraId="0F6E0395" w14:textId="77777777" w:rsidR="00535DE4" w:rsidRPr="0088307E" w:rsidRDefault="00535DE4" w:rsidP="00535DE4">
      <w:pPr>
        <w:pStyle w:val="Styl1"/>
      </w:pPr>
      <w:r w:rsidRPr="0088307E">
        <w:t>Ředitelství vodních cest ČR je organizační složka státu, která zabezpečuje výstavbu a modernizaci součástí dopravně významných vodních cest a dalších staveb nutných pro provoz na vodních cestách a pro jejich správu a údržbu a pořizování dalšího majetku nutného pro správu a údržbu vodních cest. Vykonává vlastnická práva státu k nemovitostem tvořícím nově zřizované součásti vodních cest, zabezpečuje podklady pro stanovení koncepcí v oblasti vodních cest. Koordinuje provádění velkých oprav s rekonstrukcemi a modernizacemi součástí vodních cest. Dále zajišťuje provoz servisního plavidla v majetku státu, provozuje některé říční přístavy v ČR a hospodaří s majetkem ve vlastnictví a nájmu ČR v přístavním městě Hamburku v SRN.</w:t>
      </w:r>
    </w:p>
    <w:p w14:paraId="0A8C2401" w14:textId="10CC319C" w:rsidR="00535DE4" w:rsidRPr="0088307E" w:rsidRDefault="00535DE4" w:rsidP="00535DE4">
      <w:pPr>
        <w:pStyle w:val="Titulek"/>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14</w:t>
      </w:r>
      <w:r w:rsidRPr="0088307E">
        <w:rPr>
          <w:noProof/>
        </w:rPr>
        <w:fldChar w:fldCharType="end"/>
      </w:r>
      <w:r w:rsidRPr="0088307E">
        <w:rPr>
          <w:noProof/>
        </w:rPr>
        <w:t xml:space="preserve"> Ředitelství vodních cest ČR – běžné výdaje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276"/>
        <w:gridCol w:w="1134"/>
        <w:gridCol w:w="992"/>
      </w:tblGrid>
      <w:tr w:rsidR="00E8518E" w:rsidRPr="00E8518E" w14:paraId="1262FA47" w14:textId="77777777" w:rsidTr="00776B6E">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D4DE8AB" w14:textId="77777777" w:rsidR="00535DE4" w:rsidRPr="0088307E" w:rsidRDefault="00535DE4" w:rsidP="00776B6E">
            <w:pPr>
              <w:jc w:val="center"/>
              <w:rPr>
                <w:rFonts w:eastAsia="Times New Roman" w:cs="Times New Roman"/>
                <w:b/>
                <w:szCs w:val="24"/>
                <w:lang w:eastAsia="cs-CZ"/>
              </w:rPr>
            </w:pPr>
            <w:r w:rsidRPr="0088307E">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E3CBB3" w14:textId="77777777" w:rsidR="00535DE4" w:rsidRPr="0088307E" w:rsidRDefault="00535DE4" w:rsidP="00776B6E">
            <w:pPr>
              <w:jc w:val="center"/>
              <w:rPr>
                <w:rFonts w:eastAsia="Times New Roman" w:cs="Times New Roman"/>
                <w:b/>
                <w:szCs w:val="24"/>
                <w:lang w:eastAsia="cs-CZ"/>
              </w:rPr>
            </w:pPr>
            <w:r w:rsidRPr="0088307E">
              <w:rPr>
                <w:rFonts w:eastAsia="Times New Roman" w:cs="Times New Roman"/>
                <w:b/>
                <w:szCs w:val="24"/>
                <w:lang w:eastAsia="cs-CZ"/>
              </w:rPr>
              <w:t>Skutečnost</w:t>
            </w:r>
          </w:p>
          <w:p w14:paraId="6E0A7B39" w14:textId="39BCF8AA" w:rsidR="00535DE4" w:rsidRPr="0088307E" w:rsidRDefault="00D533D3" w:rsidP="00776B6E">
            <w:pPr>
              <w:jc w:val="center"/>
              <w:rPr>
                <w:rFonts w:eastAsia="Times New Roman" w:cs="Times New Roman"/>
                <w:b/>
                <w:szCs w:val="24"/>
                <w:lang w:eastAsia="cs-CZ"/>
              </w:rPr>
            </w:pPr>
            <w:r>
              <w:rPr>
                <w:rFonts w:eastAsia="Times New Roman" w:cs="Times New Roman"/>
                <w:b/>
                <w:szCs w:val="24"/>
                <w:lang w:eastAsia="cs-CZ"/>
              </w:rPr>
              <w:t>2021</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3263AD0" w14:textId="77777777" w:rsidR="00535DE4" w:rsidRPr="0088307E" w:rsidRDefault="00535DE4" w:rsidP="00776B6E">
            <w:pPr>
              <w:jc w:val="center"/>
              <w:rPr>
                <w:rFonts w:eastAsia="Times New Roman" w:cs="Times New Roman"/>
                <w:b/>
                <w:szCs w:val="24"/>
                <w:lang w:eastAsia="cs-CZ"/>
              </w:rPr>
            </w:pPr>
            <w:r w:rsidRPr="0088307E">
              <w:rPr>
                <w:rFonts w:eastAsia="Times New Roman" w:cs="Times New Roman"/>
                <w:b/>
                <w:szCs w:val="24"/>
                <w:lang w:eastAsia="cs-CZ"/>
              </w:rPr>
              <w:t>Schválený</w:t>
            </w:r>
          </w:p>
          <w:p w14:paraId="0CAAEFD8" w14:textId="77777777" w:rsidR="00535DE4" w:rsidRPr="0088307E" w:rsidRDefault="00535DE4" w:rsidP="00776B6E">
            <w:pPr>
              <w:jc w:val="center"/>
              <w:rPr>
                <w:rFonts w:eastAsia="Times New Roman" w:cs="Times New Roman"/>
                <w:b/>
                <w:szCs w:val="24"/>
                <w:lang w:eastAsia="cs-CZ"/>
              </w:rPr>
            </w:pPr>
            <w:r w:rsidRPr="0088307E">
              <w:rPr>
                <w:rFonts w:eastAsia="Times New Roman" w:cs="Times New Roman"/>
                <w:b/>
                <w:szCs w:val="24"/>
                <w:lang w:eastAsia="cs-CZ"/>
              </w:rPr>
              <w:t>rozpočet</w:t>
            </w:r>
          </w:p>
          <w:p w14:paraId="14BFE060" w14:textId="219C6AB3" w:rsidR="00535DE4" w:rsidRPr="0088307E" w:rsidRDefault="00D533D3" w:rsidP="00776B6E">
            <w:pPr>
              <w:jc w:val="center"/>
              <w:rPr>
                <w:rFonts w:eastAsia="Times New Roman" w:cs="Times New Roman"/>
                <w:b/>
                <w:szCs w:val="24"/>
                <w:lang w:eastAsia="cs-CZ"/>
              </w:rPr>
            </w:pPr>
            <w:r>
              <w:rPr>
                <w:rFonts w:eastAsia="Times New Roman" w:cs="Times New Roman"/>
                <w:b/>
                <w:szCs w:val="24"/>
                <w:lang w:eastAsia="cs-CZ"/>
              </w:rPr>
              <w:t>2022</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00F917A" w14:textId="77777777" w:rsidR="00535DE4" w:rsidRPr="0088307E" w:rsidRDefault="00535DE4" w:rsidP="00776B6E">
            <w:pPr>
              <w:jc w:val="center"/>
              <w:rPr>
                <w:rFonts w:eastAsia="Times New Roman" w:cs="Times New Roman"/>
                <w:b/>
                <w:szCs w:val="24"/>
                <w:lang w:eastAsia="cs-CZ"/>
              </w:rPr>
            </w:pPr>
            <w:r w:rsidRPr="0088307E">
              <w:rPr>
                <w:rFonts w:eastAsia="Times New Roman" w:cs="Times New Roman"/>
                <w:b/>
                <w:szCs w:val="24"/>
                <w:lang w:eastAsia="cs-CZ"/>
              </w:rPr>
              <w:t>Návrh</w:t>
            </w:r>
          </w:p>
          <w:p w14:paraId="104CBD8E" w14:textId="77777777" w:rsidR="00535DE4" w:rsidRPr="0088307E" w:rsidRDefault="00535DE4" w:rsidP="00776B6E">
            <w:pPr>
              <w:jc w:val="center"/>
              <w:rPr>
                <w:rFonts w:eastAsia="Times New Roman" w:cs="Times New Roman"/>
                <w:b/>
                <w:szCs w:val="24"/>
                <w:lang w:eastAsia="cs-CZ"/>
              </w:rPr>
            </w:pPr>
            <w:r w:rsidRPr="0088307E">
              <w:rPr>
                <w:rFonts w:eastAsia="Times New Roman" w:cs="Times New Roman"/>
                <w:b/>
                <w:szCs w:val="24"/>
                <w:lang w:eastAsia="cs-CZ"/>
              </w:rPr>
              <w:t>rozpočtu</w:t>
            </w:r>
          </w:p>
          <w:p w14:paraId="6B10A7F5" w14:textId="08B61FCF" w:rsidR="00535DE4" w:rsidRPr="0088307E" w:rsidRDefault="00D533D3" w:rsidP="00776B6E">
            <w:pPr>
              <w:jc w:val="center"/>
              <w:rPr>
                <w:rFonts w:eastAsia="Times New Roman" w:cs="Times New Roman"/>
                <w:b/>
                <w:szCs w:val="24"/>
                <w:lang w:eastAsia="cs-CZ"/>
              </w:rPr>
            </w:pPr>
            <w:r>
              <w:rPr>
                <w:rFonts w:eastAsia="Times New Roman" w:cs="Times New Roman"/>
                <w:b/>
                <w:szCs w:val="24"/>
                <w:lang w:eastAsia="cs-CZ"/>
              </w:rPr>
              <w:t>2023</w:t>
            </w:r>
          </w:p>
        </w:tc>
        <w:tc>
          <w:tcPr>
            <w:tcW w:w="99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90844C2" w14:textId="77777777" w:rsidR="00535DE4" w:rsidRPr="0088307E" w:rsidRDefault="00535DE4" w:rsidP="00776B6E">
            <w:pPr>
              <w:jc w:val="center"/>
              <w:rPr>
                <w:rFonts w:eastAsia="Times New Roman" w:cs="Times New Roman"/>
                <w:b/>
                <w:szCs w:val="24"/>
                <w:lang w:eastAsia="cs-CZ"/>
              </w:rPr>
            </w:pPr>
            <w:r w:rsidRPr="0088307E">
              <w:rPr>
                <w:rFonts w:eastAsia="Times New Roman" w:cs="Times New Roman"/>
                <w:b/>
                <w:szCs w:val="24"/>
                <w:lang w:eastAsia="cs-CZ"/>
              </w:rPr>
              <w:t>Index</w:t>
            </w:r>
          </w:p>
          <w:p w14:paraId="4D42AFE6" w14:textId="65D21B27" w:rsidR="00535DE4" w:rsidRPr="0088307E" w:rsidRDefault="00D533D3" w:rsidP="00776B6E">
            <w:pPr>
              <w:jc w:val="center"/>
              <w:rPr>
                <w:rFonts w:eastAsia="Times New Roman" w:cs="Times New Roman"/>
                <w:b/>
                <w:szCs w:val="24"/>
                <w:lang w:eastAsia="cs-CZ"/>
              </w:rPr>
            </w:pPr>
            <w:r>
              <w:rPr>
                <w:rFonts w:eastAsia="Times New Roman" w:cs="Times New Roman"/>
                <w:b/>
                <w:szCs w:val="24"/>
                <w:lang w:eastAsia="cs-CZ"/>
              </w:rPr>
              <w:t>2023</w:t>
            </w:r>
            <w:r w:rsidR="00535DE4" w:rsidRPr="0088307E">
              <w:rPr>
                <w:rFonts w:eastAsia="Times New Roman" w:cs="Times New Roman"/>
                <w:b/>
                <w:szCs w:val="24"/>
                <w:lang w:eastAsia="cs-CZ"/>
              </w:rPr>
              <w:t>/</w:t>
            </w:r>
            <w:r w:rsidR="00535DE4" w:rsidRPr="0088307E">
              <w:rPr>
                <w:rFonts w:eastAsia="Times New Roman" w:cs="Times New Roman"/>
                <w:b/>
                <w:szCs w:val="24"/>
                <w:lang w:eastAsia="cs-CZ"/>
              </w:rPr>
              <w:br/>
            </w:r>
            <w:r>
              <w:rPr>
                <w:rFonts w:eastAsia="Times New Roman" w:cs="Times New Roman"/>
                <w:b/>
                <w:szCs w:val="24"/>
                <w:lang w:eastAsia="cs-CZ"/>
              </w:rPr>
              <w:t>2022</w:t>
            </w:r>
            <w:r w:rsidRPr="0088307E">
              <w:rPr>
                <w:rFonts w:eastAsia="Times New Roman" w:cs="Times New Roman"/>
                <w:b/>
                <w:szCs w:val="24"/>
                <w:lang w:eastAsia="cs-CZ"/>
              </w:rPr>
              <w:t xml:space="preserve"> </w:t>
            </w:r>
            <w:r w:rsidR="00535DE4" w:rsidRPr="0088307E">
              <w:rPr>
                <w:rFonts w:eastAsia="Times New Roman" w:cs="Times New Roman"/>
                <w:b/>
                <w:szCs w:val="24"/>
                <w:lang w:eastAsia="cs-CZ"/>
              </w:rPr>
              <w:br/>
              <w:t>(v %)</w:t>
            </w:r>
          </w:p>
        </w:tc>
      </w:tr>
      <w:tr w:rsidR="00E8518E" w:rsidRPr="00E8518E" w14:paraId="4AC44D4E" w14:textId="77777777" w:rsidTr="00776B6E">
        <w:tc>
          <w:tcPr>
            <w:tcW w:w="4320" w:type="dxa"/>
            <w:tcBorders>
              <w:top w:val="single" w:sz="4" w:space="0" w:color="7F7F7F" w:themeColor="text1" w:themeTint="80"/>
              <w:bottom w:val="single" w:sz="8" w:space="0" w:color="7F7F7F" w:themeColor="text1" w:themeTint="80"/>
            </w:tcBorders>
            <w:shd w:val="clear" w:color="auto" w:fill="auto"/>
          </w:tcPr>
          <w:p w14:paraId="7A282299"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70C4393F"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32D514DB"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338DEFD9"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3</w:t>
            </w:r>
          </w:p>
        </w:tc>
        <w:tc>
          <w:tcPr>
            <w:tcW w:w="992" w:type="dxa"/>
            <w:tcBorders>
              <w:top w:val="single" w:sz="4" w:space="0" w:color="7F7F7F" w:themeColor="text1" w:themeTint="80"/>
              <w:bottom w:val="single" w:sz="8" w:space="0" w:color="7F7F7F" w:themeColor="text1" w:themeTint="80"/>
            </w:tcBorders>
            <w:shd w:val="clear" w:color="auto" w:fill="auto"/>
          </w:tcPr>
          <w:p w14:paraId="67372CF3" w14:textId="77777777" w:rsidR="00535DE4" w:rsidRPr="0088307E" w:rsidRDefault="00535DE4" w:rsidP="00776B6E">
            <w:pPr>
              <w:jc w:val="center"/>
              <w:rPr>
                <w:rFonts w:eastAsia="Times New Roman" w:cs="Times New Roman"/>
                <w:szCs w:val="24"/>
                <w:lang w:eastAsia="cs-CZ"/>
              </w:rPr>
            </w:pPr>
            <w:r w:rsidRPr="0088307E">
              <w:rPr>
                <w:rFonts w:eastAsia="Times New Roman" w:cs="Times New Roman"/>
                <w:szCs w:val="24"/>
                <w:lang w:eastAsia="cs-CZ"/>
              </w:rPr>
              <w:t>4</w:t>
            </w:r>
          </w:p>
        </w:tc>
      </w:tr>
      <w:tr w:rsidR="00AF258E" w:rsidRPr="00E8518E" w14:paraId="42EFC65C" w14:textId="77777777" w:rsidTr="00776B6E">
        <w:trPr>
          <w:trHeight w:val="468"/>
        </w:trPr>
        <w:tc>
          <w:tcPr>
            <w:tcW w:w="4320" w:type="dxa"/>
            <w:tcBorders>
              <w:top w:val="single" w:sz="8" w:space="0" w:color="7F7F7F" w:themeColor="text1" w:themeTint="80"/>
              <w:bottom w:val="single" w:sz="8" w:space="0" w:color="7F7F7F" w:themeColor="text1" w:themeTint="80"/>
            </w:tcBorders>
            <w:shd w:val="clear" w:color="auto" w:fill="auto"/>
          </w:tcPr>
          <w:p w14:paraId="67D679CF" w14:textId="77777777" w:rsidR="00AF258E" w:rsidRPr="0088307E" w:rsidRDefault="00AF258E" w:rsidP="00AF258E">
            <w:pPr>
              <w:spacing w:before="81"/>
              <w:rPr>
                <w:rFonts w:eastAsia="Times New Roman" w:cs="Times New Roman"/>
                <w:lang w:eastAsia="cs-CZ"/>
              </w:rPr>
            </w:pPr>
            <w:r w:rsidRPr="0088307E">
              <w:rPr>
                <w:rFonts w:eastAsia="Times New Roman" w:cs="Times New Roman"/>
                <w:b/>
                <w:bCs/>
                <w:lang w:eastAsia="cs-CZ"/>
              </w:rPr>
              <w:t xml:space="preserve">Běžné výdaje </w:t>
            </w:r>
            <w:r w:rsidRPr="0088307E">
              <w:rPr>
                <w:rFonts w:eastAsia="Times New Roman" w:cs="Times New Roman"/>
                <w:lang w:eastAsia="cs-CZ"/>
              </w:rPr>
              <w:t xml:space="preserve">v tom: </w:t>
            </w:r>
          </w:p>
        </w:tc>
        <w:tc>
          <w:tcPr>
            <w:tcW w:w="1340" w:type="dxa"/>
            <w:tcBorders>
              <w:top w:val="single" w:sz="8" w:space="0" w:color="7F7F7F" w:themeColor="text1" w:themeTint="80"/>
              <w:bottom w:val="single" w:sz="8" w:space="0" w:color="7F7F7F" w:themeColor="text1" w:themeTint="80"/>
            </w:tcBorders>
            <w:shd w:val="clear" w:color="auto" w:fill="auto"/>
            <w:vAlign w:val="center"/>
          </w:tcPr>
          <w:p w14:paraId="2A0BD730" w14:textId="48689D2E" w:rsidR="00AF258E" w:rsidRPr="0088307E" w:rsidRDefault="00AF258E" w:rsidP="00AF258E">
            <w:pPr>
              <w:jc w:val="right"/>
              <w:rPr>
                <w:rFonts w:eastAsia="Times New Roman" w:cs="Times New Roman"/>
                <w:b/>
                <w:bCs/>
                <w:lang w:eastAsia="cs-CZ"/>
              </w:rPr>
            </w:pPr>
            <w:r w:rsidRPr="0088307E">
              <w:rPr>
                <w:rFonts w:eastAsia="Times New Roman" w:cs="Times New Roman"/>
                <w:b/>
                <w:bCs/>
                <w:lang w:eastAsia="cs-CZ"/>
              </w:rPr>
              <w:t>20 397</w:t>
            </w:r>
          </w:p>
        </w:tc>
        <w:tc>
          <w:tcPr>
            <w:tcW w:w="1276" w:type="dxa"/>
            <w:tcBorders>
              <w:top w:val="single" w:sz="8" w:space="0" w:color="7F7F7F" w:themeColor="text1" w:themeTint="80"/>
              <w:bottom w:val="single" w:sz="8" w:space="0" w:color="7F7F7F" w:themeColor="text1" w:themeTint="80"/>
            </w:tcBorders>
            <w:shd w:val="clear" w:color="auto" w:fill="auto"/>
          </w:tcPr>
          <w:p w14:paraId="234B0FE0" w14:textId="7062CAC5" w:rsidR="00AF258E" w:rsidRPr="00E8518E" w:rsidRDefault="00AF258E" w:rsidP="00AF258E">
            <w:pPr>
              <w:spacing w:before="81"/>
              <w:jc w:val="right"/>
              <w:rPr>
                <w:rFonts w:eastAsia="Times New Roman" w:cs="Times New Roman"/>
                <w:b/>
                <w:color w:val="FF0000"/>
                <w:lang w:eastAsia="cs-CZ"/>
              </w:rPr>
            </w:pPr>
            <w:r w:rsidRPr="0088307E">
              <w:rPr>
                <w:b/>
              </w:rPr>
              <w:t>21 589</w:t>
            </w:r>
          </w:p>
        </w:tc>
        <w:tc>
          <w:tcPr>
            <w:tcW w:w="1134" w:type="dxa"/>
            <w:tcBorders>
              <w:top w:val="single" w:sz="8" w:space="0" w:color="7F7F7F" w:themeColor="text1" w:themeTint="80"/>
              <w:bottom w:val="single" w:sz="8" w:space="0" w:color="7F7F7F" w:themeColor="text1" w:themeTint="80"/>
            </w:tcBorders>
            <w:shd w:val="clear" w:color="auto" w:fill="auto"/>
          </w:tcPr>
          <w:p w14:paraId="11ACCA23" w14:textId="1909D856" w:rsidR="00AF258E" w:rsidRPr="00E8518E" w:rsidRDefault="00734522" w:rsidP="00AF258E">
            <w:pPr>
              <w:spacing w:before="81"/>
              <w:jc w:val="right"/>
              <w:rPr>
                <w:rFonts w:eastAsia="Times New Roman" w:cs="Times New Roman"/>
                <w:b/>
                <w:color w:val="FF0000"/>
                <w:lang w:eastAsia="cs-CZ"/>
              </w:rPr>
            </w:pPr>
            <w:r>
              <w:rPr>
                <w:b/>
              </w:rPr>
              <w:t>23 412</w:t>
            </w:r>
          </w:p>
        </w:tc>
        <w:tc>
          <w:tcPr>
            <w:tcW w:w="992" w:type="dxa"/>
            <w:tcBorders>
              <w:top w:val="single" w:sz="8" w:space="0" w:color="7F7F7F" w:themeColor="text1" w:themeTint="80"/>
              <w:bottom w:val="single" w:sz="8" w:space="0" w:color="7F7F7F" w:themeColor="text1" w:themeTint="80"/>
            </w:tcBorders>
            <w:shd w:val="clear" w:color="auto" w:fill="auto"/>
          </w:tcPr>
          <w:p w14:paraId="2CD35850" w14:textId="29BD1CF5" w:rsidR="00AF258E" w:rsidRPr="00E8518E" w:rsidRDefault="00734522" w:rsidP="00AF258E">
            <w:pPr>
              <w:spacing w:before="81"/>
              <w:jc w:val="right"/>
              <w:rPr>
                <w:rFonts w:eastAsia="Times New Roman" w:cs="Times New Roman"/>
                <w:b/>
                <w:color w:val="FF0000"/>
                <w:lang w:eastAsia="cs-CZ"/>
              </w:rPr>
            </w:pPr>
            <w:r>
              <w:rPr>
                <w:b/>
              </w:rPr>
              <w:t>108,44</w:t>
            </w:r>
          </w:p>
        </w:tc>
      </w:tr>
      <w:tr w:rsidR="0088307E" w:rsidRPr="00E8518E" w14:paraId="5DFA6E32" w14:textId="77777777" w:rsidTr="0088307E">
        <w:tc>
          <w:tcPr>
            <w:tcW w:w="4320" w:type="dxa"/>
            <w:tcBorders>
              <w:top w:val="single" w:sz="8" w:space="0" w:color="7F7F7F" w:themeColor="text1" w:themeTint="80"/>
              <w:bottom w:val="nil"/>
            </w:tcBorders>
            <w:shd w:val="clear" w:color="auto" w:fill="auto"/>
          </w:tcPr>
          <w:p w14:paraId="03999456" w14:textId="77777777" w:rsidR="00AF258E" w:rsidRPr="0088307E" w:rsidRDefault="00AF258E" w:rsidP="00AF258E">
            <w:pPr>
              <w:rPr>
                <w:rFonts w:eastAsia="Times New Roman" w:cs="Times New Roman"/>
                <w:lang w:eastAsia="cs-CZ"/>
              </w:rPr>
            </w:pPr>
            <w:r w:rsidRPr="0088307E">
              <w:rPr>
                <w:rFonts w:eastAsia="Times New Roman" w:cs="Times New Roman"/>
                <w:lang w:eastAsia="cs-CZ"/>
              </w:rPr>
              <w:t>platy zaměstnanců a ostatní platby</w:t>
            </w:r>
          </w:p>
          <w:p w14:paraId="35DC63B6" w14:textId="77777777" w:rsidR="00AF258E" w:rsidRPr="0088307E" w:rsidRDefault="00AF258E" w:rsidP="00AF258E">
            <w:pPr>
              <w:rPr>
                <w:rFonts w:eastAsia="Times New Roman" w:cs="Times New Roman"/>
                <w:lang w:eastAsia="cs-CZ"/>
              </w:rPr>
            </w:pPr>
            <w:r w:rsidRPr="0088307E">
              <w:rPr>
                <w:rFonts w:eastAsia="Times New Roman" w:cs="Times New Roman"/>
                <w:lang w:eastAsia="cs-CZ"/>
              </w:rPr>
              <w:t>za provedenou práci</w:t>
            </w:r>
          </w:p>
        </w:tc>
        <w:tc>
          <w:tcPr>
            <w:tcW w:w="1340" w:type="dxa"/>
            <w:tcBorders>
              <w:top w:val="single" w:sz="8" w:space="0" w:color="7F7F7F" w:themeColor="text1" w:themeTint="80"/>
              <w:bottom w:val="nil"/>
            </w:tcBorders>
            <w:shd w:val="clear" w:color="auto" w:fill="auto"/>
            <w:vAlign w:val="center"/>
          </w:tcPr>
          <w:p w14:paraId="62EA06FF" w14:textId="570CA1F1" w:rsidR="00AF258E" w:rsidRPr="0088307E" w:rsidRDefault="00AF258E" w:rsidP="00AF258E">
            <w:pPr>
              <w:jc w:val="right"/>
              <w:rPr>
                <w:rFonts w:eastAsia="Times New Roman" w:cs="Times New Roman"/>
                <w:lang w:eastAsia="cs-CZ"/>
              </w:rPr>
            </w:pPr>
            <w:r w:rsidRPr="0088307E">
              <w:rPr>
                <w:rFonts w:eastAsia="Times New Roman" w:cs="Times New Roman"/>
                <w:lang w:eastAsia="cs-CZ"/>
              </w:rPr>
              <w:t>6 913</w:t>
            </w:r>
          </w:p>
        </w:tc>
        <w:tc>
          <w:tcPr>
            <w:tcW w:w="1276" w:type="dxa"/>
            <w:tcBorders>
              <w:top w:val="single" w:sz="8" w:space="0" w:color="7F7F7F" w:themeColor="text1" w:themeTint="80"/>
              <w:bottom w:val="nil"/>
            </w:tcBorders>
            <w:shd w:val="clear" w:color="auto" w:fill="auto"/>
          </w:tcPr>
          <w:p w14:paraId="471B4239" w14:textId="1AAD8A92" w:rsidR="00AF258E" w:rsidRPr="00E8518E" w:rsidRDefault="00AF258E" w:rsidP="00AF258E">
            <w:pPr>
              <w:spacing w:before="81"/>
              <w:jc w:val="right"/>
              <w:rPr>
                <w:rFonts w:eastAsia="Times New Roman" w:cs="Times New Roman"/>
                <w:color w:val="FF0000"/>
                <w:lang w:eastAsia="cs-CZ"/>
              </w:rPr>
            </w:pPr>
            <w:r w:rsidRPr="00465BB5">
              <w:t>6 805</w:t>
            </w:r>
          </w:p>
        </w:tc>
        <w:tc>
          <w:tcPr>
            <w:tcW w:w="1134" w:type="dxa"/>
            <w:tcBorders>
              <w:top w:val="single" w:sz="8" w:space="0" w:color="7F7F7F" w:themeColor="text1" w:themeTint="80"/>
              <w:bottom w:val="nil"/>
            </w:tcBorders>
            <w:shd w:val="clear" w:color="auto" w:fill="auto"/>
          </w:tcPr>
          <w:p w14:paraId="7BC85986" w14:textId="0EA9CBB9" w:rsidR="00AF258E" w:rsidRPr="00E8518E" w:rsidRDefault="00734522" w:rsidP="00AF258E">
            <w:pPr>
              <w:spacing w:before="81"/>
              <w:jc w:val="right"/>
              <w:rPr>
                <w:rFonts w:eastAsia="Times New Roman" w:cs="Times New Roman"/>
                <w:color w:val="FF0000"/>
                <w:lang w:eastAsia="cs-CZ"/>
              </w:rPr>
            </w:pPr>
            <w:r>
              <w:t>7 211</w:t>
            </w:r>
          </w:p>
        </w:tc>
        <w:tc>
          <w:tcPr>
            <w:tcW w:w="992" w:type="dxa"/>
            <w:tcBorders>
              <w:top w:val="single" w:sz="8" w:space="0" w:color="7F7F7F" w:themeColor="text1" w:themeTint="80"/>
              <w:bottom w:val="nil"/>
            </w:tcBorders>
            <w:shd w:val="clear" w:color="auto" w:fill="auto"/>
          </w:tcPr>
          <w:p w14:paraId="501F5B32" w14:textId="22F93307" w:rsidR="00AF258E" w:rsidRPr="00E8518E" w:rsidRDefault="00734522" w:rsidP="00AF258E">
            <w:pPr>
              <w:spacing w:before="81"/>
              <w:jc w:val="right"/>
              <w:rPr>
                <w:rFonts w:eastAsia="Times New Roman" w:cs="Times New Roman"/>
                <w:color w:val="FF0000"/>
                <w:lang w:eastAsia="cs-CZ"/>
              </w:rPr>
            </w:pPr>
            <w:r>
              <w:t>105,97</w:t>
            </w:r>
          </w:p>
        </w:tc>
      </w:tr>
      <w:tr w:rsidR="00AF258E" w:rsidRPr="00E8518E" w14:paraId="47914660" w14:textId="77777777" w:rsidTr="00776B6E">
        <w:tc>
          <w:tcPr>
            <w:tcW w:w="4320" w:type="dxa"/>
            <w:tcBorders>
              <w:top w:val="single" w:sz="4" w:space="0" w:color="7F7F7F" w:themeColor="text1" w:themeTint="80"/>
              <w:bottom w:val="nil"/>
            </w:tcBorders>
            <w:shd w:val="clear" w:color="auto" w:fill="auto"/>
          </w:tcPr>
          <w:p w14:paraId="6B62569E" w14:textId="77777777" w:rsidR="00AF258E" w:rsidRPr="0088307E" w:rsidRDefault="00AF258E" w:rsidP="00AF258E">
            <w:pPr>
              <w:rPr>
                <w:rFonts w:eastAsia="Times New Roman" w:cs="Times New Roman"/>
                <w:lang w:eastAsia="cs-CZ"/>
              </w:rPr>
            </w:pPr>
            <w:r w:rsidRPr="0088307E">
              <w:rPr>
                <w:rFonts w:eastAsia="Times New Roman" w:cs="Times New Roman"/>
                <w:lang w:eastAsia="cs-CZ"/>
              </w:rPr>
              <w:t>povinné pojistné placené zaměstnavatelem</w:t>
            </w:r>
          </w:p>
        </w:tc>
        <w:tc>
          <w:tcPr>
            <w:tcW w:w="1340" w:type="dxa"/>
            <w:tcBorders>
              <w:top w:val="single" w:sz="4" w:space="0" w:color="7F7F7F" w:themeColor="text1" w:themeTint="80"/>
              <w:bottom w:val="nil"/>
            </w:tcBorders>
            <w:shd w:val="clear" w:color="auto" w:fill="auto"/>
          </w:tcPr>
          <w:p w14:paraId="36A1DF2A" w14:textId="4D275D92" w:rsidR="00AF258E" w:rsidRPr="00E8518E" w:rsidRDefault="00AF258E" w:rsidP="00AF258E">
            <w:pPr>
              <w:jc w:val="right"/>
              <w:rPr>
                <w:rFonts w:eastAsia="Times New Roman" w:cs="Times New Roman"/>
                <w:color w:val="FF0000"/>
                <w:lang w:eastAsia="cs-CZ"/>
              </w:rPr>
            </w:pPr>
            <w:r w:rsidRPr="002F1C83">
              <w:t>2 336</w:t>
            </w:r>
          </w:p>
        </w:tc>
        <w:tc>
          <w:tcPr>
            <w:tcW w:w="1276" w:type="dxa"/>
            <w:tcBorders>
              <w:top w:val="single" w:sz="4" w:space="0" w:color="7F7F7F" w:themeColor="text1" w:themeTint="80"/>
              <w:bottom w:val="nil"/>
            </w:tcBorders>
            <w:shd w:val="clear" w:color="auto" w:fill="auto"/>
          </w:tcPr>
          <w:p w14:paraId="7AFB1A28" w14:textId="7A3D958F" w:rsidR="00AF258E" w:rsidRPr="00E8518E" w:rsidRDefault="00AF258E" w:rsidP="00AF258E">
            <w:pPr>
              <w:jc w:val="right"/>
              <w:rPr>
                <w:rFonts w:eastAsia="Times New Roman" w:cs="Times New Roman"/>
                <w:color w:val="FF0000"/>
                <w:lang w:eastAsia="cs-CZ"/>
              </w:rPr>
            </w:pPr>
            <w:r w:rsidRPr="00465BB5">
              <w:t>2 300</w:t>
            </w:r>
          </w:p>
        </w:tc>
        <w:tc>
          <w:tcPr>
            <w:tcW w:w="1134" w:type="dxa"/>
            <w:tcBorders>
              <w:top w:val="single" w:sz="4" w:space="0" w:color="7F7F7F" w:themeColor="text1" w:themeTint="80"/>
              <w:bottom w:val="nil"/>
            </w:tcBorders>
            <w:shd w:val="clear" w:color="auto" w:fill="auto"/>
          </w:tcPr>
          <w:p w14:paraId="0E2770D0" w14:textId="279F81E4" w:rsidR="00AF258E" w:rsidRPr="00E8518E" w:rsidRDefault="00734522" w:rsidP="00AF258E">
            <w:pPr>
              <w:jc w:val="right"/>
              <w:rPr>
                <w:rFonts w:eastAsia="Times New Roman" w:cs="Times New Roman"/>
                <w:color w:val="FF0000"/>
                <w:lang w:eastAsia="cs-CZ"/>
              </w:rPr>
            </w:pPr>
            <w:r>
              <w:t>2 437</w:t>
            </w:r>
          </w:p>
        </w:tc>
        <w:tc>
          <w:tcPr>
            <w:tcW w:w="992" w:type="dxa"/>
            <w:tcBorders>
              <w:top w:val="single" w:sz="4" w:space="0" w:color="7F7F7F" w:themeColor="text1" w:themeTint="80"/>
              <w:bottom w:val="nil"/>
            </w:tcBorders>
            <w:shd w:val="clear" w:color="auto" w:fill="auto"/>
          </w:tcPr>
          <w:p w14:paraId="1A1F8DD8" w14:textId="2D46D3E2" w:rsidR="00AF258E" w:rsidRPr="00E8518E" w:rsidRDefault="00734522" w:rsidP="00AF258E">
            <w:pPr>
              <w:jc w:val="right"/>
              <w:rPr>
                <w:rFonts w:eastAsia="Times New Roman" w:cs="Times New Roman"/>
                <w:color w:val="FF0000"/>
                <w:lang w:eastAsia="cs-CZ"/>
              </w:rPr>
            </w:pPr>
            <w:r>
              <w:t>105,96</w:t>
            </w:r>
          </w:p>
        </w:tc>
      </w:tr>
      <w:tr w:rsidR="00AF258E" w:rsidRPr="00E8518E" w14:paraId="29B03088" w14:textId="77777777" w:rsidTr="00776B6E">
        <w:tc>
          <w:tcPr>
            <w:tcW w:w="4320" w:type="dxa"/>
            <w:tcBorders>
              <w:top w:val="single" w:sz="4" w:space="0" w:color="7F7F7F" w:themeColor="text1" w:themeTint="80"/>
              <w:bottom w:val="nil"/>
            </w:tcBorders>
            <w:shd w:val="clear" w:color="auto" w:fill="auto"/>
          </w:tcPr>
          <w:p w14:paraId="2B459F7A" w14:textId="77777777" w:rsidR="00AF258E" w:rsidRPr="0088307E" w:rsidRDefault="00AF258E" w:rsidP="00AF258E">
            <w:pPr>
              <w:rPr>
                <w:rFonts w:eastAsia="Times New Roman" w:cs="Times New Roman"/>
                <w:lang w:eastAsia="cs-CZ"/>
              </w:rPr>
            </w:pPr>
            <w:r w:rsidRPr="0088307E">
              <w:rPr>
                <w:rFonts w:eastAsia="Times New Roman" w:cs="Times New Roman"/>
                <w:lang w:eastAsia="cs-CZ"/>
              </w:rPr>
              <w:t>příděl FKSP</w:t>
            </w:r>
          </w:p>
        </w:tc>
        <w:tc>
          <w:tcPr>
            <w:tcW w:w="1340" w:type="dxa"/>
            <w:tcBorders>
              <w:top w:val="single" w:sz="4" w:space="0" w:color="7F7F7F" w:themeColor="text1" w:themeTint="80"/>
              <w:bottom w:val="nil"/>
            </w:tcBorders>
            <w:shd w:val="clear" w:color="auto" w:fill="auto"/>
          </w:tcPr>
          <w:p w14:paraId="2903D38E" w14:textId="113B4698" w:rsidR="00AF258E" w:rsidRPr="00E8518E" w:rsidRDefault="00AF258E" w:rsidP="00AF258E">
            <w:pPr>
              <w:jc w:val="right"/>
              <w:rPr>
                <w:rFonts w:eastAsia="Times New Roman" w:cs="Times New Roman"/>
                <w:color w:val="FF0000"/>
                <w:lang w:eastAsia="cs-CZ"/>
              </w:rPr>
            </w:pPr>
            <w:r w:rsidRPr="002F1C83">
              <w:t>138</w:t>
            </w:r>
          </w:p>
        </w:tc>
        <w:tc>
          <w:tcPr>
            <w:tcW w:w="1276" w:type="dxa"/>
            <w:tcBorders>
              <w:top w:val="single" w:sz="4" w:space="0" w:color="7F7F7F" w:themeColor="text1" w:themeTint="80"/>
              <w:bottom w:val="nil"/>
            </w:tcBorders>
            <w:shd w:val="clear" w:color="auto" w:fill="auto"/>
          </w:tcPr>
          <w:p w14:paraId="12D7A5F6" w14:textId="2A0FDF41" w:rsidR="00AF258E" w:rsidRPr="00E8518E" w:rsidRDefault="00AF258E" w:rsidP="00AF258E">
            <w:pPr>
              <w:jc w:val="right"/>
              <w:rPr>
                <w:rFonts w:eastAsia="Times New Roman" w:cs="Times New Roman"/>
                <w:color w:val="FF0000"/>
                <w:lang w:eastAsia="cs-CZ"/>
              </w:rPr>
            </w:pPr>
            <w:r w:rsidRPr="00465BB5">
              <w:t>135</w:t>
            </w:r>
          </w:p>
        </w:tc>
        <w:tc>
          <w:tcPr>
            <w:tcW w:w="1134" w:type="dxa"/>
            <w:tcBorders>
              <w:top w:val="single" w:sz="4" w:space="0" w:color="7F7F7F" w:themeColor="text1" w:themeTint="80"/>
              <w:bottom w:val="nil"/>
            </w:tcBorders>
            <w:shd w:val="clear" w:color="auto" w:fill="auto"/>
          </w:tcPr>
          <w:p w14:paraId="76068AC2" w14:textId="3DF496A2" w:rsidR="00AF258E" w:rsidRPr="00E8518E" w:rsidRDefault="00734522" w:rsidP="00AF258E">
            <w:pPr>
              <w:jc w:val="right"/>
              <w:rPr>
                <w:rFonts w:eastAsia="Times New Roman" w:cs="Times New Roman"/>
                <w:color w:val="FF0000"/>
                <w:lang w:eastAsia="cs-CZ"/>
              </w:rPr>
            </w:pPr>
            <w:r>
              <w:t>144</w:t>
            </w:r>
          </w:p>
        </w:tc>
        <w:tc>
          <w:tcPr>
            <w:tcW w:w="992" w:type="dxa"/>
            <w:tcBorders>
              <w:top w:val="single" w:sz="4" w:space="0" w:color="7F7F7F" w:themeColor="text1" w:themeTint="80"/>
              <w:bottom w:val="nil"/>
            </w:tcBorders>
            <w:shd w:val="clear" w:color="auto" w:fill="auto"/>
          </w:tcPr>
          <w:p w14:paraId="74061DBF" w14:textId="6B438C68" w:rsidR="00AF258E" w:rsidRPr="00E8518E" w:rsidRDefault="00734522" w:rsidP="00AF258E">
            <w:pPr>
              <w:jc w:val="right"/>
              <w:rPr>
                <w:rFonts w:eastAsia="Times New Roman" w:cs="Times New Roman"/>
                <w:color w:val="FF0000"/>
                <w:lang w:eastAsia="cs-CZ"/>
              </w:rPr>
            </w:pPr>
            <w:r>
              <w:t>106,67</w:t>
            </w:r>
          </w:p>
        </w:tc>
      </w:tr>
      <w:tr w:rsidR="0088307E" w:rsidRPr="00E8518E" w14:paraId="08728246" w14:textId="77777777" w:rsidTr="0088307E">
        <w:tc>
          <w:tcPr>
            <w:tcW w:w="4320" w:type="dxa"/>
            <w:tcBorders>
              <w:top w:val="single" w:sz="4" w:space="0" w:color="7F7F7F" w:themeColor="text1" w:themeTint="80"/>
              <w:bottom w:val="nil"/>
            </w:tcBorders>
            <w:shd w:val="clear" w:color="auto" w:fill="auto"/>
          </w:tcPr>
          <w:p w14:paraId="6742ACE4" w14:textId="77777777" w:rsidR="00AF258E" w:rsidRPr="0088307E" w:rsidRDefault="00AF258E" w:rsidP="00AF258E">
            <w:pPr>
              <w:rPr>
                <w:rFonts w:eastAsia="Times New Roman" w:cs="Times New Roman"/>
                <w:lang w:eastAsia="cs-CZ"/>
              </w:rPr>
            </w:pPr>
            <w:r w:rsidRPr="0088307E">
              <w:rPr>
                <w:rFonts w:eastAsia="Times New Roman" w:cs="Times New Roman"/>
                <w:lang w:eastAsia="cs-CZ"/>
              </w:rPr>
              <w:t>ostatní neinvestiční nákupy a související výdaje</w:t>
            </w:r>
          </w:p>
        </w:tc>
        <w:tc>
          <w:tcPr>
            <w:tcW w:w="1340" w:type="dxa"/>
            <w:tcBorders>
              <w:top w:val="single" w:sz="4" w:space="0" w:color="7F7F7F" w:themeColor="text1" w:themeTint="80"/>
              <w:bottom w:val="nil"/>
            </w:tcBorders>
            <w:shd w:val="clear" w:color="auto" w:fill="auto"/>
          </w:tcPr>
          <w:p w14:paraId="03EF9EB8" w14:textId="196E5D88" w:rsidR="00AF258E" w:rsidRPr="00E8518E" w:rsidRDefault="00AF258E" w:rsidP="00AF258E">
            <w:pPr>
              <w:jc w:val="right"/>
              <w:rPr>
                <w:rFonts w:eastAsia="Times New Roman" w:cs="Times New Roman"/>
                <w:color w:val="FF0000"/>
                <w:lang w:eastAsia="cs-CZ"/>
              </w:rPr>
            </w:pPr>
            <w:r w:rsidRPr="002F1C83">
              <w:t>11 010</w:t>
            </w:r>
          </w:p>
        </w:tc>
        <w:tc>
          <w:tcPr>
            <w:tcW w:w="1276" w:type="dxa"/>
            <w:tcBorders>
              <w:top w:val="single" w:sz="4" w:space="0" w:color="7F7F7F" w:themeColor="text1" w:themeTint="80"/>
              <w:bottom w:val="nil"/>
            </w:tcBorders>
            <w:shd w:val="clear" w:color="auto" w:fill="auto"/>
          </w:tcPr>
          <w:p w14:paraId="1AA89DF0" w14:textId="3A06E5AD" w:rsidR="00AF258E" w:rsidRPr="00E8518E" w:rsidRDefault="00AF258E" w:rsidP="00AF258E">
            <w:pPr>
              <w:jc w:val="right"/>
              <w:rPr>
                <w:rFonts w:eastAsia="Times New Roman" w:cs="Times New Roman"/>
                <w:color w:val="FF0000"/>
                <w:lang w:eastAsia="cs-CZ"/>
              </w:rPr>
            </w:pPr>
            <w:r w:rsidRPr="00465BB5">
              <w:t>12 349</w:t>
            </w:r>
          </w:p>
        </w:tc>
        <w:tc>
          <w:tcPr>
            <w:tcW w:w="1134" w:type="dxa"/>
            <w:tcBorders>
              <w:top w:val="single" w:sz="4" w:space="0" w:color="7F7F7F" w:themeColor="text1" w:themeTint="80"/>
              <w:bottom w:val="nil"/>
            </w:tcBorders>
            <w:shd w:val="clear" w:color="auto" w:fill="auto"/>
          </w:tcPr>
          <w:p w14:paraId="51BFB04A" w14:textId="35A5EB53" w:rsidR="00AF258E" w:rsidRPr="00E8518E" w:rsidRDefault="00734522" w:rsidP="00AF258E">
            <w:pPr>
              <w:jc w:val="right"/>
              <w:rPr>
                <w:rFonts w:eastAsia="Times New Roman" w:cs="Times New Roman"/>
                <w:color w:val="FF0000"/>
                <w:lang w:eastAsia="cs-CZ"/>
              </w:rPr>
            </w:pPr>
            <w:r>
              <w:t>13 620</w:t>
            </w:r>
          </w:p>
        </w:tc>
        <w:tc>
          <w:tcPr>
            <w:tcW w:w="992" w:type="dxa"/>
            <w:tcBorders>
              <w:top w:val="single" w:sz="4" w:space="0" w:color="7F7F7F" w:themeColor="text1" w:themeTint="80"/>
              <w:bottom w:val="nil"/>
            </w:tcBorders>
            <w:shd w:val="clear" w:color="auto" w:fill="auto"/>
          </w:tcPr>
          <w:p w14:paraId="41DAF840" w14:textId="3941A1F3" w:rsidR="00AF258E" w:rsidRPr="00E8518E" w:rsidRDefault="00734522" w:rsidP="00AF258E">
            <w:pPr>
              <w:jc w:val="right"/>
              <w:rPr>
                <w:rFonts w:eastAsia="Times New Roman" w:cs="Times New Roman"/>
                <w:color w:val="FF0000"/>
                <w:lang w:eastAsia="cs-CZ"/>
              </w:rPr>
            </w:pPr>
            <w:r>
              <w:t>110,29</w:t>
            </w:r>
          </w:p>
        </w:tc>
      </w:tr>
      <w:tr w:rsidR="0088307E" w:rsidRPr="00E8518E" w14:paraId="5AF7CD6F" w14:textId="77777777" w:rsidTr="0088307E">
        <w:tc>
          <w:tcPr>
            <w:tcW w:w="4320" w:type="dxa"/>
            <w:tcBorders>
              <w:top w:val="nil"/>
              <w:bottom w:val="single" w:sz="8" w:space="0" w:color="7F7F7F" w:themeColor="text1" w:themeTint="80"/>
            </w:tcBorders>
            <w:shd w:val="clear" w:color="auto" w:fill="auto"/>
          </w:tcPr>
          <w:p w14:paraId="2BFC74CC" w14:textId="77777777" w:rsidR="00AF258E" w:rsidRPr="0088307E" w:rsidRDefault="00AF258E" w:rsidP="00AF258E">
            <w:pPr>
              <w:jc w:val="left"/>
              <w:rPr>
                <w:rFonts w:eastAsia="Times New Roman" w:cs="Times New Roman"/>
                <w:i/>
                <w:lang w:eastAsia="cs-CZ"/>
              </w:rPr>
            </w:pPr>
            <w:r w:rsidRPr="0088307E">
              <w:rPr>
                <w:rFonts w:eastAsia="Times New Roman" w:cs="Times New Roman"/>
                <w:i/>
                <w:lang w:eastAsia="cs-CZ"/>
              </w:rPr>
              <w:t>z toho: programové financování (EDS/SMVS)</w:t>
            </w:r>
          </w:p>
        </w:tc>
        <w:tc>
          <w:tcPr>
            <w:tcW w:w="1340" w:type="dxa"/>
            <w:tcBorders>
              <w:top w:val="nil"/>
              <w:bottom w:val="single" w:sz="8" w:space="0" w:color="7F7F7F" w:themeColor="text1" w:themeTint="80"/>
            </w:tcBorders>
            <w:shd w:val="clear" w:color="auto" w:fill="auto"/>
          </w:tcPr>
          <w:p w14:paraId="0F1986E3" w14:textId="25EEB61B" w:rsidR="00AF258E" w:rsidRPr="00E8518E" w:rsidRDefault="00AF258E" w:rsidP="00AF258E">
            <w:pPr>
              <w:jc w:val="right"/>
              <w:rPr>
                <w:rFonts w:eastAsia="Times New Roman" w:cs="Times New Roman"/>
                <w:i/>
                <w:color w:val="FF0000"/>
                <w:lang w:eastAsia="cs-CZ"/>
              </w:rPr>
            </w:pPr>
            <w:r w:rsidRPr="002F1C83">
              <w:t>0</w:t>
            </w:r>
          </w:p>
        </w:tc>
        <w:tc>
          <w:tcPr>
            <w:tcW w:w="1276" w:type="dxa"/>
            <w:tcBorders>
              <w:top w:val="nil"/>
              <w:bottom w:val="single" w:sz="8" w:space="0" w:color="7F7F7F" w:themeColor="text1" w:themeTint="80"/>
            </w:tcBorders>
            <w:shd w:val="clear" w:color="auto" w:fill="auto"/>
          </w:tcPr>
          <w:p w14:paraId="61585E99" w14:textId="51CCE095" w:rsidR="00AF258E" w:rsidRPr="00E8518E" w:rsidRDefault="00AF258E" w:rsidP="00AF258E">
            <w:pPr>
              <w:jc w:val="right"/>
              <w:rPr>
                <w:rFonts w:eastAsia="Times New Roman" w:cs="Times New Roman"/>
                <w:i/>
                <w:color w:val="FF0000"/>
                <w:lang w:eastAsia="cs-CZ"/>
              </w:rPr>
            </w:pPr>
            <w:r w:rsidRPr="00465BB5">
              <w:t>0</w:t>
            </w:r>
          </w:p>
        </w:tc>
        <w:tc>
          <w:tcPr>
            <w:tcW w:w="1134" w:type="dxa"/>
            <w:tcBorders>
              <w:top w:val="nil"/>
              <w:bottom w:val="single" w:sz="8" w:space="0" w:color="7F7F7F" w:themeColor="text1" w:themeTint="80"/>
            </w:tcBorders>
            <w:shd w:val="clear" w:color="auto" w:fill="auto"/>
          </w:tcPr>
          <w:p w14:paraId="1631ECE6" w14:textId="3BD08580" w:rsidR="00AF258E" w:rsidRPr="00E8518E" w:rsidRDefault="00AF258E" w:rsidP="00AF258E">
            <w:pPr>
              <w:jc w:val="right"/>
              <w:rPr>
                <w:rFonts w:eastAsia="Times New Roman" w:cs="Times New Roman"/>
                <w:i/>
                <w:color w:val="FF0000"/>
                <w:lang w:eastAsia="cs-CZ"/>
              </w:rPr>
            </w:pPr>
            <w:r w:rsidRPr="00465BB5">
              <w:t>0</w:t>
            </w:r>
          </w:p>
        </w:tc>
        <w:tc>
          <w:tcPr>
            <w:tcW w:w="992" w:type="dxa"/>
            <w:tcBorders>
              <w:top w:val="nil"/>
              <w:bottom w:val="single" w:sz="8" w:space="0" w:color="7F7F7F" w:themeColor="text1" w:themeTint="80"/>
            </w:tcBorders>
            <w:shd w:val="clear" w:color="auto" w:fill="auto"/>
          </w:tcPr>
          <w:p w14:paraId="1459FAD1" w14:textId="499E6361" w:rsidR="00AF258E" w:rsidRPr="00E8518E" w:rsidRDefault="00AF258E" w:rsidP="00AF258E">
            <w:pPr>
              <w:jc w:val="right"/>
              <w:rPr>
                <w:rFonts w:eastAsia="Times New Roman" w:cs="Times New Roman"/>
                <w:color w:val="FF0000"/>
                <w:lang w:eastAsia="cs-CZ"/>
              </w:rPr>
            </w:pPr>
            <w:r w:rsidRPr="00465BB5">
              <w:t>x</w:t>
            </w:r>
          </w:p>
        </w:tc>
      </w:tr>
    </w:tbl>
    <w:p w14:paraId="2CF16F89" w14:textId="5C575EF2" w:rsidR="00AF258E" w:rsidRPr="003F730C" w:rsidRDefault="00AF258E" w:rsidP="00AF258E">
      <w:pPr>
        <w:pStyle w:val="Styl1"/>
      </w:pPr>
      <w:r w:rsidRPr="003F730C">
        <w:t xml:space="preserve">Navrhovaný objem běžných výdajů pro rok 2023 je </w:t>
      </w:r>
      <w:r>
        <w:t>oproti roku</w:t>
      </w:r>
      <w:r w:rsidRPr="003F730C">
        <w:t xml:space="preserve"> 2022</w:t>
      </w:r>
      <w:r>
        <w:t xml:space="preserve"> </w:t>
      </w:r>
      <w:r w:rsidR="00C1529C">
        <w:t>zvýšen</w:t>
      </w:r>
      <w:r>
        <w:t xml:space="preserve"> o </w:t>
      </w:r>
      <w:r w:rsidR="00C1529C">
        <w:t>1 823</w:t>
      </w:r>
      <w:r>
        <w:t xml:space="preserve"> tis. Kč, </w:t>
      </w:r>
      <w:r w:rsidR="00C1529C">
        <w:t xml:space="preserve">v uvedeném navýšení je obsaženo navýšení výdajů na platy včetně příslušenství o 552 tis. Kč (podrobněji viz </w:t>
      </w:r>
      <w:r w:rsidR="009A5984">
        <w:t>oddíl</w:t>
      </w:r>
      <w:r w:rsidR="00C1529C">
        <w:t xml:space="preserve"> </w:t>
      </w:r>
      <w:r w:rsidR="00C1529C" w:rsidRPr="00C1529C">
        <w:t>3.2.2 Výdaje na platy a počty pracovníků za OSS a PO)</w:t>
      </w:r>
      <w:r w:rsidR="00C1529C">
        <w:t xml:space="preserve">. Dále byly navýšeny výdaje na energii o 1 551 tis. Kč. Rovněž došlo ke </w:t>
      </w:r>
      <w:r>
        <w:t>snížení ostatních běžných výdajů</w:t>
      </w:r>
      <w:r w:rsidR="00C1529C">
        <w:t xml:space="preserve"> o 280 tis. Kč, které byly převedeny </w:t>
      </w:r>
      <w:r>
        <w:t xml:space="preserve">na úhradu členského příspěvku mezinárodní nevládní organizaci </w:t>
      </w:r>
      <w:r w:rsidRPr="003F730C">
        <w:t xml:space="preserve">International </w:t>
      </w:r>
      <w:proofErr w:type="spellStart"/>
      <w:r w:rsidRPr="003F730C">
        <w:t>Navigation</w:t>
      </w:r>
      <w:proofErr w:type="spellEnd"/>
      <w:r w:rsidRPr="003F730C">
        <w:t xml:space="preserve"> </w:t>
      </w:r>
      <w:proofErr w:type="spellStart"/>
      <w:r w:rsidRPr="003F730C">
        <w:t>Europe</w:t>
      </w:r>
      <w:proofErr w:type="spellEnd"/>
      <w:r>
        <w:t>.</w:t>
      </w:r>
      <w:r w:rsidRPr="003F730C">
        <w:t xml:space="preserve">  </w:t>
      </w:r>
    </w:p>
    <w:p w14:paraId="4550A16D" w14:textId="1EE25A89" w:rsidR="00AF258E" w:rsidRPr="003F730C" w:rsidRDefault="00AF258E" w:rsidP="00AF258E">
      <w:pPr>
        <w:pStyle w:val="Styl1"/>
      </w:pPr>
      <w:r w:rsidRPr="003F730C">
        <w:t>Počet zaměstnanců organizace pro rok 202</w:t>
      </w:r>
      <w:r w:rsidR="00DA1D71">
        <w:t>3</w:t>
      </w:r>
      <w:r w:rsidRPr="003F730C">
        <w:t xml:space="preserve"> je navržen ve výši 15 zaměstnanců, v tom 15 zaměstnanců v pracovním poměru. Ve srovnání s rokem 2022 nedochází ke změně.</w:t>
      </w:r>
    </w:p>
    <w:p w14:paraId="55EA776C" w14:textId="55DD4293" w:rsidR="00AF258E" w:rsidRPr="0088307E" w:rsidRDefault="00AF258E" w:rsidP="00A66629">
      <w:pPr>
        <w:pStyle w:val="Nadpis9"/>
        <w:rPr>
          <w:b w:val="0"/>
          <w:u w:val="none"/>
        </w:rPr>
      </w:pPr>
      <w:r w:rsidRPr="0088307E">
        <w:rPr>
          <w:b w:val="0"/>
          <w:u w:val="none"/>
        </w:rPr>
        <w:t>V rámci ostatních běžných výdajů největší podíl činí výdaje na nákup ostatních služeb, zejména služeb pro zajištění provozu říčních přístavů a výdaje na právní a poradenské služby, které souvisejí s řešením právních sporů vznikajících při přípravě a realizaci staveb nutných pro provoz na vodních cestách.  Další významné výdaje jsou výdaje na pohonné hmoty související s realizací staveb na vodních cestách, výdaje na nájemné (pronajaté poze</w:t>
      </w:r>
      <w:r w:rsidR="00C6390B">
        <w:rPr>
          <w:b w:val="0"/>
          <w:u w:val="none"/>
        </w:rPr>
        <w:t>mky v přístavu Hamburk v SRN),</w:t>
      </w:r>
      <w:r w:rsidR="00C6390B" w:rsidRPr="00AF258E">
        <w:rPr>
          <w:b w:val="0"/>
          <w:u w:val="none"/>
        </w:rPr>
        <w:t xml:space="preserve"> </w:t>
      </w:r>
      <w:r w:rsidRPr="0088307E">
        <w:rPr>
          <w:b w:val="0"/>
          <w:u w:val="none"/>
        </w:rPr>
        <w:t>na cestovné</w:t>
      </w:r>
      <w:r w:rsidR="004C683E">
        <w:rPr>
          <w:b w:val="0"/>
          <w:u w:val="none"/>
        </w:rPr>
        <w:t>, na elektrickou energii a na plyn</w:t>
      </w:r>
      <w:r w:rsidRPr="0088307E">
        <w:rPr>
          <w:b w:val="0"/>
          <w:u w:val="none"/>
        </w:rPr>
        <w:t>.</w:t>
      </w:r>
      <w:r w:rsidR="004C683E">
        <w:rPr>
          <w:b w:val="0"/>
          <w:u w:val="none"/>
        </w:rPr>
        <w:t xml:space="preserve"> </w:t>
      </w:r>
      <w:r w:rsidRPr="0088307E">
        <w:rPr>
          <w:b w:val="0"/>
          <w:u w:val="none"/>
        </w:rPr>
        <w:t xml:space="preserve"> </w:t>
      </w:r>
    </w:p>
    <w:p w14:paraId="77C5ECD5" w14:textId="77777777" w:rsidR="0057450B" w:rsidRPr="0088307E" w:rsidRDefault="0057450B" w:rsidP="00A66629">
      <w:pPr>
        <w:pStyle w:val="Nadpis9"/>
        <w:rPr>
          <w:lang w:eastAsia="cs-CZ"/>
        </w:rPr>
      </w:pPr>
      <w:r w:rsidRPr="0088307E">
        <w:rPr>
          <w:lang w:eastAsia="cs-CZ"/>
        </w:rPr>
        <w:t>Ústav pro odborné zjišťování příčin leteckých nehod</w:t>
      </w:r>
    </w:p>
    <w:p w14:paraId="7F1BAAF3" w14:textId="77777777" w:rsidR="008C1678" w:rsidRPr="0088307E" w:rsidRDefault="008C1678" w:rsidP="008C1678">
      <w:pPr>
        <w:pStyle w:val="Styl1"/>
      </w:pPr>
      <w:r w:rsidRPr="0088307E">
        <w:t>Organizační složka státu vznikla k 1. 1. 2003 na základě novely zákona č. 49/1997 Sb., o civilním letectví. Hlavní činností je shromažďování a analýza informací o leteckých nehodách včetně určování příčin leteckých nehod a vypracování závěrů a bezpečnostních doporučení k jejich předcházení.</w:t>
      </w:r>
    </w:p>
    <w:p w14:paraId="637A2AFB" w14:textId="5C32A808" w:rsidR="0057450B" w:rsidRPr="0088307E" w:rsidRDefault="0057450B" w:rsidP="0057450B">
      <w:pPr>
        <w:pStyle w:val="Titulek"/>
      </w:pPr>
      <w:r w:rsidRPr="0088307E">
        <w:t xml:space="preserve">Tabulka č. </w:t>
      </w:r>
      <w:r w:rsidR="0001421C" w:rsidRPr="0088307E">
        <w:rPr>
          <w:noProof/>
        </w:rPr>
        <w:fldChar w:fldCharType="begin"/>
      </w:r>
      <w:r w:rsidR="0001421C" w:rsidRPr="0088307E">
        <w:rPr>
          <w:noProof/>
        </w:rPr>
        <w:instrText xml:space="preserve"> SEQ Tabulka \* ARABIC </w:instrText>
      </w:r>
      <w:r w:rsidR="0001421C" w:rsidRPr="0088307E">
        <w:rPr>
          <w:noProof/>
        </w:rPr>
        <w:fldChar w:fldCharType="separate"/>
      </w:r>
      <w:r w:rsidR="00F80947">
        <w:rPr>
          <w:noProof/>
        </w:rPr>
        <w:t>15</w:t>
      </w:r>
      <w:r w:rsidR="0001421C" w:rsidRPr="0088307E">
        <w:rPr>
          <w:noProof/>
        </w:rPr>
        <w:fldChar w:fldCharType="end"/>
      </w:r>
      <w:r w:rsidRPr="0088307E">
        <w:rPr>
          <w:noProof/>
        </w:rPr>
        <w:t xml:space="preserve"> Ústav pro odborné zjišťování příčin leteckých nehod – běžné výdaje (v tis. Kč)</w:t>
      </w:r>
    </w:p>
    <w:tbl>
      <w:tblPr>
        <w:tblStyle w:val="Svtltabulkasmkou1zvraznn5"/>
        <w:tblW w:w="913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20"/>
        <w:gridCol w:w="1340"/>
        <w:gridCol w:w="1418"/>
        <w:gridCol w:w="1134"/>
        <w:gridCol w:w="927"/>
      </w:tblGrid>
      <w:tr w:rsidR="00910DCB" w:rsidRPr="00E8518E" w14:paraId="02B5E41F" w14:textId="77777777" w:rsidTr="00CF4BB2">
        <w:tc>
          <w:tcPr>
            <w:tcW w:w="432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0CFBF04" w14:textId="04F0E5DD" w:rsidR="00910DCB" w:rsidRPr="00E8518E" w:rsidRDefault="00910DCB" w:rsidP="00910DCB">
            <w:pPr>
              <w:jc w:val="center"/>
              <w:rPr>
                <w:rFonts w:eastAsia="Times New Roman" w:cs="Times New Roman"/>
                <w:b/>
                <w:color w:val="FF0000"/>
                <w:szCs w:val="24"/>
                <w:lang w:eastAsia="cs-CZ"/>
              </w:rPr>
            </w:pPr>
            <w:r w:rsidRPr="003F730C">
              <w:rPr>
                <w:rFonts w:eastAsia="Times New Roman" w:cs="Times New Roman"/>
                <w:b/>
                <w:szCs w:val="24"/>
                <w:lang w:eastAsia="cs-CZ"/>
              </w:rPr>
              <w:t>Ukazatel</w:t>
            </w:r>
          </w:p>
        </w:tc>
        <w:tc>
          <w:tcPr>
            <w:tcW w:w="13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7A4051F" w14:textId="77777777" w:rsidR="00910DCB" w:rsidRPr="003F730C" w:rsidRDefault="00910DCB" w:rsidP="00910DCB">
            <w:pPr>
              <w:jc w:val="center"/>
              <w:rPr>
                <w:rFonts w:eastAsia="Times New Roman" w:cs="Times New Roman"/>
                <w:b/>
                <w:szCs w:val="24"/>
                <w:lang w:eastAsia="cs-CZ"/>
              </w:rPr>
            </w:pPr>
            <w:r w:rsidRPr="003F730C">
              <w:rPr>
                <w:rFonts w:eastAsia="Times New Roman" w:cs="Times New Roman"/>
                <w:b/>
                <w:szCs w:val="24"/>
                <w:lang w:eastAsia="cs-CZ"/>
              </w:rPr>
              <w:t>Skutečnost</w:t>
            </w:r>
          </w:p>
          <w:p w14:paraId="540157D6" w14:textId="1A8B61E2" w:rsidR="00910DCB" w:rsidRPr="00E8518E" w:rsidRDefault="00910DCB" w:rsidP="00910DCB">
            <w:pPr>
              <w:jc w:val="center"/>
              <w:rPr>
                <w:rFonts w:eastAsia="Times New Roman" w:cs="Times New Roman"/>
                <w:b/>
                <w:color w:val="FF0000"/>
                <w:szCs w:val="24"/>
                <w:lang w:eastAsia="cs-CZ"/>
              </w:rPr>
            </w:pPr>
            <w:r w:rsidRPr="003F730C">
              <w:rPr>
                <w:rFonts w:eastAsia="Times New Roman" w:cs="Times New Roman"/>
                <w:b/>
                <w:szCs w:val="24"/>
                <w:lang w:eastAsia="cs-CZ"/>
              </w:rPr>
              <w:t>2021</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2DCA826" w14:textId="77777777" w:rsidR="00910DCB" w:rsidRPr="003F730C" w:rsidRDefault="00910DCB" w:rsidP="00910DCB">
            <w:pPr>
              <w:jc w:val="center"/>
              <w:rPr>
                <w:rFonts w:eastAsia="Times New Roman" w:cs="Times New Roman"/>
                <w:b/>
                <w:szCs w:val="24"/>
                <w:lang w:eastAsia="cs-CZ"/>
              </w:rPr>
            </w:pPr>
            <w:r w:rsidRPr="003F730C">
              <w:rPr>
                <w:rFonts w:eastAsia="Times New Roman" w:cs="Times New Roman"/>
                <w:b/>
                <w:szCs w:val="24"/>
                <w:lang w:eastAsia="cs-CZ"/>
              </w:rPr>
              <w:t>Schválený</w:t>
            </w:r>
          </w:p>
          <w:p w14:paraId="062B7680" w14:textId="77777777" w:rsidR="00910DCB" w:rsidRPr="003F730C" w:rsidRDefault="00910DCB" w:rsidP="00910DCB">
            <w:pPr>
              <w:jc w:val="center"/>
              <w:rPr>
                <w:rFonts w:eastAsia="Times New Roman" w:cs="Times New Roman"/>
                <w:b/>
                <w:szCs w:val="24"/>
                <w:lang w:eastAsia="cs-CZ"/>
              </w:rPr>
            </w:pPr>
            <w:r w:rsidRPr="003F730C">
              <w:rPr>
                <w:rFonts w:eastAsia="Times New Roman" w:cs="Times New Roman"/>
                <w:b/>
                <w:szCs w:val="24"/>
                <w:lang w:eastAsia="cs-CZ"/>
              </w:rPr>
              <w:t>rozpočet</w:t>
            </w:r>
          </w:p>
          <w:p w14:paraId="71939012" w14:textId="39851CEA" w:rsidR="00910DCB" w:rsidRPr="00E8518E" w:rsidRDefault="00910DCB" w:rsidP="00910DCB">
            <w:pPr>
              <w:jc w:val="center"/>
              <w:rPr>
                <w:rFonts w:eastAsia="Times New Roman" w:cs="Times New Roman"/>
                <w:b/>
                <w:color w:val="FF0000"/>
                <w:szCs w:val="24"/>
                <w:lang w:eastAsia="cs-CZ"/>
              </w:rPr>
            </w:pPr>
            <w:r w:rsidRPr="003F730C">
              <w:rPr>
                <w:rFonts w:eastAsia="Times New Roman" w:cs="Times New Roman"/>
                <w:b/>
                <w:szCs w:val="24"/>
                <w:lang w:eastAsia="cs-CZ"/>
              </w:rPr>
              <w:t>2022</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EC171DA" w14:textId="77777777" w:rsidR="00910DCB" w:rsidRPr="003F730C" w:rsidRDefault="00910DCB" w:rsidP="00910DCB">
            <w:pPr>
              <w:jc w:val="center"/>
              <w:rPr>
                <w:rFonts w:eastAsia="Times New Roman" w:cs="Times New Roman"/>
                <w:b/>
                <w:szCs w:val="24"/>
                <w:lang w:eastAsia="cs-CZ"/>
              </w:rPr>
            </w:pPr>
            <w:r w:rsidRPr="003F730C">
              <w:rPr>
                <w:rFonts w:eastAsia="Times New Roman" w:cs="Times New Roman"/>
                <w:b/>
                <w:szCs w:val="24"/>
                <w:lang w:eastAsia="cs-CZ"/>
              </w:rPr>
              <w:t>Návrh</w:t>
            </w:r>
          </w:p>
          <w:p w14:paraId="5E39A7D6" w14:textId="77777777" w:rsidR="00910DCB" w:rsidRPr="003F730C" w:rsidRDefault="00910DCB" w:rsidP="00910DCB">
            <w:pPr>
              <w:jc w:val="center"/>
              <w:rPr>
                <w:rFonts w:eastAsia="Times New Roman" w:cs="Times New Roman"/>
                <w:b/>
                <w:szCs w:val="24"/>
                <w:lang w:eastAsia="cs-CZ"/>
              </w:rPr>
            </w:pPr>
            <w:r w:rsidRPr="003F730C">
              <w:rPr>
                <w:rFonts w:eastAsia="Times New Roman" w:cs="Times New Roman"/>
                <w:b/>
                <w:szCs w:val="24"/>
                <w:lang w:eastAsia="cs-CZ"/>
              </w:rPr>
              <w:t>rozpočtu</w:t>
            </w:r>
          </w:p>
          <w:p w14:paraId="3EEBE0E5" w14:textId="412C5E50" w:rsidR="00910DCB" w:rsidRPr="00E8518E" w:rsidRDefault="00910DCB" w:rsidP="00910DCB">
            <w:pPr>
              <w:jc w:val="center"/>
              <w:rPr>
                <w:rFonts w:eastAsia="Times New Roman" w:cs="Times New Roman"/>
                <w:b/>
                <w:color w:val="FF0000"/>
                <w:szCs w:val="24"/>
                <w:lang w:eastAsia="cs-CZ"/>
              </w:rPr>
            </w:pPr>
            <w:r w:rsidRPr="003F730C">
              <w:rPr>
                <w:rFonts w:eastAsia="Times New Roman" w:cs="Times New Roman"/>
                <w:b/>
                <w:szCs w:val="24"/>
                <w:lang w:eastAsia="cs-CZ"/>
              </w:rPr>
              <w:t>2023</w:t>
            </w:r>
          </w:p>
        </w:tc>
        <w:tc>
          <w:tcPr>
            <w:tcW w:w="92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4847FD9" w14:textId="77777777" w:rsidR="00910DCB" w:rsidRPr="003F730C" w:rsidRDefault="00910DCB" w:rsidP="00910DCB">
            <w:pPr>
              <w:jc w:val="center"/>
              <w:rPr>
                <w:rFonts w:eastAsia="Times New Roman" w:cs="Times New Roman"/>
                <w:b/>
                <w:szCs w:val="24"/>
                <w:lang w:eastAsia="cs-CZ"/>
              </w:rPr>
            </w:pPr>
            <w:r w:rsidRPr="003F730C">
              <w:rPr>
                <w:rFonts w:eastAsia="Times New Roman" w:cs="Times New Roman"/>
                <w:b/>
                <w:szCs w:val="24"/>
                <w:lang w:eastAsia="cs-CZ"/>
              </w:rPr>
              <w:t>Index</w:t>
            </w:r>
          </w:p>
          <w:p w14:paraId="275F00FE" w14:textId="3407F4D5" w:rsidR="00910DCB" w:rsidRPr="00E8518E" w:rsidRDefault="00910DCB" w:rsidP="00910DCB">
            <w:pPr>
              <w:jc w:val="center"/>
              <w:rPr>
                <w:rFonts w:eastAsia="Times New Roman" w:cs="Times New Roman"/>
                <w:b/>
                <w:color w:val="FF0000"/>
                <w:szCs w:val="24"/>
                <w:lang w:eastAsia="cs-CZ"/>
              </w:rPr>
            </w:pPr>
            <w:r w:rsidRPr="003F730C">
              <w:rPr>
                <w:rFonts w:eastAsia="Times New Roman" w:cs="Times New Roman"/>
                <w:b/>
                <w:szCs w:val="24"/>
                <w:lang w:eastAsia="cs-CZ"/>
              </w:rPr>
              <w:t>2023/</w:t>
            </w:r>
            <w:r w:rsidRPr="003F730C">
              <w:rPr>
                <w:rFonts w:eastAsia="Times New Roman" w:cs="Times New Roman"/>
                <w:b/>
                <w:szCs w:val="24"/>
                <w:lang w:eastAsia="cs-CZ"/>
              </w:rPr>
              <w:br/>
              <w:t>2022</w:t>
            </w:r>
            <w:r w:rsidRPr="003F730C">
              <w:rPr>
                <w:rFonts w:eastAsia="Times New Roman" w:cs="Times New Roman"/>
                <w:b/>
                <w:szCs w:val="24"/>
                <w:lang w:eastAsia="cs-CZ"/>
              </w:rPr>
              <w:br/>
              <w:t>(v %)</w:t>
            </w:r>
          </w:p>
        </w:tc>
      </w:tr>
      <w:tr w:rsidR="00E8518E" w:rsidRPr="00E8518E" w14:paraId="78E796F8" w14:textId="77777777" w:rsidTr="00CF4BB2">
        <w:tc>
          <w:tcPr>
            <w:tcW w:w="4320" w:type="dxa"/>
            <w:tcBorders>
              <w:top w:val="single" w:sz="4" w:space="0" w:color="7F7F7F" w:themeColor="text1" w:themeTint="80"/>
              <w:bottom w:val="single" w:sz="8" w:space="0" w:color="7F7F7F" w:themeColor="text1" w:themeTint="80"/>
            </w:tcBorders>
            <w:shd w:val="clear" w:color="auto" w:fill="auto"/>
          </w:tcPr>
          <w:p w14:paraId="16FD368E" w14:textId="77777777" w:rsidR="00CF4BB2" w:rsidRPr="0088307E" w:rsidRDefault="00CF4BB2" w:rsidP="00CF4BB2">
            <w:pPr>
              <w:jc w:val="center"/>
              <w:rPr>
                <w:rFonts w:eastAsia="Times New Roman" w:cs="Times New Roman"/>
                <w:szCs w:val="24"/>
                <w:lang w:eastAsia="cs-CZ"/>
              </w:rPr>
            </w:pPr>
            <w:r w:rsidRPr="0088307E">
              <w:rPr>
                <w:rFonts w:eastAsia="Times New Roman" w:cs="Times New Roman"/>
                <w:szCs w:val="24"/>
                <w:lang w:eastAsia="cs-CZ"/>
              </w:rPr>
              <w:t>a</w:t>
            </w:r>
          </w:p>
        </w:tc>
        <w:tc>
          <w:tcPr>
            <w:tcW w:w="1340" w:type="dxa"/>
            <w:tcBorders>
              <w:top w:val="single" w:sz="4" w:space="0" w:color="7F7F7F" w:themeColor="text1" w:themeTint="80"/>
              <w:bottom w:val="single" w:sz="8" w:space="0" w:color="7F7F7F" w:themeColor="text1" w:themeTint="80"/>
            </w:tcBorders>
            <w:shd w:val="clear" w:color="auto" w:fill="auto"/>
          </w:tcPr>
          <w:p w14:paraId="0B22AF65" w14:textId="77777777" w:rsidR="00CF4BB2" w:rsidRPr="0088307E" w:rsidRDefault="00CF4BB2" w:rsidP="00CF4BB2">
            <w:pPr>
              <w:jc w:val="center"/>
              <w:rPr>
                <w:rFonts w:eastAsia="Times New Roman" w:cs="Times New Roman"/>
                <w:szCs w:val="24"/>
                <w:lang w:eastAsia="cs-CZ"/>
              </w:rPr>
            </w:pPr>
            <w:r w:rsidRPr="0088307E">
              <w:rPr>
                <w:rFonts w:eastAsia="Times New Roman" w:cs="Times New Roman"/>
                <w:szCs w:val="24"/>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4CAF7CF3" w14:textId="77777777" w:rsidR="00CF4BB2" w:rsidRPr="0088307E" w:rsidRDefault="00CF4BB2" w:rsidP="00CF4BB2">
            <w:pPr>
              <w:jc w:val="center"/>
              <w:rPr>
                <w:rFonts w:eastAsia="Times New Roman" w:cs="Times New Roman"/>
                <w:szCs w:val="24"/>
                <w:lang w:eastAsia="cs-CZ"/>
              </w:rPr>
            </w:pPr>
            <w:r w:rsidRPr="0088307E">
              <w:rPr>
                <w:rFonts w:eastAsia="Times New Roman" w:cs="Times New Roman"/>
                <w:szCs w:val="24"/>
                <w:lang w:eastAsia="cs-CZ"/>
              </w:rPr>
              <w:t>2</w:t>
            </w:r>
          </w:p>
        </w:tc>
        <w:tc>
          <w:tcPr>
            <w:tcW w:w="1134" w:type="dxa"/>
            <w:tcBorders>
              <w:top w:val="single" w:sz="4" w:space="0" w:color="7F7F7F" w:themeColor="text1" w:themeTint="80"/>
              <w:bottom w:val="single" w:sz="8" w:space="0" w:color="7F7F7F" w:themeColor="text1" w:themeTint="80"/>
            </w:tcBorders>
            <w:shd w:val="clear" w:color="auto" w:fill="auto"/>
          </w:tcPr>
          <w:p w14:paraId="03594628" w14:textId="77777777" w:rsidR="00CF4BB2" w:rsidRPr="0088307E" w:rsidRDefault="00CF4BB2" w:rsidP="00CF4BB2">
            <w:pPr>
              <w:jc w:val="center"/>
              <w:rPr>
                <w:rFonts w:eastAsia="Times New Roman" w:cs="Times New Roman"/>
                <w:szCs w:val="24"/>
                <w:lang w:eastAsia="cs-CZ"/>
              </w:rPr>
            </w:pPr>
            <w:r w:rsidRPr="0088307E">
              <w:rPr>
                <w:rFonts w:eastAsia="Times New Roman" w:cs="Times New Roman"/>
                <w:szCs w:val="24"/>
                <w:lang w:eastAsia="cs-CZ"/>
              </w:rPr>
              <w:t>3</w:t>
            </w:r>
          </w:p>
        </w:tc>
        <w:tc>
          <w:tcPr>
            <w:tcW w:w="927" w:type="dxa"/>
            <w:tcBorders>
              <w:top w:val="single" w:sz="4" w:space="0" w:color="7F7F7F" w:themeColor="text1" w:themeTint="80"/>
              <w:bottom w:val="single" w:sz="8" w:space="0" w:color="7F7F7F" w:themeColor="text1" w:themeTint="80"/>
            </w:tcBorders>
            <w:shd w:val="clear" w:color="auto" w:fill="auto"/>
          </w:tcPr>
          <w:p w14:paraId="12E511C6" w14:textId="77777777" w:rsidR="00CF4BB2" w:rsidRPr="0088307E" w:rsidRDefault="00CF4BB2" w:rsidP="00CF4BB2">
            <w:pPr>
              <w:jc w:val="center"/>
              <w:rPr>
                <w:rFonts w:eastAsia="Times New Roman" w:cs="Times New Roman"/>
                <w:szCs w:val="24"/>
                <w:lang w:eastAsia="cs-CZ"/>
              </w:rPr>
            </w:pPr>
            <w:r w:rsidRPr="0088307E">
              <w:rPr>
                <w:rFonts w:eastAsia="Times New Roman" w:cs="Times New Roman"/>
                <w:szCs w:val="24"/>
                <w:lang w:eastAsia="cs-CZ"/>
              </w:rPr>
              <w:t>4</w:t>
            </w:r>
          </w:p>
        </w:tc>
      </w:tr>
      <w:tr w:rsidR="00BA3897" w:rsidRPr="00E8518E" w14:paraId="3F9B028D" w14:textId="77777777" w:rsidTr="00CF4BB2">
        <w:trPr>
          <w:trHeight w:val="475"/>
        </w:trPr>
        <w:tc>
          <w:tcPr>
            <w:tcW w:w="4320" w:type="dxa"/>
            <w:tcBorders>
              <w:top w:val="single" w:sz="8" w:space="0" w:color="7F7F7F" w:themeColor="text1" w:themeTint="80"/>
              <w:bottom w:val="single" w:sz="8" w:space="0" w:color="7F7F7F" w:themeColor="text1" w:themeTint="80"/>
            </w:tcBorders>
            <w:shd w:val="clear" w:color="auto" w:fill="auto"/>
          </w:tcPr>
          <w:p w14:paraId="67979137" w14:textId="62E592F0" w:rsidR="00BA3897" w:rsidRPr="00E8518E" w:rsidRDefault="00BA3897" w:rsidP="00BA3897">
            <w:pPr>
              <w:spacing w:before="81"/>
              <w:rPr>
                <w:rFonts w:eastAsia="Times New Roman" w:cs="Times New Roman"/>
                <w:color w:val="FF0000"/>
                <w:lang w:eastAsia="cs-CZ"/>
              </w:rPr>
            </w:pPr>
            <w:r w:rsidRPr="003F730C">
              <w:rPr>
                <w:rFonts w:eastAsia="Times New Roman" w:cs="Times New Roman"/>
                <w:b/>
                <w:iCs/>
                <w:lang w:eastAsia="cs-CZ"/>
              </w:rPr>
              <w:t xml:space="preserve">Běžné výdaje </w:t>
            </w:r>
            <w:r w:rsidRPr="003F730C">
              <w:rPr>
                <w:rFonts w:eastAsia="Times New Roman" w:cs="Times New Roman"/>
                <w:iCs/>
                <w:lang w:eastAsia="cs-CZ"/>
              </w:rPr>
              <w:t>v tom:</w:t>
            </w:r>
          </w:p>
        </w:tc>
        <w:tc>
          <w:tcPr>
            <w:tcW w:w="1340" w:type="dxa"/>
            <w:tcBorders>
              <w:top w:val="single" w:sz="8" w:space="0" w:color="7F7F7F" w:themeColor="text1" w:themeTint="80"/>
              <w:bottom w:val="single" w:sz="8" w:space="0" w:color="7F7F7F" w:themeColor="text1" w:themeTint="80"/>
            </w:tcBorders>
            <w:shd w:val="clear" w:color="auto" w:fill="auto"/>
            <w:vAlign w:val="center"/>
          </w:tcPr>
          <w:p w14:paraId="3CAAE530" w14:textId="1C42FC13" w:rsidR="00BA3897" w:rsidRPr="00E8518E" w:rsidRDefault="00BA3897" w:rsidP="00BA3897">
            <w:pPr>
              <w:jc w:val="right"/>
              <w:rPr>
                <w:rFonts w:eastAsia="Times New Roman" w:cs="Times New Roman"/>
                <w:b/>
                <w:bCs/>
                <w:color w:val="FF0000"/>
                <w:lang w:eastAsia="cs-CZ"/>
              </w:rPr>
            </w:pPr>
            <w:r w:rsidRPr="003F730C">
              <w:rPr>
                <w:rFonts w:eastAsia="Times New Roman" w:cs="Times New Roman"/>
                <w:b/>
                <w:bCs/>
                <w:lang w:eastAsia="cs-CZ"/>
              </w:rPr>
              <w:t>17 204</w:t>
            </w:r>
          </w:p>
        </w:tc>
        <w:tc>
          <w:tcPr>
            <w:tcW w:w="1418" w:type="dxa"/>
            <w:tcBorders>
              <w:top w:val="single" w:sz="8" w:space="0" w:color="7F7F7F" w:themeColor="text1" w:themeTint="80"/>
              <w:bottom w:val="single" w:sz="8" w:space="0" w:color="7F7F7F" w:themeColor="text1" w:themeTint="80"/>
            </w:tcBorders>
            <w:shd w:val="clear" w:color="auto" w:fill="auto"/>
            <w:vAlign w:val="center"/>
          </w:tcPr>
          <w:p w14:paraId="03274619" w14:textId="50CD142E" w:rsidR="00BA3897" w:rsidRPr="00E8518E" w:rsidRDefault="00BA3897" w:rsidP="00BA3897">
            <w:pPr>
              <w:jc w:val="right"/>
              <w:rPr>
                <w:rFonts w:eastAsia="Times New Roman" w:cs="Times New Roman"/>
                <w:b/>
                <w:bCs/>
                <w:color w:val="FF0000"/>
                <w:lang w:eastAsia="cs-CZ"/>
              </w:rPr>
            </w:pPr>
            <w:r w:rsidRPr="003F730C">
              <w:rPr>
                <w:rFonts w:eastAsia="Times New Roman" w:cs="Times New Roman"/>
                <w:b/>
                <w:bCs/>
                <w:lang w:eastAsia="cs-CZ"/>
              </w:rPr>
              <w:t>17 847</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14B8D087" w14:textId="668C1A26" w:rsidR="00BA3897" w:rsidRPr="00DD5022" w:rsidRDefault="00DD5022" w:rsidP="00BA3897">
            <w:pPr>
              <w:jc w:val="right"/>
              <w:rPr>
                <w:rFonts w:eastAsia="Times New Roman" w:cs="Times New Roman"/>
                <w:b/>
                <w:bCs/>
                <w:color w:val="FF0000"/>
                <w:lang w:eastAsia="cs-CZ"/>
              </w:rPr>
            </w:pPr>
            <w:r w:rsidRPr="0088307E">
              <w:rPr>
                <w:rFonts w:eastAsia="Times New Roman" w:cs="Times New Roman"/>
                <w:b/>
                <w:color w:val="000000" w:themeColor="text1"/>
                <w:lang w:eastAsia="cs-CZ"/>
              </w:rPr>
              <w:t>18 636</w:t>
            </w:r>
          </w:p>
        </w:tc>
        <w:tc>
          <w:tcPr>
            <w:tcW w:w="927" w:type="dxa"/>
            <w:tcBorders>
              <w:top w:val="single" w:sz="8" w:space="0" w:color="7F7F7F" w:themeColor="text1" w:themeTint="80"/>
              <w:bottom w:val="single" w:sz="8" w:space="0" w:color="7F7F7F" w:themeColor="text1" w:themeTint="80"/>
            </w:tcBorders>
            <w:shd w:val="clear" w:color="auto" w:fill="auto"/>
            <w:vAlign w:val="center"/>
          </w:tcPr>
          <w:p w14:paraId="11247B4D" w14:textId="27D42429" w:rsidR="00BA3897" w:rsidRPr="00DD5022" w:rsidRDefault="007D633C" w:rsidP="00BA3897">
            <w:pPr>
              <w:jc w:val="right"/>
              <w:rPr>
                <w:rFonts w:eastAsia="Times New Roman" w:cs="Times New Roman"/>
                <w:b/>
                <w:bCs/>
                <w:color w:val="FF0000"/>
                <w:lang w:eastAsia="cs-CZ"/>
              </w:rPr>
            </w:pPr>
            <w:r w:rsidRPr="0088307E">
              <w:rPr>
                <w:rFonts w:eastAsia="Times New Roman" w:cs="Times New Roman"/>
                <w:b/>
                <w:color w:val="000000" w:themeColor="text1"/>
                <w:lang w:eastAsia="cs-CZ"/>
              </w:rPr>
              <w:t>104,42</w:t>
            </w:r>
          </w:p>
        </w:tc>
      </w:tr>
      <w:tr w:rsidR="00BA3897" w:rsidRPr="00E8518E" w14:paraId="042D5429" w14:textId="77777777" w:rsidTr="00CF4BB2">
        <w:tc>
          <w:tcPr>
            <w:tcW w:w="4320" w:type="dxa"/>
            <w:tcBorders>
              <w:top w:val="single" w:sz="8" w:space="0" w:color="7F7F7F" w:themeColor="text1" w:themeTint="80"/>
            </w:tcBorders>
            <w:shd w:val="clear" w:color="auto" w:fill="auto"/>
          </w:tcPr>
          <w:p w14:paraId="56350F95" w14:textId="2DBDDB95" w:rsidR="00BA3897" w:rsidRPr="003F730C" w:rsidRDefault="00BA3897" w:rsidP="00BA3897">
            <w:pPr>
              <w:rPr>
                <w:rFonts w:eastAsia="Times New Roman" w:cs="Times New Roman"/>
                <w:lang w:eastAsia="cs-CZ"/>
              </w:rPr>
            </w:pPr>
            <w:r w:rsidRPr="003F730C">
              <w:rPr>
                <w:rFonts w:eastAsia="Times New Roman" w:cs="Times New Roman"/>
                <w:lang w:eastAsia="cs-CZ"/>
              </w:rPr>
              <w:t>platy zaměstnanců a ostatní platby</w:t>
            </w:r>
          </w:p>
          <w:p w14:paraId="62FA1FE9" w14:textId="1361086A" w:rsidR="00BA3897" w:rsidRPr="00E8518E" w:rsidRDefault="00BA3897" w:rsidP="00BA3897">
            <w:pPr>
              <w:rPr>
                <w:rFonts w:eastAsia="Times New Roman" w:cs="Times New Roman"/>
                <w:color w:val="FF0000"/>
                <w:lang w:eastAsia="cs-CZ"/>
              </w:rPr>
            </w:pPr>
            <w:r w:rsidRPr="003F730C">
              <w:rPr>
                <w:rFonts w:eastAsia="Times New Roman" w:cs="Times New Roman"/>
                <w:lang w:eastAsia="cs-CZ"/>
              </w:rPr>
              <w:t>za provedenou práci</w:t>
            </w:r>
          </w:p>
        </w:tc>
        <w:tc>
          <w:tcPr>
            <w:tcW w:w="1340" w:type="dxa"/>
            <w:tcBorders>
              <w:top w:val="single" w:sz="8" w:space="0" w:color="7F7F7F" w:themeColor="text1" w:themeTint="80"/>
            </w:tcBorders>
            <w:shd w:val="clear" w:color="auto" w:fill="auto"/>
            <w:vAlign w:val="center"/>
          </w:tcPr>
          <w:p w14:paraId="30A71DAA" w14:textId="0C8C8089" w:rsidR="00BA3897" w:rsidRPr="00E8518E" w:rsidRDefault="00BA3897" w:rsidP="00BA3897">
            <w:pPr>
              <w:jc w:val="right"/>
              <w:rPr>
                <w:rFonts w:eastAsia="Times New Roman" w:cs="Times New Roman"/>
                <w:color w:val="FF0000"/>
                <w:lang w:eastAsia="cs-CZ"/>
              </w:rPr>
            </w:pPr>
            <w:r w:rsidRPr="003F730C">
              <w:rPr>
                <w:rFonts w:eastAsia="Times New Roman" w:cs="Times New Roman"/>
                <w:lang w:eastAsia="cs-CZ"/>
              </w:rPr>
              <w:t>8 465</w:t>
            </w:r>
          </w:p>
        </w:tc>
        <w:tc>
          <w:tcPr>
            <w:tcW w:w="1418" w:type="dxa"/>
            <w:tcBorders>
              <w:top w:val="single" w:sz="8" w:space="0" w:color="7F7F7F" w:themeColor="text1" w:themeTint="80"/>
            </w:tcBorders>
            <w:shd w:val="clear" w:color="auto" w:fill="auto"/>
            <w:vAlign w:val="center"/>
          </w:tcPr>
          <w:p w14:paraId="1629CB71" w14:textId="052BB9D3" w:rsidR="00BA3897" w:rsidRPr="00E8518E" w:rsidRDefault="00BA3897" w:rsidP="00BA3897">
            <w:pPr>
              <w:jc w:val="right"/>
              <w:rPr>
                <w:rFonts w:eastAsia="Times New Roman" w:cs="Times New Roman"/>
                <w:color w:val="FF0000"/>
                <w:lang w:eastAsia="cs-CZ"/>
              </w:rPr>
            </w:pPr>
            <w:r w:rsidRPr="003F730C">
              <w:rPr>
                <w:rFonts w:eastAsia="Times New Roman" w:cs="Times New Roman"/>
                <w:lang w:eastAsia="cs-CZ"/>
              </w:rPr>
              <w:t>8 412</w:t>
            </w:r>
          </w:p>
        </w:tc>
        <w:tc>
          <w:tcPr>
            <w:tcW w:w="1134" w:type="dxa"/>
            <w:tcBorders>
              <w:top w:val="single" w:sz="8" w:space="0" w:color="7F7F7F" w:themeColor="text1" w:themeTint="80"/>
            </w:tcBorders>
            <w:shd w:val="clear" w:color="auto" w:fill="auto"/>
            <w:vAlign w:val="center"/>
          </w:tcPr>
          <w:p w14:paraId="5C6E68DE" w14:textId="79849403" w:rsidR="00BA3897" w:rsidRPr="00DD5022" w:rsidRDefault="00DD5022">
            <w:pPr>
              <w:jc w:val="right"/>
              <w:rPr>
                <w:rFonts w:eastAsia="Times New Roman" w:cs="Times New Roman"/>
                <w:color w:val="FF0000"/>
                <w:lang w:eastAsia="cs-CZ"/>
              </w:rPr>
            </w:pPr>
            <w:r w:rsidRPr="0088307E">
              <w:rPr>
                <w:rFonts w:eastAsia="Times New Roman" w:cs="Times New Roman"/>
                <w:color w:val="000000" w:themeColor="text1"/>
                <w:lang w:eastAsia="cs-CZ"/>
              </w:rPr>
              <w:t>8 914</w:t>
            </w:r>
          </w:p>
        </w:tc>
        <w:tc>
          <w:tcPr>
            <w:tcW w:w="927" w:type="dxa"/>
            <w:tcBorders>
              <w:top w:val="single" w:sz="8" w:space="0" w:color="7F7F7F" w:themeColor="text1" w:themeTint="80"/>
            </w:tcBorders>
            <w:shd w:val="clear" w:color="auto" w:fill="auto"/>
            <w:vAlign w:val="center"/>
          </w:tcPr>
          <w:p w14:paraId="12B9FD0B" w14:textId="6E2F386A" w:rsidR="00BA3897" w:rsidRPr="00DD5022" w:rsidRDefault="007D633C" w:rsidP="00BA3897">
            <w:pPr>
              <w:jc w:val="right"/>
              <w:rPr>
                <w:rFonts w:eastAsia="Times New Roman" w:cs="Times New Roman"/>
                <w:color w:val="FF0000"/>
                <w:lang w:eastAsia="cs-CZ"/>
              </w:rPr>
            </w:pPr>
            <w:r w:rsidRPr="0088307E">
              <w:rPr>
                <w:rFonts w:eastAsia="Times New Roman" w:cs="Times New Roman"/>
                <w:color w:val="000000" w:themeColor="text1"/>
                <w:lang w:eastAsia="cs-CZ"/>
              </w:rPr>
              <w:t>105,97</w:t>
            </w:r>
          </w:p>
        </w:tc>
      </w:tr>
      <w:tr w:rsidR="00BA3897" w:rsidRPr="00E8518E" w14:paraId="463EFA84" w14:textId="77777777" w:rsidTr="00CF4BB2">
        <w:tc>
          <w:tcPr>
            <w:tcW w:w="4320" w:type="dxa"/>
            <w:shd w:val="clear" w:color="auto" w:fill="auto"/>
          </w:tcPr>
          <w:p w14:paraId="5A024F1B" w14:textId="24942821" w:rsidR="00BA3897" w:rsidRPr="00E8518E" w:rsidRDefault="00BA3897" w:rsidP="00BA3897">
            <w:pPr>
              <w:rPr>
                <w:rFonts w:eastAsia="Times New Roman" w:cs="Times New Roman"/>
                <w:color w:val="FF0000"/>
                <w:lang w:eastAsia="cs-CZ"/>
              </w:rPr>
            </w:pPr>
            <w:r w:rsidRPr="003F730C">
              <w:rPr>
                <w:rFonts w:eastAsia="Times New Roman" w:cs="Times New Roman"/>
                <w:lang w:eastAsia="cs-CZ"/>
              </w:rPr>
              <w:t>povinné pojistné placené zaměstnavatelem</w:t>
            </w:r>
          </w:p>
        </w:tc>
        <w:tc>
          <w:tcPr>
            <w:tcW w:w="1340" w:type="dxa"/>
            <w:shd w:val="clear" w:color="auto" w:fill="auto"/>
            <w:vAlign w:val="center"/>
          </w:tcPr>
          <w:p w14:paraId="25A1B113" w14:textId="62D449EF" w:rsidR="00BA3897" w:rsidRPr="00E8518E" w:rsidRDefault="00BA3897" w:rsidP="00BA3897">
            <w:pPr>
              <w:jc w:val="right"/>
              <w:rPr>
                <w:rFonts w:cs="Times New Roman"/>
                <w:color w:val="FF0000"/>
              </w:rPr>
            </w:pPr>
            <w:r w:rsidRPr="003F730C">
              <w:rPr>
                <w:rFonts w:cs="Times New Roman"/>
              </w:rPr>
              <w:t>2 856</w:t>
            </w:r>
          </w:p>
        </w:tc>
        <w:tc>
          <w:tcPr>
            <w:tcW w:w="1418" w:type="dxa"/>
            <w:shd w:val="clear" w:color="auto" w:fill="auto"/>
            <w:vAlign w:val="center"/>
          </w:tcPr>
          <w:p w14:paraId="4712FFD1" w14:textId="05254EC3" w:rsidR="00BA3897" w:rsidRPr="00E8518E" w:rsidRDefault="00BA3897" w:rsidP="00BA3897">
            <w:pPr>
              <w:jc w:val="right"/>
              <w:rPr>
                <w:rFonts w:eastAsia="Times New Roman" w:cs="Times New Roman"/>
                <w:color w:val="FF0000"/>
                <w:lang w:eastAsia="cs-CZ"/>
              </w:rPr>
            </w:pPr>
            <w:r w:rsidRPr="003F730C">
              <w:rPr>
                <w:rFonts w:eastAsia="Times New Roman" w:cs="Times New Roman"/>
                <w:lang w:eastAsia="cs-CZ"/>
              </w:rPr>
              <w:t>2 8</w:t>
            </w:r>
            <w:r>
              <w:rPr>
                <w:rFonts w:eastAsia="Times New Roman" w:cs="Times New Roman"/>
                <w:lang w:eastAsia="cs-CZ"/>
              </w:rPr>
              <w:t>4</w:t>
            </w:r>
            <w:r w:rsidRPr="003F730C">
              <w:rPr>
                <w:rFonts w:eastAsia="Times New Roman" w:cs="Times New Roman"/>
                <w:lang w:eastAsia="cs-CZ"/>
              </w:rPr>
              <w:t>3</w:t>
            </w:r>
          </w:p>
        </w:tc>
        <w:tc>
          <w:tcPr>
            <w:tcW w:w="1134" w:type="dxa"/>
            <w:shd w:val="clear" w:color="auto" w:fill="auto"/>
            <w:vAlign w:val="center"/>
          </w:tcPr>
          <w:p w14:paraId="3EECCD91" w14:textId="034B48C3" w:rsidR="00BA3897" w:rsidRPr="00DD5022" w:rsidRDefault="00DD5022">
            <w:pPr>
              <w:jc w:val="right"/>
              <w:rPr>
                <w:rFonts w:eastAsia="Times New Roman" w:cs="Times New Roman"/>
                <w:color w:val="FF0000"/>
                <w:lang w:eastAsia="cs-CZ"/>
              </w:rPr>
            </w:pPr>
            <w:r w:rsidRPr="0088307E">
              <w:rPr>
                <w:rFonts w:eastAsia="Times New Roman" w:cs="Times New Roman"/>
                <w:color w:val="000000" w:themeColor="text1"/>
                <w:lang w:eastAsia="cs-CZ"/>
              </w:rPr>
              <w:t>3 013</w:t>
            </w:r>
          </w:p>
        </w:tc>
        <w:tc>
          <w:tcPr>
            <w:tcW w:w="927" w:type="dxa"/>
            <w:shd w:val="clear" w:color="auto" w:fill="auto"/>
            <w:vAlign w:val="center"/>
          </w:tcPr>
          <w:p w14:paraId="1D9708F2" w14:textId="7A3323F9" w:rsidR="00BA3897" w:rsidRPr="0088307E" w:rsidRDefault="00855AD2" w:rsidP="00BA3897">
            <w:pPr>
              <w:jc w:val="right"/>
              <w:rPr>
                <w:rFonts w:eastAsia="Times New Roman" w:cs="Times New Roman"/>
                <w:color w:val="000000" w:themeColor="text1"/>
                <w:lang w:eastAsia="cs-CZ"/>
              </w:rPr>
            </w:pPr>
            <w:r w:rsidRPr="0088307E">
              <w:rPr>
                <w:rFonts w:eastAsia="Times New Roman" w:cs="Times New Roman"/>
                <w:color w:val="000000" w:themeColor="text1"/>
                <w:lang w:eastAsia="cs-CZ"/>
              </w:rPr>
              <w:t>105,98</w:t>
            </w:r>
          </w:p>
        </w:tc>
      </w:tr>
      <w:tr w:rsidR="00BA3897" w:rsidRPr="00E8518E" w14:paraId="59568B04" w14:textId="77777777" w:rsidTr="00CF4BB2">
        <w:tc>
          <w:tcPr>
            <w:tcW w:w="4320" w:type="dxa"/>
            <w:shd w:val="clear" w:color="auto" w:fill="auto"/>
          </w:tcPr>
          <w:p w14:paraId="791D622E" w14:textId="16F7FE13" w:rsidR="00BA3897" w:rsidRPr="00E8518E" w:rsidRDefault="00BA3897" w:rsidP="00BA3897">
            <w:pPr>
              <w:rPr>
                <w:rFonts w:eastAsia="Times New Roman" w:cs="Times New Roman"/>
                <w:color w:val="FF0000"/>
                <w:lang w:eastAsia="cs-CZ"/>
              </w:rPr>
            </w:pPr>
            <w:r w:rsidRPr="003F730C">
              <w:rPr>
                <w:rFonts w:eastAsia="Times New Roman" w:cs="Times New Roman"/>
                <w:lang w:eastAsia="cs-CZ"/>
              </w:rPr>
              <w:t>příděl FKSP</w:t>
            </w:r>
          </w:p>
        </w:tc>
        <w:tc>
          <w:tcPr>
            <w:tcW w:w="1340" w:type="dxa"/>
            <w:shd w:val="clear" w:color="auto" w:fill="auto"/>
            <w:vAlign w:val="center"/>
          </w:tcPr>
          <w:p w14:paraId="774C82CE" w14:textId="42DAD7A0" w:rsidR="00BA3897" w:rsidRPr="00E8518E" w:rsidRDefault="00BA3897" w:rsidP="00BA3897">
            <w:pPr>
              <w:jc w:val="right"/>
              <w:rPr>
                <w:rFonts w:cs="Times New Roman"/>
                <w:color w:val="FF0000"/>
              </w:rPr>
            </w:pPr>
            <w:r w:rsidRPr="003F730C">
              <w:rPr>
                <w:rFonts w:cs="Times New Roman"/>
              </w:rPr>
              <w:t>169</w:t>
            </w:r>
          </w:p>
        </w:tc>
        <w:tc>
          <w:tcPr>
            <w:tcW w:w="1418" w:type="dxa"/>
            <w:shd w:val="clear" w:color="auto" w:fill="auto"/>
            <w:vAlign w:val="center"/>
          </w:tcPr>
          <w:p w14:paraId="4D432207" w14:textId="608EDBDB" w:rsidR="00BA3897" w:rsidRPr="00E8518E" w:rsidRDefault="00BA3897" w:rsidP="00BA3897">
            <w:pPr>
              <w:jc w:val="right"/>
              <w:rPr>
                <w:rFonts w:eastAsia="Times New Roman" w:cs="Times New Roman"/>
                <w:color w:val="FF0000"/>
                <w:lang w:eastAsia="cs-CZ"/>
              </w:rPr>
            </w:pPr>
            <w:r w:rsidRPr="003F730C">
              <w:rPr>
                <w:rFonts w:eastAsia="Times New Roman" w:cs="Times New Roman"/>
                <w:lang w:eastAsia="cs-CZ"/>
              </w:rPr>
              <w:t>167</w:t>
            </w:r>
          </w:p>
        </w:tc>
        <w:tc>
          <w:tcPr>
            <w:tcW w:w="1134" w:type="dxa"/>
            <w:shd w:val="clear" w:color="auto" w:fill="auto"/>
            <w:vAlign w:val="center"/>
          </w:tcPr>
          <w:p w14:paraId="237D56DD" w14:textId="63954C61" w:rsidR="00BA3897" w:rsidRPr="00DD5022" w:rsidRDefault="00DD5022" w:rsidP="00BA3897">
            <w:pPr>
              <w:jc w:val="right"/>
              <w:rPr>
                <w:rFonts w:eastAsia="Times New Roman" w:cs="Times New Roman"/>
                <w:color w:val="FF0000"/>
                <w:lang w:eastAsia="cs-CZ"/>
              </w:rPr>
            </w:pPr>
            <w:r w:rsidRPr="0088307E">
              <w:rPr>
                <w:rFonts w:eastAsia="Times New Roman" w:cs="Times New Roman"/>
                <w:color w:val="000000" w:themeColor="text1"/>
                <w:lang w:eastAsia="cs-CZ"/>
              </w:rPr>
              <w:t>177</w:t>
            </w:r>
          </w:p>
        </w:tc>
        <w:tc>
          <w:tcPr>
            <w:tcW w:w="927" w:type="dxa"/>
            <w:shd w:val="clear" w:color="auto" w:fill="auto"/>
            <w:vAlign w:val="center"/>
          </w:tcPr>
          <w:p w14:paraId="1A7A1A7A" w14:textId="71A00DB0" w:rsidR="00BA3897" w:rsidRPr="00DD5022" w:rsidRDefault="00BA3897" w:rsidP="00BA3897">
            <w:pPr>
              <w:jc w:val="right"/>
              <w:rPr>
                <w:rFonts w:eastAsia="Times New Roman" w:cs="Times New Roman"/>
                <w:color w:val="FF0000"/>
                <w:lang w:eastAsia="cs-CZ"/>
              </w:rPr>
            </w:pPr>
            <w:r w:rsidRPr="0088307E">
              <w:rPr>
                <w:rFonts w:eastAsia="Times New Roman" w:cs="Times New Roman"/>
                <w:color w:val="000000" w:themeColor="text1"/>
                <w:lang w:eastAsia="cs-CZ"/>
              </w:rPr>
              <w:t>10</w:t>
            </w:r>
            <w:r w:rsidR="00855AD2" w:rsidRPr="0088307E">
              <w:rPr>
                <w:rFonts w:eastAsia="Times New Roman" w:cs="Times New Roman"/>
                <w:color w:val="000000" w:themeColor="text1"/>
                <w:lang w:eastAsia="cs-CZ"/>
              </w:rPr>
              <w:t>5,99</w:t>
            </w:r>
          </w:p>
        </w:tc>
      </w:tr>
      <w:tr w:rsidR="00BA3897" w:rsidRPr="00E8518E" w14:paraId="3B123D68" w14:textId="77777777" w:rsidTr="00CF4BB2">
        <w:tc>
          <w:tcPr>
            <w:tcW w:w="4320" w:type="dxa"/>
            <w:tcBorders>
              <w:bottom w:val="nil"/>
            </w:tcBorders>
            <w:shd w:val="clear" w:color="auto" w:fill="auto"/>
          </w:tcPr>
          <w:p w14:paraId="68200A58" w14:textId="5F544054" w:rsidR="00BA3897" w:rsidRPr="00E8518E" w:rsidRDefault="00BA3897" w:rsidP="00BA3897">
            <w:pPr>
              <w:rPr>
                <w:rFonts w:eastAsia="Times New Roman" w:cs="Times New Roman"/>
                <w:color w:val="FF0000"/>
                <w:lang w:eastAsia="cs-CZ"/>
              </w:rPr>
            </w:pPr>
            <w:r w:rsidRPr="003F730C">
              <w:rPr>
                <w:rFonts w:eastAsia="Times New Roman" w:cs="Times New Roman"/>
                <w:lang w:eastAsia="cs-CZ"/>
              </w:rPr>
              <w:t xml:space="preserve">ostatní </w:t>
            </w:r>
            <w:proofErr w:type="spellStart"/>
            <w:r w:rsidRPr="003F730C">
              <w:rPr>
                <w:rFonts w:eastAsia="Times New Roman" w:cs="Times New Roman"/>
                <w:lang w:eastAsia="cs-CZ"/>
              </w:rPr>
              <w:t>neinvest</w:t>
            </w:r>
            <w:proofErr w:type="spellEnd"/>
            <w:r w:rsidRPr="003F730C">
              <w:rPr>
                <w:rFonts w:eastAsia="Times New Roman" w:cs="Times New Roman"/>
                <w:lang w:eastAsia="cs-CZ"/>
              </w:rPr>
              <w:t>. nákupy a související výdaje</w:t>
            </w:r>
          </w:p>
        </w:tc>
        <w:tc>
          <w:tcPr>
            <w:tcW w:w="1340" w:type="dxa"/>
            <w:tcBorders>
              <w:bottom w:val="nil"/>
            </w:tcBorders>
            <w:shd w:val="clear" w:color="auto" w:fill="auto"/>
            <w:vAlign w:val="center"/>
          </w:tcPr>
          <w:p w14:paraId="3039AF68" w14:textId="3E34CE67" w:rsidR="00BA3897" w:rsidRPr="00E8518E" w:rsidRDefault="00BA3897" w:rsidP="00BA3897">
            <w:pPr>
              <w:jc w:val="right"/>
              <w:rPr>
                <w:rFonts w:cs="Times New Roman"/>
                <w:color w:val="FF0000"/>
              </w:rPr>
            </w:pPr>
            <w:r w:rsidRPr="003F730C">
              <w:rPr>
                <w:rFonts w:cs="Times New Roman"/>
              </w:rPr>
              <w:t>5 714</w:t>
            </w:r>
          </w:p>
        </w:tc>
        <w:tc>
          <w:tcPr>
            <w:tcW w:w="1418" w:type="dxa"/>
            <w:tcBorders>
              <w:bottom w:val="nil"/>
            </w:tcBorders>
            <w:shd w:val="clear" w:color="auto" w:fill="auto"/>
            <w:vAlign w:val="center"/>
          </w:tcPr>
          <w:p w14:paraId="300AEFAA" w14:textId="0ADF10E0" w:rsidR="00BA3897" w:rsidRPr="00E8518E" w:rsidRDefault="00BA3897" w:rsidP="00BA3897">
            <w:pPr>
              <w:jc w:val="right"/>
              <w:rPr>
                <w:rFonts w:eastAsia="Times New Roman" w:cs="Times New Roman"/>
                <w:color w:val="FF0000"/>
                <w:lang w:eastAsia="cs-CZ"/>
              </w:rPr>
            </w:pPr>
            <w:r w:rsidRPr="003F730C">
              <w:rPr>
                <w:rFonts w:eastAsia="Times New Roman" w:cs="Times New Roman"/>
                <w:lang w:eastAsia="cs-CZ"/>
              </w:rPr>
              <w:t>6 424</w:t>
            </w:r>
          </w:p>
        </w:tc>
        <w:tc>
          <w:tcPr>
            <w:tcW w:w="1134" w:type="dxa"/>
            <w:tcBorders>
              <w:bottom w:val="nil"/>
            </w:tcBorders>
            <w:shd w:val="clear" w:color="auto" w:fill="auto"/>
            <w:vAlign w:val="center"/>
          </w:tcPr>
          <w:p w14:paraId="2E992028" w14:textId="2A97117B" w:rsidR="00BA3897" w:rsidRPr="00DD5022" w:rsidRDefault="00DD5022" w:rsidP="00BA3897">
            <w:pPr>
              <w:jc w:val="right"/>
              <w:rPr>
                <w:rFonts w:eastAsia="Times New Roman" w:cs="Times New Roman"/>
                <w:color w:val="FF0000"/>
                <w:lang w:eastAsia="cs-CZ"/>
              </w:rPr>
            </w:pPr>
            <w:r w:rsidRPr="0088307E">
              <w:rPr>
                <w:rFonts w:eastAsia="Times New Roman" w:cs="Times New Roman"/>
                <w:color w:val="000000" w:themeColor="text1"/>
                <w:lang w:eastAsia="cs-CZ"/>
              </w:rPr>
              <w:t>6 532</w:t>
            </w:r>
          </w:p>
        </w:tc>
        <w:tc>
          <w:tcPr>
            <w:tcW w:w="927" w:type="dxa"/>
            <w:tcBorders>
              <w:bottom w:val="nil"/>
            </w:tcBorders>
            <w:shd w:val="clear" w:color="auto" w:fill="auto"/>
            <w:vAlign w:val="center"/>
          </w:tcPr>
          <w:p w14:paraId="43735860" w14:textId="008666B1" w:rsidR="00BA3897" w:rsidRPr="00DD5022" w:rsidRDefault="00DD5022" w:rsidP="00BA3897">
            <w:pPr>
              <w:jc w:val="right"/>
              <w:rPr>
                <w:rFonts w:eastAsia="Times New Roman" w:cs="Times New Roman"/>
                <w:color w:val="FF0000"/>
                <w:lang w:eastAsia="cs-CZ"/>
              </w:rPr>
            </w:pPr>
            <w:r w:rsidRPr="0088307E">
              <w:rPr>
                <w:rFonts w:eastAsia="Times New Roman" w:cs="Times New Roman"/>
                <w:color w:val="000000" w:themeColor="text1"/>
                <w:lang w:eastAsia="cs-CZ"/>
              </w:rPr>
              <w:t>101,68</w:t>
            </w:r>
          </w:p>
        </w:tc>
      </w:tr>
      <w:tr w:rsidR="00BA3897" w:rsidRPr="00E8518E" w14:paraId="37E8F009" w14:textId="77777777" w:rsidTr="00CF4BB2">
        <w:tc>
          <w:tcPr>
            <w:tcW w:w="4320" w:type="dxa"/>
            <w:tcBorders>
              <w:top w:val="nil"/>
              <w:bottom w:val="single" w:sz="8" w:space="0" w:color="7F7F7F" w:themeColor="text1" w:themeTint="80"/>
            </w:tcBorders>
            <w:shd w:val="clear" w:color="auto" w:fill="auto"/>
          </w:tcPr>
          <w:p w14:paraId="45CA9327" w14:textId="3F1E40F5" w:rsidR="00BA3897" w:rsidRPr="00E8518E" w:rsidRDefault="00BA3897" w:rsidP="00BA3897">
            <w:pPr>
              <w:jc w:val="left"/>
              <w:rPr>
                <w:rFonts w:eastAsia="Times New Roman" w:cs="Times New Roman"/>
                <w:i/>
                <w:color w:val="FF0000"/>
                <w:lang w:eastAsia="cs-CZ"/>
              </w:rPr>
            </w:pPr>
            <w:r w:rsidRPr="003F730C">
              <w:rPr>
                <w:rFonts w:eastAsia="Times New Roman" w:cs="Times New Roman"/>
                <w:i/>
                <w:lang w:eastAsia="cs-CZ"/>
              </w:rPr>
              <w:t>z toho: programové financování</w:t>
            </w:r>
            <w:r w:rsidRPr="003F730C">
              <w:rPr>
                <w:rFonts w:eastAsia="Times New Roman" w:cs="Times New Roman"/>
                <w:i/>
                <w:lang w:eastAsia="cs-CZ"/>
              </w:rPr>
              <w:br/>
            </w:r>
            <w:r w:rsidRPr="003F730C">
              <w:rPr>
                <w:rFonts w:eastAsia="Times New Roman" w:cs="Times New Roman"/>
                <w:i/>
                <w:lang w:eastAsia="cs-CZ"/>
              </w:rPr>
              <w:tab/>
              <w:t>(EDS/SMVS)</w:t>
            </w:r>
          </w:p>
        </w:tc>
        <w:tc>
          <w:tcPr>
            <w:tcW w:w="1340" w:type="dxa"/>
            <w:tcBorders>
              <w:top w:val="nil"/>
              <w:bottom w:val="single" w:sz="8" w:space="0" w:color="7F7F7F" w:themeColor="text1" w:themeTint="80"/>
            </w:tcBorders>
            <w:shd w:val="clear" w:color="auto" w:fill="auto"/>
            <w:vAlign w:val="center"/>
          </w:tcPr>
          <w:p w14:paraId="077C06E1" w14:textId="06AEDABD" w:rsidR="00BA3897" w:rsidRPr="00E8518E" w:rsidRDefault="00BA3897" w:rsidP="00BA3897">
            <w:pPr>
              <w:jc w:val="right"/>
              <w:rPr>
                <w:rFonts w:cs="Times New Roman"/>
                <w:color w:val="FF0000"/>
              </w:rPr>
            </w:pPr>
            <w:r w:rsidRPr="003F730C">
              <w:rPr>
                <w:rFonts w:cs="Times New Roman"/>
              </w:rPr>
              <w:t>0</w:t>
            </w:r>
          </w:p>
        </w:tc>
        <w:tc>
          <w:tcPr>
            <w:tcW w:w="1418" w:type="dxa"/>
            <w:tcBorders>
              <w:top w:val="nil"/>
              <w:bottom w:val="single" w:sz="8" w:space="0" w:color="7F7F7F" w:themeColor="text1" w:themeTint="80"/>
            </w:tcBorders>
            <w:shd w:val="clear" w:color="auto" w:fill="auto"/>
            <w:vAlign w:val="center"/>
          </w:tcPr>
          <w:p w14:paraId="3C2092B2" w14:textId="7D0A3A88" w:rsidR="00BA3897" w:rsidRPr="00E8518E" w:rsidRDefault="00BA3897" w:rsidP="00BA3897">
            <w:pPr>
              <w:jc w:val="right"/>
              <w:rPr>
                <w:rFonts w:eastAsia="Times New Roman" w:cs="Times New Roman"/>
                <w:i/>
                <w:color w:val="FF0000"/>
                <w:lang w:eastAsia="cs-CZ"/>
              </w:rPr>
            </w:pPr>
            <w:r w:rsidRPr="003F730C">
              <w:rPr>
                <w:rFonts w:eastAsia="Times New Roman" w:cs="Times New Roman"/>
                <w:i/>
                <w:lang w:eastAsia="cs-CZ"/>
              </w:rPr>
              <w:t>0</w:t>
            </w:r>
          </w:p>
        </w:tc>
        <w:tc>
          <w:tcPr>
            <w:tcW w:w="1134" w:type="dxa"/>
            <w:tcBorders>
              <w:top w:val="nil"/>
              <w:bottom w:val="single" w:sz="8" w:space="0" w:color="7F7F7F" w:themeColor="text1" w:themeTint="80"/>
            </w:tcBorders>
            <w:shd w:val="clear" w:color="auto" w:fill="auto"/>
            <w:vAlign w:val="center"/>
          </w:tcPr>
          <w:p w14:paraId="48A88FE7" w14:textId="0C746440" w:rsidR="00BA3897" w:rsidRPr="0088307E" w:rsidRDefault="00BA3897" w:rsidP="00BA3897">
            <w:pPr>
              <w:jc w:val="right"/>
              <w:rPr>
                <w:rFonts w:eastAsia="Times New Roman" w:cs="Times New Roman"/>
                <w:i/>
                <w:color w:val="000000" w:themeColor="text1"/>
                <w:lang w:eastAsia="cs-CZ"/>
              </w:rPr>
            </w:pPr>
            <w:r w:rsidRPr="0088307E">
              <w:rPr>
                <w:rFonts w:eastAsia="Times New Roman" w:cs="Times New Roman"/>
                <w:i/>
                <w:color w:val="000000" w:themeColor="text1"/>
                <w:lang w:eastAsia="cs-CZ"/>
              </w:rPr>
              <w:t>0</w:t>
            </w:r>
          </w:p>
        </w:tc>
        <w:tc>
          <w:tcPr>
            <w:tcW w:w="927" w:type="dxa"/>
            <w:tcBorders>
              <w:top w:val="nil"/>
              <w:bottom w:val="single" w:sz="8" w:space="0" w:color="7F7F7F" w:themeColor="text1" w:themeTint="80"/>
            </w:tcBorders>
            <w:shd w:val="clear" w:color="auto" w:fill="auto"/>
            <w:vAlign w:val="center"/>
          </w:tcPr>
          <w:p w14:paraId="05A57793" w14:textId="6836B401" w:rsidR="00BA3897" w:rsidRPr="0088307E" w:rsidRDefault="00BA3897" w:rsidP="00BA3897">
            <w:pPr>
              <w:jc w:val="right"/>
              <w:rPr>
                <w:rFonts w:eastAsia="Times New Roman" w:cs="Times New Roman"/>
                <w:i/>
                <w:color w:val="000000" w:themeColor="text1"/>
                <w:lang w:eastAsia="cs-CZ"/>
              </w:rPr>
            </w:pPr>
            <w:r w:rsidRPr="0088307E">
              <w:rPr>
                <w:rFonts w:eastAsia="Times New Roman" w:cs="Times New Roman"/>
                <w:i/>
                <w:color w:val="000000" w:themeColor="text1"/>
                <w:lang w:eastAsia="cs-CZ"/>
              </w:rPr>
              <w:t>x</w:t>
            </w:r>
          </w:p>
        </w:tc>
      </w:tr>
    </w:tbl>
    <w:p w14:paraId="74537C50" w14:textId="4CE1DC3C" w:rsidR="00E76904" w:rsidRPr="0088307E" w:rsidRDefault="00E76904" w:rsidP="00E76904">
      <w:pPr>
        <w:pStyle w:val="Styl1"/>
        <w:rPr>
          <w:color w:val="FF0000"/>
        </w:rPr>
      </w:pPr>
      <w:r w:rsidRPr="0088307E">
        <w:rPr>
          <w:color w:val="000000" w:themeColor="text1"/>
        </w:rPr>
        <w:t>Navrhovaný objem běžných výdajů pro rok 2023 je</w:t>
      </w:r>
      <w:r w:rsidR="009B207A">
        <w:rPr>
          <w:color w:val="000000" w:themeColor="text1"/>
        </w:rPr>
        <w:t xml:space="preserve"> oproti roku </w:t>
      </w:r>
      <w:r w:rsidR="009B207A" w:rsidRPr="009B207A">
        <w:rPr>
          <w:color w:val="000000" w:themeColor="text1"/>
        </w:rPr>
        <w:t>2022</w:t>
      </w:r>
      <w:r w:rsidRPr="0088307E">
        <w:rPr>
          <w:color w:val="000000" w:themeColor="text1"/>
        </w:rPr>
        <w:t xml:space="preserve"> </w:t>
      </w:r>
      <w:r w:rsidR="009B207A" w:rsidRPr="0088307E">
        <w:rPr>
          <w:color w:val="000000" w:themeColor="text1"/>
        </w:rPr>
        <w:t>o 789 tis. Kč vyšší.</w:t>
      </w:r>
      <w:r w:rsidRPr="0088307E">
        <w:rPr>
          <w:color w:val="000000" w:themeColor="text1"/>
        </w:rPr>
        <w:t xml:space="preserve"> </w:t>
      </w:r>
      <w:r w:rsidR="009B207A">
        <w:rPr>
          <w:color w:val="000000" w:themeColor="text1"/>
        </w:rPr>
        <w:t>Důvodem je navýšení výdajů na energie o 108 tis. Kč a platy vč. příslušenství o 681 tis. K</w:t>
      </w:r>
      <w:r w:rsidR="009A5984">
        <w:rPr>
          <w:color w:val="000000" w:themeColor="text1"/>
        </w:rPr>
        <w:t>č (viz oddíl</w:t>
      </w:r>
      <w:r w:rsidR="009B207A">
        <w:rPr>
          <w:color w:val="000000" w:themeColor="text1"/>
        </w:rPr>
        <w:t xml:space="preserve"> 3.2.2. </w:t>
      </w:r>
      <w:r w:rsidR="009B207A" w:rsidRPr="009B207A">
        <w:rPr>
          <w:color w:val="000000" w:themeColor="text1"/>
        </w:rPr>
        <w:t>Výdaje na platy a počty pracovníků za OSS a PO</w:t>
      </w:r>
      <w:r w:rsidR="005418CD">
        <w:rPr>
          <w:color w:val="000000" w:themeColor="text1"/>
        </w:rPr>
        <w:t>).</w:t>
      </w:r>
    </w:p>
    <w:p w14:paraId="41D50E5C" w14:textId="77777777" w:rsidR="00E76904" w:rsidRPr="0088307E" w:rsidRDefault="00E76904" w:rsidP="00E76904">
      <w:pPr>
        <w:pStyle w:val="Styl1"/>
        <w:rPr>
          <w:color w:val="000000" w:themeColor="text1"/>
        </w:rPr>
      </w:pPr>
      <w:r w:rsidRPr="0088307E">
        <w:rPr>
          <w:color w:val="000000" w:themeColor="text1"/>
        </w:rPr>
        <w:t xml:space="preserve">Počet zaměstnanců organizace pro rok 2023 je navržen ve výši 15, v tom 15 zaměstnanců v pracovním poměru. </w:t>
      </w:r>
    </w:p>
    <w:p w14:paraId="21046142" w14:textId="21F74B69" w:rsidR="00B510CB" w:rsidRPr="0088307E" w:rsidRDefault="00E76904" w:rsidP="00E26368">
      <w:pPr>
        <w:pStyle w:val="Styl1"/>
        <w:rPr>
          <w:color w:val="000000" w:themeColor="text1"/>
        </w:rPr>
      </w:pPr>
      <w:r w:rsidRPr="0088307E">
        <w:rPr>
          <w:color w:val="000000" w:themeColor="text1"/>
        </w:rPr>
        <w:t>Objem ostatních běžných výdajů pro rok 2023 je</w:t>
      </w:r>
      <w:r w:rsidR="00CE03FD" w:rsidRPr="0088307E">
        <w:rPr>
          <w:color w:val="000000" w:themeColor="text1"/>
        </w:rPr>
        <w:t xml:space="preserve"> oproti roku 2022 navýšen o 108 tis. Kč, a to s ohledem na navýšení výdajů na energie</w:t>
      </w:r>
      <w:r w:rsidRPr="0088307E">
        <w:rPr>
          <w:color w:val="000000" w:themeColor="text1"/>
        </w:rPr>
        <w:t>. V rámci ostatních běžných výdajů největší podíl tvoří výdaje na nájemné a na nákup ostatních služeb. Dalšími významnými položkami jsou výdaje na ce</w:t>
      </w:r>
      <w:r w:rsidR="00CE03FD" w:rsidRPr="0088307E">
        <w:rPr>
          <w:color w:val="000000" w:themeColor="text1"/>
        </w:rPr>
        <w:t xml:space="preserve">stovné a pohonné hmoty, výdaje </w:t>
      </w:r>
      <w:r w:rsidRPr="0088307E">
        <w:rPr>
          <w:color w:val="000000" w:themeColor="text1"/>
        </w:rPr>
        <w:t xml:space="preserve">na poradenské služby či služby školení a vzdělávání, tj. výdaje přímo související s šetřením leteckých nehod, dále pak výdaje na zahraniční cestovné v rámci spolupráce s mezinárodními organizacemi v oblasti letecké dopravy. </w:t>
      </w:r>
      <w:r w:rsidR="00CF4BB2" w:rsidRPr="0088307E">
        <w:rPr>
          <w:color w:val="000000" w:themeColor="text1"/>
        </w:rPr>
        <w:t xml:space="preserve">    </w:t>
      </w:r>
      <w:r w:rsidR="00B73030" w:rsidRPr="0088307E">
        <w:rPr>
          <w:color w:val="000000" w:themeColor="text1"/>
        </w:rPr>
        <w:t xml:space="preserve"> </w:t>
      </w:r>
    </w:p>
    <w:p w14:paraId="4013D38E" w14:textId="77777777" w:rsidR="002B4A5E" w:rsidRPr="0088307E" w:rsidRDefault="00776B6E" w:rsidP="007B2F4B">
      <w:pPr>
        <w:pStyle w:val="Nadpis3"/>
      </w:pPr>
      <w:bookmarkStart w:id="163" w:name="_Toc115787742"/>
      <w:r w:rsidRPr="0088307E">
        <w:t>Zřízené p</w:t>
      </w:r>
      <w:r w:rsidR="002B4A5E" w:rsidRPr="0088307E">
        <w:t>říspěvkové organizace</w:t>
      </w:r>
      <w:bookmarkEnd w:id="162"/>
      <w:bookmarkEnd w:id="163"/>
    </w:p>
    <w:p w14:paraId="53A7B95D" w14:textId="77777777" w:rsidR="00BD28A7" w:rsidRPr="0088307E" w:rsidRDefault="002B4A5E" w:rsidP="00CC49DC">
      <w:pPr>
        <w:keepNext/>
        <w:tabs>
          <w:tab w:val="left" w:pos="708"/>
        </w:tabs>
        <w:spacing w:before="240" w:after="60" w:line="240" w:lineRule="auto"/>
        <w:outlineLvl w:val="5"/>
        <w:rPr>
          <w:rFonts w:eastAsia="Times New Roman" w:cs="Times New Roman"/>
          <w:b/>
          <w:bCs/>
          <w:lang w:eastAsia="cs-CZ"/>
        </w:rPr>
      </w:pPr>
      <w:r w:rsidRPr="0088307E">
        <w:rPr>
          <w:rFonts w:eastAsia="Times New Roman" w:cs="Times New Roman"/>
          <w:b/>
          <w:bCs/>
          <w:lang w:eastAsia="cs-CZ"/>
        </w:rPr>
        <w:t>Celkem: CSPSD,  ŘSD ČR</w:t>
      </w:r>
      <w:bookmarkStart w:id="164" w:name="_Toc304375441"/>
      <w:r w:rsidR="00BD28A7" w:rsidRPr="0088307E">
        <w:rPr>
          <w:rFonts w:eastAsia="Times New Roman" w:cs="Times New Roman"/>
          <w:lang w:eastAsia="cs-CZ"/>
        </w:rPr>
        <w:t xml:space="preserve">                                                                                                                                                                                                                                                                               </w:t>
      </w:r>
    </w:p>
    <w:p w14:paraId="647F0943" w14:textId="204BE3FE" w:rsidR="00886FD2" w:rsidRDefault="00886FD2" w:rsidP="00886FD2">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16</w:t>
      </w:r>
      <w:r w:rsidRPr="0088307E">
        <w:rPr>
          <w:noProof/>
        </w:rPr>
        <w:fldChar w:fldCharType="end"/>
      </w:r>
      <w:r w:rsidR="00776B6E" w:rsidRPr="0088307E">
        <w:rPr>
          <w:noProof/>
        </w:rPr>
        <w:t xml:space="preserve"> Zřízené</w:t>
      </w:r>
      <w:r w:rsidRPr="0088307E">
        <w:rPr>
          <w:noProof/>
        </w:rPr>
        <w:t xml:space="preserve"> </w:t>
      </w:r>
      <w:r w:rsidR="00776B6E" w:rsidRPr="0088307E">
        <w:rPr>
          <w:noProof/>
        </w:rPr>
        <w:t>p</w:t>
      </w:r>
      <w:r w:rsidRPr="0088307E">
        <w:rPr>
          <w:noProof/>
        </w:rPr>
        <w:t>říspěvkové organizace celkem (v tis. Kč)</w:t>
      </w:r>
    </w:p>
    <w:tbl>
      <w:tblPr>
        <w:tblStyle w:val="Svtltabulkasmkou1zvraznn5"/>
        <w:tblW w:w="5089" w:type="pct"/>
        <w:tblInd w:w="-10"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400"/>
        <w:gridCol w:w="1417"/>
        <w:gridCol w:w="1273"/>
        <w:gridCol w:w="1133"/>
        <w:gridCol w:w="989"/>
      </w:tblGrid>
      <w:tr w:rsidR="0011129C" w:rsidRPr="003B5690" w14:paraId="6E1DE86B" w14:textId="77777777" w:rsidTr="0011129C">
        <w:trPr>
          <w:trHeight w:val="831"/>
          <w:tblHeader/>
        </w:trPr>
        <w:tc>
          <w:tcPr>
            <w:tcW w:w="238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40B9437"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Ukazatel</w:t>
            </w:r>
          </w:p>
        </w:tc>
        <w:tc>
          <w:tcPr>
            <w:tcW w:w="76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B41E26B"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Skutečnost</w:t>
            </w:r>
          </w:p>
          <w:p w14:paraId="7997CD94" w14:textId="77777777" w:rsidR="0011129C" w:rsidRPr="003B5690" w:rsidRDefault="0011129C" w:rsidP="0011129C">
            <w:pPr>
              <w:ind w:right="-47"/>
              <w:jc w:val="center"/>
              <w:rPr>
                <w:rFonts w:eastAsia="Times New Roman" w:cs="Times New Roman"/>
                <w:b/>
                <w:lang w:eastAsia="cs-CZ"/>
              </w:rPr>
            </w:pPr>
            <w:r w:rsidRPr="003B5690">
              <w:rPr>
                <w:rFonts w:eastAsia="Times New Roman" w:cs="Times New Roman"/>
                <w:b/>
                <w:lang w:eastAsia="cs-CZ"/>
              </w:rPr>
              <w:t>20</w:t>
            </w:r>
            <w:r>
              <w:rPr>
                <w:rFonts w:eastAsia="Times New Roman" w:cs="Times New Roman"/>
                <w:b/>
                <w:lang w:eastAsia="cs-CZ"/>
              </w:rPr>
              <w:t>21</w:t>
            </w:r>
          </w:p>
        </w:tc>
        <w:tc>
          <w:tcPr>
            <w:tcW w:w="69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FB69522"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Schválený</w:t>
            </w:r>
          </w:p>
          <w:p w14:paraId="2A84289F"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rozpočet</w:t>
            </w:r>
          </w:p>
          <w:p w14:paraId="2B172B7D"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202</w:t>
            </w:r>
            <w:r>
              <w:rPr>
                <w:rFonts w:eastAsia="Times New Roman" w:cs="Times New Roman"/>
                <w:b/>
                <w:lang w:eastAsia="cs-CZ"/>
              </w:rPr>
              <w:t>2</w:t>
            </w:r>
          </w:p>
        </w:tc>
        <w:tc>
          <w:tcPr>
            <w:tcW w:w="6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EC1814"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Návrh</w:t>
            </w:r>
          </w:p>
          <w:p w14:paraId="26647D8D"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rozpočtu</w:t>
            </w:r>
          </w:p>
          <w:p w14:paraId="78314C3B"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202</w:t>
            </w:r>
            <w:r>
              <w:rPr>
                <w:rFonts w:eastAsia="Times New Roman" w:cs="Times New Roman"/>
                <w:b/>
                <w:lang w:eastAsia="cs-CZ"/>
              </w:rPr>
              <w:t>3</w:t>
            </w:r>
          </w:p>
        </w:tc>
        <w:tc>
          <w:tcPr>
            <w:tcW w:w="53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646749D"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Index</w:t>
            </w:r>
          </w:p>
          <w:p w14:paraId="27F46435"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202</w:t>
            </w:r>
            <w:r>
              <w:rPr>
                <w:rFonts w:eastAsia="Times New Roman" w:cs="Times New Roman"/>
                <w:b/>
                <w:lang w:eastAsia="cs-CZ"/>
              </w:rPr>
              <w:t>3</w:t>
            </w:r>
            <w:r w:rsidRPr="003B5690">
              <w:rPr>
                <w:rFonts w:eastAsia="Times New Roman" w:cs="Times New Roman"/>
                <w:b/>
                <w:lang w:eastAsia="cs-CZ"/>
              </w:rPr>
              <w:t>/</w:t>
            </w:r>
            <w:r w:rsidRPr="003B5690">
              <w:rPr>
                <w:rFonts w:eastAsia="Times New Roman" w:cs="Times New Roman"/>
                <w:b/>
                <w:lang w:eastAsia="cs-CZ"/>
              </w:rPr>
              <w:br/>
              <w:t>202</w:t>
            </w:r>
            <w:r>
              <w:rPr>
                <w:rFonts w:eastAsia="Times New Roman" w:cs="Times New Roman"/>
                <w:b/>
                <w:lang w:eastAsia="cs-CZ"/>
              </w:rPr>
              <w:t>2</w:t>
            </w:r>
          </w:p>
          <w:p w14:paraId="65B50F6E" w14:textId="77777777" w:rsidR="0011129C" w:rsidRPr="003B5690" w:rsidRDefault="0011129C" w:rsidP="0011129C">
            <w:pPr>
              <w:jc w:val="center"/>
              <w:rPr>
                <w:rFonts w:eastAsia="Times New Roman" w:cs="Times New Roman"/>
                <w:b/>
                <w:lang w:eastAsia="cs-CZ"/>
              </w:rPr>
            </w:pPr>
            <w:r w:rsidRPr="003B5690">
              <w:rPr>
                <w:rFonts w:eastAsia="Times New Roman" w:cs="Times New Roman"/>
                <w:b/>
                <w:lang w:eastAsia="cs-CZ"/>
              </w:rPr>
              <w:t>(v %)</w:t>
            </w:r>
          </w:p>
        </w:tc>
      </w:tr>
      <w:tr w:rsidR="0011129C" w:rsidRPr="003B5690" w14:paraId="3297F572" w14:textId="77777777" w:rsidTr="0011129C">
        <w:trPr>
          <w:trHeight w:val="184"/>
          <w:tblHeader/>
        </w:trPr>
        <w:tc>
          <w:tcPr>
            <w:tcW w:w="2388" w:type="pct"/>
            <w:tcBorders>
              <w:top w:val="single" w:sz="4" w:space="0" w:color="7F7F7F" w:themeColor="text1" w:themeTint="80"/>
              <w:bottom w:val="single" w:sz="8" w:space="0" w:color="7F7F7F" w:themeColor="text1" w:themeTint="80"/>
            </w:tcBorders>
            <w:shd w:val="clear" w:color="auto" w:fill="auto"/>
          </w:tcPr>
          <w:p w14:paraId="0C6A3B93" w14:textId="77777777" w:rsidR="0011129C" w:rsidRPr="003B5690" w:rsidRDefault="0011129C" w:rsidP="0011129C">
            <w:pPr>
              <w:jc w:val="center"/>
              <w:rPr>
                <w:rFonts w:eastAsia="Times New Roman" w:cs="Times New Roman"/>
                <w:lang w:eastAsia="cs-CZ"/>
              </w:rPr>
            </w:pPr>
            <w:r w:rsidRPr="003B5690">
              <w:rPr>
                <w:rFonts w:eastAsia="Times New Roman" w:cs="Times New Roman"/>
                <w:lang w:eastAsia="cs-CZ"/>
              </w:rPr>
              <w:t>a</w:t>
            </w:r>
          </w:p>
        </w:tc>
        <w:tc>
          <w:tcPr>
            <w:tcW w:w="769" w:type="pct"/>
            <w:tcBorders>
              <w:top w:val="single" w:sz="4" w:space="0" w:color="7F7F7F" w:themeColor="text1" w:themeTint="80"/>
              <w:bottom w:val="single" w:sz="8" w:space="0" w:color="7F7F7F" w:themeColor="text1" w:themeTint="80"/>
            </w:tcBorders>
            <w:shd w:val="clear" w:color="auto" w:fill="auto"/>
          </w:tcPr>
          <w:p w14:paraId="627C1CB0" w14:textId="77777777" w:rsidR="0011129C" w:rsidRPr="003B5690" w:rsidRDefault="0011129C" w:rsidP="0011129C">
            <w:pPr>
              <w:jc w:val="center"/>
              <w:rPr>
                <w:rFonts w:eastAsia="Times New Roman" w:cs="Times New Roman"/>
                <w:lang w:eastAsia="cs-CZ"/>
              </w:rPr>
            </w:pPr>
            <w:r w:rsidRPr="003B5690">
              <w:rPr>
                <w:rFonts w:eastAsia="Times New Roman" w:cs="Times New Roman"/>
                <w:lang w:eastAsia="cs-CZ"/>
              </w:rPr>
              <w:t>1</w:t>
            </w:r>
          </w:p>
        </w:tc>
        <w:tc>
          <w:tcPr>
            <w:tcW w:w="691" w:type="pct"/>
            <w:tcBorders>
              <w:top w:val="single" w:sz="4" w:space="0" w:color="7F7F7F" w:themeColor="text1" w:themeTint="80"/>
              <w:bottom w:val="single" w:sz="8" w:space="0" w:color="7F7F7F" w:themeColor="text1" w:themeTint="80"/>
            </w:tcBorders>
            <w:shd w:val="clear" w:color="auto" w:fill="auto"/>
          </w:tcPr>
          <w:p w14:paraId="4E65852C" w14:textId="77777777" w:rsidR="0011129C" w:rsidRPr="003B5690" w:rsidRDefault="0011129C" w:rsidP="0011129C">
            <w:pPr>
              <w:jc w:val="center"/>
              <w:rPr>
                <w:rFonts w:eastAsia="Times New Roman" w:cs="Times New Roman"/>
                <w:lang w:eastAsia="cs-CZ"/>
              </w:rPr>
            </w:pPr>
            <w:r w:rsidRPr="003B5690">
              <w:rPr>
                <w:rFonts w:eastAsia="Times New Roman" w:cs="Times New Roman"/>
                <w:lang w:eastAsia="cs-CZ"/>
              </w:rPr>
              <w:t>2</w:t>
            </w:r>
          </w:p>
        </w:tc>
        <w:tc>
          <w:tcPr>
            <w:tcW w:w="615" w:type="pct"/>
            <w:tcBorders>
              <w:top w:val="single" w:sz="4" w:space="0" w:color="7F7F7F" w:themeColor="text1" w:themeTint="80"/>
              <w:bottom w:val="single" w:sz="8" w:space="0" w:color="7F7F7F" w:themeColor="text1" w:themeTint="80"/>
            </w:tcBorders>
            <w:shd w:val="clear" w:color="auto" w:fill="auto"/>
          </w:tcPr>
          <w:p w14:paraId="27B2BEC7" w14:textId="77777777" w:rsidR="0011129C" w:rsidRPr="003B5690" w:rsidRDefault="0011129C" w:rsidP="0011129C">
            <w:pPr>
              <w:jc w:val="center"/>
              <w:rPr>
                <w:rFonts w:eastAsia="Times New Roman" w:cs="Times New Roman"/>
                <w:lang w:eastAsia="cs-CZ"/>
              </w:rPr>
            </w:pPr>
            <w:r w:rsidRPr="003B5690">
              <w:rPr>
                <w:rFonts w:eastAsia="Times New Roman" w:cs="Times New Roman"/>
                <w:lang w:eastAsia="cs-CZ"/>
              </w:rPr>
              <w:t>3</w:t>
            </w:r>
          </w:p>
        </w:tc>
        <w:tc>
          <w:tcPr>
            <w:tcW w:w="537" w:type="pct"/>
            <w:tcBorders>
              <w:top w:val="single" w:sz="4" w:space="0" w:color="7F7F7F" w:themeColor="text1" w:themeTint="80"/>
              <w:bottom w:val="single" w:sz="8" w:space="0" w:color="7F7F7F" w:themeColor="text1" w:themeTint="80"/>
            </w:tcBorders>
            <w:shd w:val="clear" w:color="auto" w:fill="auto"/>
          </w:tcPr>
          <w:p w14:paraId="0F4DB150" w14:textId="77777777" w:rsidR="0011129C" w:rsidRPr="003B5690" w:rsidRDefault="0011129C" w:rsidP="0011129C">
            <w:pPr>
              <w:jc w:val="center"/>
              <w:rPr>
                <w:rFonts w:eastAsia="Times New Roman" w:cs="Times New Roman"/>
                <w:lang w:eastAsia="cs-CZ"/>
              </w:rPr>
            </w:pPr>
            <w:r w:rsidRPr="003B5690">
              <w:rPr>
                <w:rFonts w:eastAsia="Times New Roman" w:cs="Times New Roman"/>
                <w:lang w:eastAsia="cs-CZ"/>
              </w:rPr>
              <w:t>4</w:t>
            </w:r>
          </w:p>
        </w:tc>
      </w:tr>
      <w:tr w:rsidR="0011129C" w:rsidRPr="00CF5EAB" w14:paraId="5E9BDA0A" w14:textId="77777777" w:rsidTr="0011129C">
        <w:trPr>
          <w:trHeight w:val="255"/>
          <w:tblHeader/>
        </w:trPr>
        <w:tc>
          <w:tcPr>
            <w:tcW w:w="2388" w:type="pct"/>
            <w:tcBorders>
              <w:top w:val="single" w:sz="8" w:space="0" w:color="7F7F7F" w:themeColor="text1" w:themeTint="80"/>
              <w:bottom w:val="single" w:sz="8" w:space="0" w:color="7F7F7F" w:themeColor="text1" w:themeTint="80"/>
            </w:tcBorders>
            <w:shd w:val="clear" w:color="auto" w:fill="auto"/>
          </w:tcPr>
          <w:p w14:paraId="0AAFF6C7" w14:textId="77777777" w:rsidR="0011129C" w:rsidRPr="003B5690" w:rsidRDefault="0011129C" w:rsidP="0011129C">
            <w:pPr>
              <w:rPr>
                <w:rFonts w:eastAsia="Times New Roman" w:cs="Times New Roman"/>
                <w:bCs/>
                <w:lang w:eastAsia="cs-CZ"/>
              </w:rPr>
            </w:pPr>
            <w:r w:rsidRPr="003B5690">
              <w:rPr>
                <w:rFonts w:eastAsia="Times New Roman" w:cs="Times New Roman"/>
                <w:b/>
                <w:bCs/>
                <w:lang w:eastAsia="cs-CZ"/>
              </w:rPr>
              <w:t xml:space="preserve">Neinvestiční příspěvek a transfery zřízeným PO </w:t>
            </w:r>
            <w:r w:rsidRPr="003B5690">
              <w:rPr>
                <w:rFonts w:eastAsia="Times New Roman" w:cs="Times New Roman"/>
                <w:bCs/>
                <w:lang w:eastAsia="cs-CZ"/>
              </w:rPr>
              <w:t>z toho:</w:t>
            </w:r>
          </w:p>
        </w:tc>
        <w:tc>
          <w:tcPr>
            <w:tcW w:w="769" w:type="pct"/>
            <w:tcBorders>
              <w:top w:val="single" w:sz="8" w:space="0" w:color="7F7F7F" w:themeColor="text1" w:themeTint="80"/>
              <w:bottom w:val="single" w:sz="8" w:space="0" w:color="7F7F7F" w:themeColor="text1" w:themeTint="80"/>
            </w:tcBorders>
            <w:shd w:val="clear" w:color="auto" w:fill="auto"/>
            <w:vAlign w:val="center"/>
          </w:tcPr>
          <w:p w14:paraId="1B9AD409" w14:textId="77777777" w:rsidR="0011129C" w:rsidRPr="003B5690" w:rsidRDefault="0011129C" w:rsidP="0011129C">
            <w:pPr>
              <w:spacing w:before="81"/>
              <w:jc w:val="right"/>
              <w:rPr>
                <w:rFonts w:eastAsia="Times New Roman" w:cs="Times New Roman"/>
                <w:b/>
                <w:lang w:eastAsia="cs-CZ"/>
              </w:rPr>
            </w:pPr>
            <w:r>
              <w:rPr>
                <w:rFonts w:eastAsia="Times New Roman" w:cs="Times New Roman"/>
                <w:b/>
                <w:lang w:eastAsia="cs-CZ"/>
              </w:rPr>
              <w:t>81 842</w:t>
            </w:r>
          </w:p>
        </w:tc>
        <w:tc>
          <w:tcPr>
            <w:tcW w:w="691" w:type="pct"/>
            <w:tcBorders>
              <w:top w:val="single" w:sz="8" w:space="0" w:color="7F7F7F" w:themeColor="text1" w:themeTint="80"/>
              <w:bottom w:val="single" w:sz="8" w:space="0" w:color="7F7F7F" w:themeColor="text1" w:themeTint="80"/>
            </w:tcBorders>
            <w:shd w:val="clear" w:color="auto" w:fill="auto"/>
            <w:vAlign w:val="center"/>
          </w:tcPr>
          <w:p w14:paraId="1DC52966" w14:textId="77777777" w:rsidR="0011129C" w:rsidRPr="003B5690" w:rsidRDefault="0011129C" w:rsidP="0011129C">
            <w:pPr>
              <w:spacing w:before="81"/>
              <w:jc w:val="right"/>
              <w:rPr>
                <w:rFonts w:eastAsia="Times New Roman" w:cs="Times New Roman"/>
                <w:b/>
                <w:lang w:eastAsia="cs-CZ"/>
              </w:rPr>
            </w:pPr>
            <w:r w:rsidRPr="003B5690">
              <w:rPr>
                <w:rFonts w:eastAsia="Times New Roman" w:cs="Times New Roman"/>
                <w:b/>
                <w:lang w:eastAsia="cs-CZ"/>
              </w:rPr>
              <w:t>151 385</w:t>
            </w:r>
          </w:p>
        </w:tc>
        <w:tc>
          <w:tcPr>
            <w:tcW w:w="615" w:type="pct"/>
            <w:tcBorders>
              <w:top w:val="single" w:sz="8" w:space="0" w:color="7F7F7F" w:themeColor="text1" w:themeTint="80"/>
              <w:bottom w:val="single" w:sz="8" w:space="0" w:color="7F7F7F" w:themeColor="text1" w:themeTint="80"/>
            </w:tcBorders>
            <w:shd w:val="clear" w:color="auto" w:fill="auto"/>
            <w:vAlign w:val="center"/>
          </w:tcPr>
          <w:p w14:paraId="2FD1F683" w14:textId="77777777" w:rsidR="0011129C" w:rsidRPr="00CF5EAB" w:rsidRDefault="0011129C" w:rsidP="0011129C">
            <w:pPr>
              <w:spacing w:before="81"/>
              <w:jc w:val="right"/>
              <w:rPr>
                <w:rFonts w:eastAsia="Times New Roman" w:cs="Times New Roman"/>
                <w:b/>
                <w:lang w:eastAsia="cs-CZ"/>
              </w:rPr>
            </w:pPr>
            <w:r w:rsidRPr="00CF5EAB">
              <w:rPr>
                <w:rFonts w:eastAsia="Times New Roman" w:cs="Times New Roman"/>
                <w:b/>
                <w:lang w:eastAsia="cs-CZ"/>
              </w:rPr>
              <w:t>143 104</w:t>
            </w:r>
          </w:p>
        </w:tc>
        <w:tc>
          <w:tcPr>
            <w:tcW w:w="537" w:type="pct"/>
            <w:tcBorders>
              <w:top w:val="single" w:sz="8" w:space="0" w:color="7F7F7F" w:themeColor="text1" w:themeTint="80"/>
              <w:bottom w:val="single" w:sz="8" w:space="0" w:color="7F7F7F" w:themeColor="text1" w:themeTint="80"/>
            </w:tcBorders>
            <w:shd w:val="clear" w:color="auto" w:fill="auto"/>
            <w:vAlign w:val="center"/>
          </w:tcPr>
          <w:p w14:paraId="24EACBDE" w14:textId="77777777" w:rsidR="0011129C" w:rsidRPr="00CF5EAB" w:rsidRDefault="0011129C" w:rsidP="0011129C">
            <w:pPr>
              <w:spacing w:before="81"/>
              <w:jc w:val="right"/>
              <w:rPr>
                <w:rFonts w:eastAsia="Times New Roman" w:cs="Times New Roman"/>
                <w:b/>
                <w:lang w:eastAsia="cs-CZ"/>
              </w:rPr>
            </w:pPr>
            <w:r w:rsidRPr="00CF5EAB">
              <w:rPr>
                <w:rFonts w:eastAsia="Times New Roman" w:cs="Times New Roman"/>
                <w:b/>
                <w:lang w:eastAsia="cs-CZ"/>
              </w:rPr>
              <w:t>94,53</w:t>
            </w:r>
          </w:p>
        </w:tc>
      </w:tr>
      <w:tr w:rsidR="0011129C" w:rsidRPr="00CF5EAB" w14:paraId="1D37B25A" w14:textId="77777777" w:rsidTr="0011129C">
        <w:trPr>
          <w:trHeight w:val="294"/>
          <w:tblHeader/>
        </w:trPr>
        <w:tc>
          <w:tcPr>
            <w:tcW w:w="2388" w:type="pct"/>
            <w:tcBorders>
              <w:top w:val="single" w:sz="8" w:space="0" w:color="7F7F7F" w:themeColor="text1" w:themeTint="80"/>
            </w:tcBorders>
            <w:shd w:val="clear" w:color="auto" w:fill="auto"/>
            <w:vAlign w:val="center"/>
          </w:tcPr>
          <w:p w14:paraId="1C089C09" w14:textId="77777777" w:rsidR="0011129C" w:rsidRPr="003B5690" w:rsidRDefault="0011129C" w:rsidP="0011129C">
            <w:pPr>
              <w:rPr>
                <w:rFonts w:eastAsia="Times New Roman" w:cs="Times New Roman"/>
                <w:lang w:eastAsia="cs-CZ"/>
              </w:rPr>
            </w:pPr>
            <w:r w:rsidRPr="003B5690">
              <w:rPr>
                <w:rFonts w:eastAsia="Times New Roman" w:cs="Times New Roman"/>
                <w:lang w:eastAsia="cs-CZ"/>
              </w:rPr>
              <w:t>platy zaměstnanců a ostatní osobní náklady</w:t>
            </w:r>
          </w:p>
        </w:tc>
        <w:tc>
          <w:tcPr>
            <w:tcW w:w="769" w:type="pct"/>
            <w:tcBorders>
              <w:top w:val="single" w:sz="8" w:space="0" w:color="7F7F7F" w:themeColor="text1" w:themeTint="80"/>
            </w:tcBorders>
            <w:shd w:val="clear" w:color="auto" w:fill="auto"/>
            <w:vAlign w:val="center"/>
          </w:tcPr>
          <w:p w14:paraId="1156B60D" w14:textId="77777777" w:rsidR="0011129C" w:rsidRPr="003B5690" w:rsidRDefault="0011129C" w:rsidP="0011129C">
            <w:pPr>
              <w:spacing w:before="81"/>
              <w:jc w:val="right"/>
              <w:rPr>
                <w:rFonts w:eastAsia="Times New Roman" w:cs="Times New Roman"/>
                <w:lang w:eastAsia="cs-CZ"/>
              </w:rPr>
            </w:pPr>
            <w:r>
              <w:rPr>
                <w:rFonts w:eastAsia="Times New Roman" w:cs="Times New Roman"/>
                <w:lang w:eastAsia="cs-CZ"/>
              </w:rPr>
              <w:t>33 769</w:t>
            </w:r>
          </w:p>
        </w:tc>
        <w:tc>
          <w:tcPr>
            <w:tcW w:w="691" w:type="pct"/>
            <w:tcBorders>
              <w:top w:val="single" w:sz="8" w:space="0" w:color="7F7F7F" w:themeColor="text1" w:themeTint="80"/>
            </w:tcBorders>
            <w:shd w:val="clear" w:color="auto" w:fill="auto"/>
            <w:vAlign w:val="center"/>
          </w:tcPr>
          <w:p w14:paraId="4692CDB7" w14:textId="77777777" w:rsidR="0011129C" w:rsidRPr="003B5690" w:rsidRDefault="0011129C" w:rsidP="0011129C">
            <w:pPr>
              <w:spacing w:before="81"/>
              <w:jc w:val="right"/>
              <w:rPr>
                <w:rFonts w:eastAsia="Times New Roman" w:cs="Times New Roman"/>
                <w:lang w:eastAsia="cs-CZ"/>
              </w:rPr>
            </w:pPr>
            <w:r w:rsidRPr="003B5690">
              <w:rPr>
                <w:rFonts w:eastAsia="Times New Roman" w:cs="Times New Roman"/>
                <w:lang w:eastAsia="cs-CZ"/>
              </w:rPr>
              <w:t>34 286</w:t>
            </w:r>
          </w:p>
        </w:tc>
        <w:tc>
          <w:tcPr>
            <w:tcW w:w="615" w:type="pct"/>
            <w:tcBorders>
              <w:top w:val="single" w:sz="8" w:space="0" w:color="7F7F7F" w:themeColor="text1" w:themeTint="80"/>
            </w:tcBorders>
            <w:shd w:val="clear" w:color="auto" w:fill="auto"/>
            <w:vAlign w:val="center"/>
          </w:tcPr>
          <w:p w14:paraId="08EAB9C7" w14:textId="77777777" w:rsidR="0011129C" w:rsidRPr="00CF5EAB" w:rsidRDefault="0011129C" w:rsidP="0011129C">
            <w:pPr>
              <w:spacing w:before="81"/>
              <w:jc w:val="right"/>
              <w:rPr>
                <w:rFonts w:eastAsia="Times New Roman" w:cs="Times New Roman"/>
                <w:lang w:eastAsia="cs-CZ"/>
              </w:rPr>
            </w:pPr>
            <w:r w:rsidRPr="00CF5EAB">
              <w:rPr>
                <w:rFonts w:eastAsia="Times New Roman" w:cs="Times New Roman"/>
                <w:lang w:eastAsia="cs-CZ"/>
              </w:rPr>
              <w:t>36 257</w:t>
            </w:r>
          </w:p>
        </w:tc>
        <w:tc>
          <w:tcPr>
            <w:tcW w:w="537" w:type="pct"/>
            <w:tcBorders>
              <w:top w:val="single" w:sz="8" w:space="0" w:color="7F7F7F" w:themeColor="text1" w:themeTint="80"/>
            </w:tcBorders>
            <w:shd w:val="clear" w:color="auto" w:fill="auto"/>
            <w:vAlign w:val="center"/>
          </w:tcPr>
          <w:p w14:paraId="2FE5C808" w14:textId="77777777" w:rsidR="0011129C" w:rsidRPr="00CF5EAB" w:rsidRDefault="0011129C" w:rsidP="0011129C">
            <w:pPr>
              <w:spacing w:before="81"/>
              <w:jc w:val="right"/>
              <w:rPr>
                <w:rFonts w:eastAsia="Times New Roman" w:cs="Times New Roman"/>
                <w:lang w:eastAsia="cs-CZ"/>
              </w:rPr>
            </w:pPr>
            <w:r w:rsidRPr="00CF5EAB">
              <w:rPr>
                <w:rFonts w:eastAsia="Times New Roman" w:cs="Times New Roman"/>
                <w:lang w:eastAsia="cs-CZ"/>
              </w:rPr>
              <w:t>105,75</w:t>
            </w:r>
          </w:p>
        </w:tc>
      </w:tr>
      <w:tr w:rsidR="0011129C" w:rsidRPr="00CF5EAB" w14:paraId="050E2A3D" w14:textId="77777777" w:rsidTr="0011129C">
        <w:trPr>
          <w:trHeight w:val="158"/>
          <w:tblHeader/>
        </w:trPr>
        <w:tc>
          <w:tcPr>
            <w:tcW w:w="2388" w:type="pct"/>
            <w:tcBorders>
              <w:top w:val="single" w:sz="4" w:space="0" w:color="7F7F7F" w:themeColor="text1" w:themeTint="80"/>
            </w:tcBorders>
            <w:shd w:val="clear" w:color="auto" w:fill="auto"/>
          </w:tcPr>
          <w:p w14:paraId="7CC1D932" w14:textId="77777777" w:rsidR="0011129C" w:rsidRPr="003B5690" w:rsidRDefault="0011129C" w:rsidP="0011129C">
            <w:pPr>
              <w:rPr>
                <w:rFonts w:eastAsia="Times New Roman" w:cs="Times New Roman"/>
                <w:lang w:eastAsia="cs-CZ"/>
              </w:rPr>
            </w:pPr>
            <w:r w:rsidRPr="003B5690">
              <w:rPr>
                <w:rFonts w:eastAsia="Times New Roman" w:cs="Times New Roman"/>
                <w:lang w:eastAsia="cs-CZ"/>
              </w:rPr>
              <w:t>povinné pojistné placené zaměstnavatelem</w:t>
            </w:r>
          </w:p>
        </w:tc>
        <w:tc>
          <w:tcPr>
            <w:tcW w:w="769" w:type="pct"/>
            <w:tcBorders>
              <w:top w:val="single" w:sz="4" w:space="0" w:color="7F7F7F" w:themeColor="text1" w:themeTint="80"/>
            </w:tcBorders>
            <w:shd w:val="clear" w:color="auto" w:fill="auto"/>
            <w:vAlign w:val="center"/>
          </w:tcPr>
          <w:p w14:paraId="33B63D57" w14:textId="77777777" w:rsidR="0011129C" w:rsidRPr="003B5690" w:rsidRDefault="0011129C" w:rsidP="0011129C">
            <w:pPr>
              <w:autoSpaceDE w:val="0"/>
              <w:autoSpaceDN w:val="0"/>
              <w:adjustRightInd w:val="0"/>
              <w:jc w:val="right"/>
              <w:rPr>
                <w:rFonts w:eastAsia="Times New Roman" w:cs="Times New Roman"/>
                <w:lang w:eastAsia="cs-CZ"/>
              </w:rPr>
            </w:pPr>
            <w:r>
              <w:rPr>
                <w:rFonts w:eastAsia="Times New Roman" w:cs="Times New Roman"/>
                <w:lang w:eastAsia="cs-CZ"/>
              </w:rPr>
              <w:t>11 414</w:t>
            </w:r>
          </w:p>
        </w:tc>
        <w:tc>
          <w:tcPr>
            <w:tcW w:w="691" w:type="pct"/>
            <w:tcBorders>
              <w:top w:val="single" w:sz="4" w:space="0" w:color="7F7F7F" w:themeColor="text1" w:themeTint="80"/>
            </w:tcBorders>
            <w:shd w:val="clear" w:color="auto" w:fill="auto"/>
            <w:vAlign w:val="center"/>
          </w:tcPr>
          <w:p w14:paraId="715BF4EA" w14:textId="77777777" w:rsidR="0011129C" w:rsidRPr="003B5690" w:rsidRDefault="0011129C" w:rsidP="0011129C">
            <w:pPr>
              <w:jc w:val="right"/>
              <w:rPr>
                <w:rFonts w:eastAsia="Times New Roman" w:cs="Times New Roman"/>
                <w:lang w:eastAsia="cs-CZ"/>
              </w:rPr>
            </w:pPr>
            <w:r w:rsidRPr="003B5690">
              <w:rPr>
                <w:rFonts w:eastAsia="Times New Roman" w:cs="Times New Roman"/>
                <w:lang w:eastAsia="cs-CZ"/>
              </w:rPr>
              <w:t>11 589</w:t>
            </w:r>
          </w:p>
        </w:tc>
        <w:tc>
          <w:tcPr>
            <w:tcW w:w="615" w:type="pct"/>
            <w:tcBorders>
              <w:top w:val="single" w:sz="4" w:space="0" w:color="7F7F7F" w:themeColor="text1" w:themeTint="80"/>
            </w:tcBorders>
            <w:shd w:val="clear" w:color="auto" w:fill="auto"/>
            <w:vAlign w:val="center"/>
          </w:tcPr>
          <w:p w14:paraId="6FCFABB1" w14:textId="77777777" w:rsidR="0011129C" w:rsidRPr="00CF5EAB" w:rsidRDefault="0011129C" w:rsidP="0011129C">
            <w:pPr>
              <w:jc w:val="right"/>
              <w:rPr>
                <w:rFonts w:eastAsia="Times New Roman" w:cs="Times New Roman"/>
                <w:lang w:eastAsia="cs-CZ"/>
              </w:rPr>
            </w:pPr>
            <w:r w:rsidRPr="00CF5EAB">
              <w:rPr>
                <w:rFonts w:eastAsia="Times New Roman" w:cs="Times New Roman"/>
                <w:lang w:eastAsia="cs-CZ"/>
              </w:rPr>
              <w:t>12 255</w:t>
            </w:r>
          </w:p>
        </w:tc>
        <w:tc>
          <w:tcPr>
            <w:tcW w:w="537" w:type="pct"/>
            <w:tcBorders>
              <w:top w:val="single" w:sz="4" w:space="0" w:color="7F7F7F" w:themeColor="text1" w:themeTint="80"/>
            </w:tcBorders>
            <w:shd w:val="clear" w:color="auto" w:fill="auto"/>
            <w:vAlign w:val="center"/>
          </w:tcPr>
          <w:p w14:paraId="0CFA9AB8" w14:textId="77777777" w:rsidR="0011129C" w:rsidRPr="00CF5EAB" w:rsidRDefault="0011129C" w:rsidP="0011129C">
            <w:pPr>
              <w:jc w:val="right"/>
              <w:rPr>
                <w:rFonts w:eastAsia="Times New Roman" w:cs="Times New Roman"/>
                <w:lang w:eastAsia="cs-CZ"/>
              </w:rPr>
            </w:pPr>
            <w:r w:rsidRPr="00CF5EAB">
              <w:rPr>
                <w:rFonts w:eastAsia="Times New Roman" w:cs="Times New Roman"/>
                <w:lang w:eastAsia="cs-CZ"/>
              </w:rPr>
              <w:t>105,75</w:t>
            </w:r>
          </w:p>
        </w:tc>
      </w:tr>
      <w:tr w:rsidR="0011129C" w:rsidRPr="00CF5EAB" w14:paraId="6F560B5D" w14:textId="77777777" w:rsidTr="0011129C">
        <w:trPr>
          <w:trHeight w:val="255"/>
          <w:tblHeader/>
        </w:trPr>
        <w:tc>
          <w:tcPr>
            <w:tcW w:w="2388" w:type="pct"/>
            <w:shd w:val="clear" w:color="auto" w:fill="auto"/>
          </w:tcPr>
          <w:p w14:paraId="0B770BC7" w14:textId="77777777" w:rsidR="0011129C" w:rsidRPr="003B5690" w:rsidRDefault="0011129C" w:rsidP="0011129C">
            <w:pPr>
              <w:rPr>
                <w:rFonts w:eastAsia="Times New Roman" w:cs="Times New Roman"/>
                <w:lang w:eastAsia="cs-CZ"/>
              </w:rPr>
            </w:pPr>
            <w:r w:rsidRPr="003B5690">
              <w:rPr>
                <w:rFonts w:eastAsia="Times New Roman" w:cs="Times New Roman"/>
                <w:lang w:eastAsia="cs-CZ"/>
              </w:rPr>
              <w:t>příděl FKSP</w:t>
            </w:r>
          </w:p>
        </w:tc>
        <w:tc>
          <w:tcPr>
            <w:tcW w:w="769" w:type="pct"/>
            <w:tcBorders>
              <w:bottom w:val="single" w:sz="4" w:space="0" w:color="7F7F7F" w:themeColor="text1" w:themeTint="80"/>
            </w:tcBorders>
            <w:shd w:val="clear" w:color="auto" w:fill="auto"/>
            <w:vAlign w:val="center"/>
          </w:tcPr>
          <w:p w14:paraId="710B8BCF" w14:textId="77777777" w:rsidR="0011129C" w:rsidRPr="003B5690" w:rsidRDefault="0011129C" w:rsidP="0011129C">
            <w:pPr>
              <w:tabs>
                <w:tab w:val="left" w:pos="489"/>
              </w:tabs>
              <w:jc w:val="right"/>
              <w:rPr>
                <w:rFonts w:eastAsia="Times New Roman" w:cs="Times New Roman"/>
                <w:lang w:eastAsia="cs-CZ"/>
              </w:rPr>
            </w:pPr>
            <w:r w:rsidRPr="003B5690">
              <w:rPr>
                <w:rFonts w:eastAsia="Times New Roman" w:cs="Times New Roman"/>
                <w:lang w:eastAsia="cs-CZ"/>
              </w:rPr>
              <w:t>657</w:t>
            </w:r>
          </w:p>
        </w:tc>
        <w:tc>
          <w:tcPr>
            <w:tcW w:w="691" w:type="pct"/>
            <w:tcBorders>
              <w:bottom w:val="single" w:sz="4" w:space="0" w:color="7F7F7F" w:themeColor="text1" w:themeTint="80"/>
            </w:tcBorders>
            <w:shd w:val="clear" w:color="auto" w:fill="auto"/>
            <w:vAlign w:val="center"/>
          </w:tcPr>
          <w:p w14:paraId="62FF7F14" w14:textId="77777777" w:rsidR="0011129C" w:rsidRPr="003B5690" w:rsidRDefault="0011129C" w:rsidP="0011129C">
            <w:pPr>
              <w:jc w:val="right"/>
              <w:rPr>
                <w:rFonts w:eastAsia="Times New Roman" w:cs="Times New Roman"/>
                <w:lang w:eastAsia="cs-CZ"/>
              </w:rPr>
            </w:pPr>
            <w:r w:rsidRPr="003B5690">
              <w:rPr>
                <w:rFonts w:eastAsia="Times New Roman" w:cs="Times New Roman"/>
                <w:lang w:eastAsia="cs-CZ"/>
              </w:rPr>
              <w:t>657</w:t>
            </w:r>
          </w:p>
        </w:tc>
        <w:tc>
          <w:tcPr>
            <w:tcW w:w="615" w:type="pct"/>
            <w:tcBorders>
              <w:bottom w:val="single" w:sz="4" w:space="0" w:color="7F7F7F" w:themeColor="text1" w:themeTint="80"/>
            </w:tcBorders>
            <w:shd w:val="clear" w:color="auto" w:fill="auto"/>
            <w:vAlign w:val="center"/>
          </w:tcPr>
          <w:p w14:paraId="7EBB1E45" w14:textId="77777777" w:rsidR="0011129C" w:rsidRPr="00CF5EAB" w:rsidRDefault="0011129C" w:rsidP="0011129C">
            <w:pPr>
              <w:jc w:val="right"/>
              <w:rPr>
                <w:rFonts w:eastAsia="Times New Roman" w:cs="Times New Roman"/>
                <w:lang w:eastAsia="cs-CZ"/>
              </w:rPr>
            </w:pPr>
            <w:r w:rsidRPr="00CF5EAB">
              <w:rPr>
                <w:rFonts w:eastAsia="Times New Roman" w:cs="Times New Roman"/>
                <w:lang w:eastAsia="cs-CZ"/>
              </w:rPr>
              <w:t>696</w:t>
            </w:r>
          </w:p>
        </w:tc>
        <w:tc>
          <w:tcPr>
            <w:tcW w:w="537" w:type="pct"/>
            <w:tcBorders>
              <w:bottom w:val="single" w:sz="4" w:space="0" w:color="7F7F7F" w:themeColor="text1" w:themeTint="80"/>
            </w:tcBorders>
            <w:shd w:val="clear" w:color="auto" w:fill="auto"/>
            <w:vAlign w:val="center"/>
          </w:tcPr>
          <w:p w14:paraId="6B852E81" w14:textId="77777777" w:rsidR="0011129C" w:rsidRPr="00CF5EAB" w:rsidRDefault="0011129C" w:rsidP="0011129C">
            <w:pPr>
              <w:jc w:val="right"/>
              <w:rPr>
                <w:rFonts w:eastAsia="Times New Roman" w:cs="Times New Roman"/>
                <w:lang w:eastAsia="cs-CZ"/>
              </w:rPr>
            </w:pPr>
            <w:r w:rsidRPr="00CF5EAB">
              <w:rPr>
                <w:rFonts w:eastAsia="Times New Roman" w:cs="Times New Roman"/>
                <w:lang w:eastAsia="cs-CZ"/>
              </w:rPr>
              <w:t>105,94</w:t>
            </w:r>
          </w:p>
        </w:tc>
      </w:tr>
      <w:tr w:rsidR="0011129C" w:rsidRPr="00CF5EAB" w14:paraId="7B6707CC" w14:textId="77777777" w:rsidTr="0011129C">
        <w:trPr>
          <w:trHeight w:val="455"/>
          <w:tblHeader/>
        </w:trPr>
        <w:tc>
          <w:tcPr>
            <w:tcW w:w="2388" w:type="pct"/>
            <w:shd w:val="clear" w:color="auto" w:fill="auto"/>
          </w:tcPr>
          <w:p w14:paraId="52FEDC68" w14:textId="77777777" w:rsidR="0011129C" w:rsidRPr="003B5690" w:rsidRDefault="0011129C" w:rsidP="0011129C">
            <w:pPr>
              <w:jc w:val="left"/>
              <w:rPr>
                <w:rFonts w:eastAsia="Times New Roman" w:cs="Times New Roman"/>
                <w:lang w:eastAsia="cs-CZ"/>
              </w:rPr>
            </w:pPr>
            <w:r w:rsidRPr="003B5690">
              <w:rPr>
                <w:rFonts w:eastAsia="Times New Roman" w:cs="Times New Roman"/>
                <w:lang w:eastAsia="cs-CZ"/>
              </w:rPr>
              <w:t xml:space="preserve">dotace na neinvestiční náklady </w:t>
            </w:r>
            <w:proofErr w:type="gramStart"/>
            <w:r w:rsidRPr="003B5690">
              <w:rPr>
                <w:rFonts w:eastAsia="Times New Roman" w:cs="Times New Roman"/>
                <w:lang w:eastAsia="cs-CZ"/>
              </w:rPr>
              <w:t>související s financ</w:t>
            </w:r>
            <w:proofErr w:type="gramEnd"/>
            <w:r w:rsidRPr="003B5690">
              <w:rPr>
                <w:rFonts w:eastAsia="Times New Roman" w:cs="Times New Roman"/>
                <w:lang w:eastAsia="cs-CZ"/>
              </w:rPr>
              <w:t>. programů evidovaných v EDS/SMVS</w:t>
            </w:r>
          </w:p>
        </w:tc>
        <w:tc>
          <w:tcPr>
            <w:tcW w:w="769" w:type="pct"/>
            <w:tcBorders>
              <w:top w:val="single" w:sz="4" w:space="0" w:color="7F7F7F" w:themeColor="text1" w:themeTint="80"/>
              <w:bottom w:val="single" w:sz="4" w:space="0" w:color="auto"/>
            </w:tcBorders>
            <w:shd w:val="clear" w:color="auto" w:fill="auto"/>
            <w:vAlign w:val="center"/>
          </w:tcPr>
          <w:p w14:paraId="165A51BC" w14:textId="77777777" w:rsidR="0011129C" w:rsidRPr="003B5690" w:rsidRDefault="0011129C" w:rsidP="0011129C">
            <w:pPr>
              <w:spacing w:before="81"/>
              <w:jc w:val="right"/>
              <w:rPr>
                <w:rFonts w:eastAsia="Times New Roman" w:cs="Times New Roman"/>
                <w:lang w:eastAsia="cs-CZ"/>
              </w:rPr>
            </w:pPr>
            <w:r w:rsidRPr="00B90CD2">
              <w:rPr>
                <w:rFonts w:eastAsia="Times New Roman" w:cs="Times New Roman"/>
                <w:lang w:eastAsia="cs-CZ"/>
              </w:rPr>
              <w:t>3 692</w:t>
            </w:r>
          </w:p>
        </w:tc>
        <w:tc>
          <w:tcPr>
            <w:tcW w:w="691" w:type="pct"/>
            <w:tcBorders>
              <w:top w:val="single" w:sz="4" w:space="0" w:color="7F7F7F" w:themeColor="text1" w:themeTint="80"/>
              <w:bottom w:val="single" w:sz="4" w:space="0" w:color="auto"/>
            </w:tcBorders>
            <w:shd w:val="clear" w:color="auto" w:fill="auto"/>
            <w:vAlign w:val="center"/>
          </w:tcPr>
          <w:p w14:paraId="21FE4582" w14:textId="77777777" w:rsidR="0011129C" w:rsidRPr="003B5690" w:rsidRDefault="0011129C" w:rsidP="0011129C">
            <w:pPr>
              <w:spacing w:before="81"/>
              <w:jc w:val="right"/>
              <w:rPr>
                <w:rFonts w:eastAsia="Times New Roman" w:cs="Times New Roman"/>
                <w:lang w:eastAsia="cs-CZ"/>
              </w:rPr>
            </w:pPr>
            <w:r w:rsidRPr="003B5690">
              <w:rPr>
                <w:rFonts w:eastAsia="Times New Roman" w:cs="Times New Roman"/>
                <w:lang w:eastAsia="cs-CZ"/>
              </w:rPr>
              <w:t>571</w:t>
            </w:r>
          </w:p>
        </w:tc>
        <w:tc>
          <w:tcPr>
            <w:tcW w:w="615" w:type="pct"/>
            <w:tcBorders>
              <w:top w:val="single" w:sz="4" w:space="0" w:color="7F7F7F" w:themeColor="text1" w:themeTint="80"/>
              <w:bottom w:val="single" w:sz="4" w:space="0" w:color="auto"/>
            </w:tcBorders>
            <w:shd w:val="clear" w:color="auto" w:fill="auto"/>
            <w:vAlign w:val="center"/>
          </w:tcPr>
          <w:p w14:paraId="32BD4626" w14:textId="77777777" w:rsidR="0011129C" w:rsidRPr="00CF5EAB" w:rsidRDefault="0011129C" w:rsidP="0011129C">
            <w:pPr>
              <w:spacing w:before="81"/>
              <w:jc w:val="right"/>
              <w:rPr>
                <w:rFonts w:eastAsia="Times New Roman" w:cs="Times New Roman"/>
                <w:lang w:eastAsia="cs-CZ"/>
              </w:rPr>
            </w:pPr>
            <w:r w:rsidRPr="00CF5EAB">
              <w:rPr>
                <w:rFonts w:eastAsia="Times New Roman" w:cs="Times New Roman"/>
                <w:lang w:eastAsia="cs-CZ"/>
              </w:rPr>
              <w:t>480</w:t>
            </w:r>
          </w:p>
        </w:tc>
        <w:tc>
          <w:tcPr>
            <w:tcW w:w="537" w:type="pct"/>
            <w:tcBorders>
              <w:top w:val="single" w:sz="4" w:space="0" w:color="7F7F7F" w:themeColor="text1" w:themeTint="80"/>
              <w:bottom w:val="single" w:sz="4" w:space="0" w:color="auto"/>
            </w:tcBorders>
            <w:shd w:val="clear" w:color="auto" w:fill="auto"/>
            <w:vAlign w:val="center"/>
          </w:tcPr>
          <w:p w14:paraId="2238E2F1" w14:textId="77777777" w:rsidR="0011129C" w:rsidRPr="00CF5EAB" w:rsidRDefault="0011129C" w:rsidP="0011129C">
            <w:pPr>
              <w:spacing w:before="81"/>
              <w:jc w:val="right"/>
              <w:rPr>
                <w:rFonts w:eastAsia="Times New Roman" w:cs="Times New Roman"/>
                <w:lang w:eastAsia="cs-CZ"/>
              </w:rPr>
            </w:pPr>
            <w:r w:rsidRPr="00CF5EAB">
              <w:rPr>
                <w:rFonts w:eastAsia="Times New Roman" w:cs="Times New Roman"/>
                <w:lang w:eastAsia="cs-CZ"/>
              </w:rPr>
              <w:t>84,06</w:t>
            </w:r>
          </w:p>
        </w:tc>
      </w:tr>
    </w:tbl>
    <w:p w14:paraId="783672DB" w14:textId="77777777" w:rsidR="00BD28A7" w:rsidRPr="0088307E" w:rsidRDefault="00BD28A7" w:rsidP="00A66629">
      <w:pPr>
        <w:pStyle w:val="Nadpis9"/>
        <w:rPr>
          <w:lang w:eastAsia="cs-CZ"/>
        </w:rPr>
      </w:pPr>
      <w:r w:rsidRPr="0088307E">
        <w:rPr>
          <w:lang w:eastAsia="cs-CZ"/>
        </w:rPr>
        <w:t>Centrum služeb pro silniční dopravu</w:t>
      </w:r>
    </w:p>
    <w:p w14:paraId="5BE1243B" w14:textId="77777777" w:rsidR="008C2FA3" w:rsidRPr="0088307E" w:rsidRDefault="008C2FA3" w:rsidP="005B5118">
      <w:pPr>
        <w:pStyle w:val="Styl1"/>
      </w:pPr>
      <w:r w:rsidRPr="0088307E">
        <w:t xml:space="preserve">Centrum služeb pro silniční dopravu je státní příspěvkovou organizací rezortu Ministerstva dopravy, která zabezpečuje zejména profesní vzdělávání pracovníků státní správy v oboru silniční dopravy, školení techniků stanic technické kontroly, kontrolních mechaniků měření emisí, zabezpečuje distribuci tiskopisů pro potřeby dopravně správních činností, distribuci registračních značek a logistiku na úseku centralizované výroby řidičského průkazu vzoru EU. Dále zabezpečuje systém kontrolního vážení vozidel, dodržování právního řádu </w:t>
      </w:r>
      <w:r w:rsidRPr="0088307E">
        <w:br/>
        <w:t>a mezinárodních smluv, kterými je vázána Česká republika v oblasti práce osádek silniční dopravy (AETR) a přepravy nebezpečných věcí (ADR), a delegované činnosti na úseku BESIP.</w:t>
      </w:r>
    </w:p>
    <w:p w14:paraId="6737E231" w14:textId="0F419EFF" w:rsidR="008C2FA3" w:rsidRPr="0088307E" w:rsidRDefault="008C2FA3" w:rsidP="00A4652C">
      <w:pPr>
        <w:pStyle w:val="Titulek"/>
      </w:pPr>
      <w:r w:rsidRPr="0088307E">
        <w:t xml:space="preserve">Tabulka č. </w:t>
      </w:r>
      <w:fldSimple w:instr=" SEQ Tabulka \* ARABIC ">
        <w:r w:rsidR="00F80947">
          <w:rPr>
            <w:noProof/>
          </w:rPr>
          <w:t>17</w:t>
        </w:r>
      </w:fldSimple>
      <w:r w:rsidRPr="0088307E">
        <w:rPr>
          <w:noProof/>
        </w:rPr>
        <w:t xml:space="preserve"> Centrum služeb pro silniční dopravu (v tis. Kč)</w:t>
      </w:r>
    </w:p>
    <w:tbl>
      <w:tblPr>
        <w:tblStyle w:val="Svtltabulkasmkou1zvraznn5"/>
        <w:tblW w:w="9168" w:type="dxa"/>
        <w:tblInd w:w="-10" w:type="dxa"/>
        <w:tblLayout w:type="fixed"/>
        <w:tblLook w:val="0000" w:firstRow="0" w:lastRow="0" w:firstColumn="0" w:lastColumn="0" w:noHBand="0" w:noVBand="0"/>
      </w:tblPr>
      <w:tblGrid>
        <w:gridCol w:w="4422"/>
        <w:gridCol w:w="1344"/>
        <w:gridCol w:w="1332"/>
        <w:gridCol w:w="1134"/>
        <w:gridCol w:w="936"/>
      </w:tblGrid>
      <w:tr w:rsidR="00E8518E" w:rsidRPr="00E8518E" w14:paraId="3AF20C0E" w14:textId="77777777"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65ED6E2E" w14:textId="77777777" w:rsidR="00586150" w:rsidRPr="0088307E" w:rsidRDefault="00586150" w:rsidP="000A1EB1">
            <w:pPr>
              <w:autoSpaceDE w:val="0"/>
              <w:autoSpaceDN w:val="0"/>
              <w:adjustRightInd w:val="0"/>
              <w:jc w:val="center"/>
              <w:rPr>
                <w:rFonts w:eastAsia="Times New Roman" w:cs="Times New Roman"/>
                <w:b/>
                <w:lang w:eastAsia="cs-CZ"/>
              </w:rPr>
            </w:pPr>
            <w:r w:rsidRPr="0088307E">
              <w:rPr>
                <w:rFonts w:eastAsia="Times New Roman" w:cs="Times New Roman"/>
                <w:b/>
                <w:lang w:eastAsia="cs-CZ"/>
              </w:rPr>
              <w:t>Ukazatel</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60A8C8A1" w14:textId="77777777" w:rsidR="00586150" w:rsidRPr="0088307E" w:rsidRDefault="00586150" w:rsidP="000A1EB1">
            <w:pPr>
              <w:jc w:val="center"/>
              <w:rPr>
                <w:rFonts w:eastAsia="Times New Roman" w:cs="Times New Roman"/>
                <w:b/>
                <w:szCs w:val="24"/>
                <w:lang w:eastAsia="cs-CZ"/>
              </w:rPr>
            </w:pPr>
            <w:r w:rsidRPr="0088307E">
              <w:rPr>
                <w:rFonts w:eastAsia="Times New Roman" w:cs="Times New Roman"/>
                <w:b/>
                <w:szCs w:val="24"/>
                <w:lang w:eastAsia="cs-CZ"/>
              </w:rPr>
              <w:t>Skutečnost</w:t>
            </w:r>
          </w:p>
          <w:p w14:paraId="4625B43C" w14:textId="2F6668C1" w:rsidR="00586150" w:rsidRPr="0088307E" w:rsidRDefault="00572CFE" w:rsidP="000A1EB1">
            <w:pPr>
              <w:jc w:val="center"/>
              <w:rPr>
                <w:rFonts w:eastAsia="Times New Roman" w:cs="Times New Roman"/>
                <w:b/>
                <w:szCs w:val="24"/>
                <w:lang w:eastAsia="cs-CZ"/>
              </w:rPr>
            </w:pPr>
            <w:r w:rsidRPr="0088307E">
              <w:rPr>
                <w:rFonts w:eastAsia="Times New Roman" w:cs="Times New Roman"/>
                <w:b/>
                <w:szCs w:val="24"/>
                <w:lang w:eastAsia="cs-CZ"/>
              </w:rPr>
              <w:t>2021</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2F804348" w14:textId="77777777" w:rsidR="00586150" w:rsidRPr="0088307E" w:rsidRDefault="00586150" w:rsidP="000A1EB1">
            <w:pPr>
              <w:jc w:val="center"/>
              <w:rPr>
                <w:rFonts w:eastAsia="Times New Roman" w:cs="Times New Roman"/>
                <w:b/>
                <w:szCs w:val="24"/>
                <w:lang w:eastAsia="cs-CZ"/>
              </w:rPr>
            </w:pPr>
            <w:r w:rsidRPr="0088307E">
              <w:rPr>
                <w:rFonts w:eastAsia="Times New Roman" w:cs="Times New Roman"/>
                <w:b/>
                <w:szCs w:val="24"/>
                <w:lang w:eastAsia="cs-CZ"/>
              </w:rPr>
              <w:t>Schválený</w:t>
            </w:r>
          </w:p>
          <w:p w14:paraId="66A1E0B2" w14:textId="77777777" w:rsidR="00586150" w:rsidRPr="0088307E" w:rsidRDefault="00586150" w:rsidP="000A1EB1">
            <w:pPr>
              <w:jc w:val="center"/>
              <w:rPr>
                <w:rFonts w:eastAsia="Times New Roman" w:cs="Times New Roman"/>
                <w:b/>
                <w:szCs w:val="24"/>
                <w:lang w:eastAsia="cs-CZ"/>
              </w:rPr>
            </w:pPr>
            <w:r w:rsidRPr="0088307E">
              <w:rPr>
                <w:rFonts w:eastAsia="Times New Roman" w:cs="Times New Roman"/>
                <w:b/>
                <w:szCs w:val="24"/>
                <w:lang w:eastAsia="cs-CZ"/>
              </w:rPr>
              <w:t>rozpočet</w:t>
            </w:r>
          </w:p>
          <w:p w14:paraId="6B35E7B3" w14:textId="06CD80C5" w:rsidR="00586150" w:rsidRPr="0088307E" w:rsidRDefault="00572CFE" w:rsidP="000A1EB1">
            <w:pPr>
              <w:jc w:val="center"/>
              <w:rPr>
                <w:rFonts w:eastAsia="Times New Roman" w:cs="Times New Roman"/>
                <w:b/>
                <w:szCs w:val="24"/>
                <w:lang w:eastAsia="cs-CZ"/>
              </w:rPr>
            </w:pPr>
            <w:r w:rsidRPr="0088307E">
              <w:rPr>
                <w:rFonts w:eastAsia="Times New Roman" w:cs="Times New Roman"/>
                <w:b/>
                <w:szCs w:val="24"/>
                <w:lang w:eastAsia="cs-CZ"/>
              </w:rPr>
              <w:t>2022</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thinReverseDiagStripe" w:color="D9D9D9" w:themeColor="background1" w:themeShade="D9" w:fill="FFFFFF" w:themeFill="background1"/>
            <w:vAlign w:val="center"/>
          </w:tcPr>
          <w:p w14:paraId="0E06B278" w14:textId="77777777" w:rsidR="00586150" w:rsidRPr="0088307E" w:rsidRDefault="00586150" w:rsidP="000A1EB1">
            <w:pPr>
              <w:jc w:val="center"/>
              <w:rPr>
                <w:rFonts w:eastAsia="Times New Roman" w:cs="Times New Roman"/>
                <w:b/>
                <w:szCs w:val="24"/>
                <w:lang w:eastAsia="cs-CZ"/>
              </w:rPr>
            </w:pPr>
            <w:r w:rsidRPr="0088307E">
              <w:rPr>
                <w:rFonts w:eastAsia="Times New Roman" w:cs="Times New Roman"/>
                <w:b/>
                <w:szCs w:val="24"/>
                <w:lang w:eastAsia="cs-CZ"/>
              </w:rPr>
              <w:t>Návrh</w:t>
            </w:r>
          </w:p>
          <w:p w14:paraId="31F96390" w14:textId="77777777" w:rsidR="00586150" w:rsidRPr="0088307E" w:rsidRDefault="00586150" w:rsidP="000A1EB1">
            <w:pPr>
              <w:jc w:val="center"/>
              <w:rPr>
                <w:rFonts w:eastAsia="Times New Roman" w:cs="Times New Roman"/>
                <w:b/>
                <w:szCs w:val="24"/>
                <w:lang w:eastAsia="cs-CZ"/>
              </w:rPr>
            </w:pPr>
            <w:r w:rsidRPr="0088307E">
              <w:rPr>
                <w:rFonts w:eastAsia="Times New Roman" w:cs="Times New Roman"/>
                <w:b/>
                <w:szCs w:val="24"/>
                <w:lang w:eastAsia="cs-CZ"/>
              </w:rPr>
              <w:t>rozpočtu</w:t>
            </w:r>
          </w:p>
          <w:p w14:paraId="476D471B" w14:textId="14D1B214" w:rsidR="00586150" w:rsidRPr="0088307E" w:rsidRDefault="00572CFE" w:rsidP="000A1EB1">
            <w:pPr>
              <w:jc w:val="center"/>
              <w:rPr>
                <w:rFonts w:eastAsia="Times New Roman" w:cs="Times New Roman"/>
                <w:b/>
                <w:szCs w:val="24"/>
                <w:lang w:eastAsia="cs-CZ"/>
              </w:rPr>
            </w:pPr>
            <w:r w:rsidRPr="0088307E">
              <w:rPr>
                <w:rFonts w:eastAsia="Times New Roman" w:cs="Times New Roman"/>
                <w:b/>
                <w:szCs w:val="24"/>
                <w:lang w:eastAsia="cs-CZ"/>
              </w:rPr>
              <w:t>2023</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14:paraId="464DAEB3" w14:textId="77777777" w:rsidR="00586150" w:rsidRPr="0088307E" w:rsidRDefault="00586150" w:rsidP="000A1EB1">
            <w:pPr>
              <w:jc w:val="center"/>
              <w:rPr>
                <w:rFonts w:eastAsia="Times New Roman" w:cs="Times New Roman"/>
                <w:b/>
                <w:szCs w:val="24"/>
                <w:lang w:eastAsia="cs-CZ"/>
              </w:rPr>
            </w:pPr>
            <w:r w:rsidRPr="0088307E">
              <w:rPr>
                <w:rFonts w:eastAsia="Times New Roman" w:cs="Times New Roman"/>
                <w:b/>
                <w:szCs w:val="24"/>
                <w:lang w:eastAsia="cs-CZ"/>
              </w:rPr>
              <w:t>Index</w:t>
            </w:r>
          </w:p>
          <w:p w14:paraId="2D33E557" w14:textId="3ABC7DAE" w:rsidR="00586150" w:rsidRPr="0088307E" w:rsidRDefault="00572CFE" w:rsidP="000A1EB1">
            <w:pPr>
              <w:jc w:val="center"/>
              <w:rPr>
                <w:rFonts w:eastAsia="Times New Roman" w:cs="Times New Roman"/>
                <w:b/>
                <w:szCs w:val="24"/>
                <w:lang w:eastAsia="cs-CZ"/>
              </w:rPr>
            </w:pPr>
            <w:r w:rsidRPr="0088307E">
              <w:rPr>
                <w:rFonts w:eastAsia="Times New Roman" w:cs="Times New Roman"/>
                <w:b/>
                <w:szCs w:val="24"/>
                <w:lang w:eastAsia="cs-CZ"/>
              </w:rPr>
              <w:t>2023</w:t>
            </w:r>
            <w:r w:rsidR="00586150" w:rsidRPr="0088307E">
              <w:rPr>
                <w:rFonts w:eastAsia="Times New Roman" w:cs="Times New Roman"/>
                <w:b/>
                <w:szCs w:val="24"/>
                <w:lang w:eastAsia="cs-CZ"/>
              </w:rPr>
              <w:t>/</w:t>
            </w:r>
            <w:r w:rsidR="00586150" w:rsidRPr="0088307E">
              <w:rPr>
                <w:rFonts w:eastAsia="Times New Roman" w:cs="Times New Roman"/>
                <w:b/>
                <w:szCs w:val="24"/>
                <w:lang w:eastAsia="cs-CZ"/>
              </w:rPr>
              <w:br/>
            </w:r>
            <w:r w:rsidRPr="0088307E">
              <w:rPr>
                <w:rFonts w:eastAsia="Times New Roman" w:cs="Times New Roman"/>
                <w:b/>
                <w:szCs w:val="24"/>
                <w:lang w:eastAsia="cs-CZ"/>
              </w:rPr>
              <w:t>2022</w:t>
            </w:r>
            <w:r w:rsidR="00586150" w:rsidRPr="0088307E">
              <w:rPr>
                <w:rFonts w:eastAsia="Times New Roman" w:cs="Times New Roman"/>
                <w:b/>
                <w:szCs w:val="24"/>
                <w:lang w:eastAsia="cs-CZ"/>
              </w:rPr>
              <w:br/>
              <w:t>(v %)</w:t>
            </w:r>
          </w:p>
        </w:tc>
      </w:tr>
      <w:tr w:rsidR="00E8518E" w:rsidRPr="00E8518E" w14:paraId="3F85E648" w14:textId="77777777" w:rsidTr="000A1EB1">
        <w:trPr>
          <w:trHeight w:val="270"/>
        </w:trPr>
        <w:tc>
          <w:tcPr>
            <w:tcW w:w="4422" w:type="dxa"/>
            <w:tcBorders>
              <w:top w:val="single" w:sz="4"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72C53991" w14:textId="77777777" w:rsidR="00586150" w:rsidRPr="0088307E" w:rsidRDefault="00586150" w:rsidP="000A1EB1">
            <w:pPr>
              <w:autoSpaceDE w:val="0"/>
              <w:autoSpaceDN w:val="0"/>
              <w:adjustRightInd w:val="0"/>
              <w:jc w:val="center"/>
              <w:rPr>
                <w:rFonts w:eastAsia="Times New Roman" w:cs="Times New Roman"/>
                <w:lang w:eastAsia="cs-CZ"/>
              </w:rPr>
            </w:pPr>
            <w:r w:rsidRPr="0088307E">
              <w:rPr>
                <w:rFonts w:eastAsia="Times New Roman" w:cs="Times New Roman"/>
                <w:lang w:eastAsia="cs-CZ"/>
              </w:rPr>
              <w:t>a</w:t>
            </w:r>
          </w:p>
        </w:tc>
        <w:tc>
          <w:tcPr>
            <w:tcW w:w="134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33E70A1" w14:textId="77777777" w:rsidR="00586150" w:rsidRPr="0088307E" w:rsidRDefault="00586150" w:rsidP="000A1EB1">
            <w:pPr>
              <w:jc w:val="center"/>
              <w:rPr>
                <w:rFonts w:eastAsia="Times New Roman" w:cs="Times New Roman"/>
                <w:lang w:eastAsia="cs-CZ"/>
              </w:rPr>
            </w:pPr>
            <w:r w:rsidRPr="0088307E">
              <w:rPr>
                <w:rFonts w:eastAsia="Times New Roman" w:cs="Times New Roman"/>
                <w:lang w:eastAsia="cs-CZ"/>
              </w:rPr>
              <w:t>1</w:t>
            </w:r>
          </w:p>
        </w:tc>
        <w:tc>
          <w:tcPr>
            <w:tcW w:w="1332"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5D739B31" w14:textId="77777777" w:rsidR="00586150" w:rsidRPr="0088307E" w:rsidRDefault="00586150" w:rsidP="000A1EB1">
            <w:pPr>
              <w:jc w:val="center"/>
              <w:rPr>
                <w:rFonts w:eastAsia="Times New Roman" w:cs="Times New Roman"/>
                <w:lang w:eastAsia="cs-CZ"/>
              </w:rPr>
            </w:pPr>
            <w:r w:rsidRPr="0088307E">
              <w:rPr>
                <w:rFonts w:eastAsia="Times New Roman" w:cs="Times New Roman"/>
                <w:lang w:eastAsia="cs-CZ"/>
              </w:rPr>
              <w:t>2</w:t>
            </w:r>
          </w:p>
        </w:tc>
        <w:tc>
          <w:tcPr>
            <w:tcW w:w="1134" w:type="dxa"/>
            <w:tcBorders>
              <w:top w:val="single" w:sz="4"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37158450" w14:textId="77777777" w:rsidR="00586150" w:rsidRPr="0088307E" w:rsidRDefault="00586150" w:rsidP="000A1EB1">
            <w:pPr>
              <w:jc w:val="center"/>
              <w:rPr>
                <w:rFonts w:eastAsia="Times New Roman" w:cs="Times New Roman"/>
                <w:lang w:eastAsia="cs-CZ"/>
              </w:rPr>
            </w:pPr>
            <w:r w:rsidRPr="0088307E">
              <w:rPr>
                <w:rFonts w:eastAsia="Times New Roman" w:cs="Times New Roman"/>
                <w:lang w:eastAsia="cs-CZ"/>
              </w:rPr>
              <w:t>3</w:t>
            </w:r>
          </w:p>
        </w:tc>
        <w:tc>
          <w:tcPr>
            <w:tcW w:w="936" w:type="dxa"/>
            <w:tcBorders>
              <w:top w:val="single" w:sz="4"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4F81BEEA" w14:textId="77777777" w:rsidR="00586150" w:rsidRPr="0088307E" w:rsidRDefault="00586150" w:rsidP="000A1EB1">
            <w:pPr>
              <w:jc w:val="center"/>
              <w:rPr>
                <w:rFonts w:eastAsia="Times New Roman" w:cs="Times New Roman"/>
                <w:lang w:eastAsia="cs-CZ"/>
              </w:rPr>
            </w:pPr>
            <w:r w:rsidRPr="0088307E">
              <w:rPr>
                <w:rFonts w:eastAsia="Times New Roman" w:cs="Times New Roman"/>
                <w:lang w:eastAsia="cs-CZ"/>
              </w:rPr>
              <w:t>4</w:t>
            </w:r>
          </w:p>
        </w:tc>
      </w:tr>
      <w:tr w:rsidR="00572CFE" w:rsidRPr="00E8518E" w14:paraId="3B1DA80D" w14:textId="77777777" w:rsidTr="000A1EB1">
        <w:trPr>
          <w:trHeight w:val="270"/>
        </w:trPr>
        <w:tc>
          <w:tcPr>
            <w:tcW w:w="4422" w:type="dxa"/>
            <w:tcBorders>
              <w:top w:val="single" w:sz="8" w:space="0" w:color="7F7F7F" w:themeColor="text1" w:themeTint="80"/>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0EE038BE" w14:textId="77777777" w:rsidR="00572CFE" w:rsidRPr="0088307E" w:rsidRDefault="00572CFE" w:rsidP="00572CFE">
            <w:pPr>
              <w:autoSpaceDE w:val="0"/>
              <w:autoSpaceDN w:val="0"/>
              <w:adjustRightInd w:val="0"/>
              <w:rPr>
                <w:rFonts w:eastAsia="Times New Roman" w:cs="Times New Roman"/>
                <w:b/>
                <w:bCs/>
                <w:lang w:eastAsia="cs-CZ"/>
              </w:rPr>
            </w:pPr>
            <w:r w:rsidRPr="0088307E">
              <w:rPr>
                <w:rFonts w:eastAsia="Times New Roman" w:cs="Times New Roman"/>
                <w:b/>
                <w:bCs/>
                <w:lang w:eastAsia="cs-CZ"/>
              </w:rPr>
              <w:t>Neinvestiční příspěvek a transfer zřízeným PO</w:t>
            </w:r>
          </w:p>
          <w:p w14:paraId="4AED89AB" w14:textId="77777777" w:rsidR="00572CFE" w:rsidRPr="0088307E" w:rsidRDefault="00572CFE" w:rsidP="00572CFE">
            <w:pPr>
              <w:autoSpaceDE w:val="0"/>
              <w:autoSpaceDN w:val="0"/>
              <w:adjustRightInd w:val="0"/>
              <w:rPr>
                <w:rFonts w:eastAsia="Times New Roman" w:cs="Times New Roman"/>
                <w:bCs/>
                <w:lang w:eastAsia="cs-CZ"/>
              </w:rPr>
            </w:pPr>
            <w:r w:rsidRPr="0088307E">
              <w:rPr>
                <w:rFonts w:eastAsia="Times New Roman" w:cs="Times New Roman"/>
                <w:b/>
                <w:bCs/>
                <w:lang w:eastAsia="cs-CZ"/>
              </w:rPr>
              <w:t xml:space="preserve"> </w:t>
            </w:r>
            <w:r w:rsidRPr="0088307E">
              <w:rPr>
                <w:rFonts w:eastAsia="Times New Roman" w:cs="Times New Roman"/>
                <w:bCs/>
                <w:lang w:eastAsia="cs-CZ"/>
              </w:rPr>
              <w:t>z toho:</w:t>
            </w:r>
          </w:p>
        </w:tc>
        <w:tc>
          <w:tcPr>
            <w:tcW w:w="134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5C74B40" w14:textId="6C2E4DF5" w:rsidR="00572CFE" w:rsidRPr="00E8518E" w:rsidRDefault="00572CFE" w:rsidP="00572CFE">
            <w:pPr>
              <w:autoSpaceDE w:val="0"/>
              <w:autoSpaceDN w:val="0"/>
              <w:adjustRightInd w:val="0"/>
              <w:jc w:val="right"/>
              <w:rPr>
                <w:rFonts w:eastAsia="Times New Roman" w:cs="Times New Roman"/>
                <w:b/>
                <w:bCs/>
                <w:color w:val="FF0000"/>
                <w:lang w:eastAsia="cs-CZ"/>
              </w:rPr>
            </w:pPr>
            <w:r w:rsidRPr="003F730C">
              <w:rPr>
                <w:rFonts w:eastAsia="Times New Roman" w:cs="Times New Roman"/>
                <w:b/>
                <w:bCs/>
                <w:lang w:eastAsia="cs-CZ"/>
              </w:rPr>
              <w:t>79 692</w:t>
            </w:r>
          </w:p>
        </w:tc>
        <w:tc>
          <w:tcPr>
            <w:tcW w:w="1332"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99E9FD5" w14:textId="4771905D" w:rsidR="00572CFE" w:rsidRPr="00E8518E" w:rsidRDefault="00572CFE" w:rsidP="00572CFE">
            <w:pPr>
              <w:autoSpaceDE w:val="0"/>
              <w:autoSpaceDN w:val="0"/>
              <w:adjustRightInd w:val="0"/>
              <w:jc w:val="right"/>
              <w:rPr>
                <w:rFonts w:eastAsia="Times New Roman" w:cs="Times New Roman"/>
                <w:b/>
                <w:bCs/>
                <w:color w:val="FF0000"/>
                <w:lang w:eastAsia="cs-CZ"/>
              </w:rPr>
            </w:pPr>
            <w:r w:rsidRPr="003F730C">
              <w:rPr>
                <w:rFonts w:eastAsia="Times New Roman" w:cs="Times New Roman"/>
                <w:b/>
                <w:bCs/>
                <w:lang w:eastAsia="cs-CZ"/>
              </w:rPr>
              <w:t>107 314</w:t>
            </w:r>
          </w:p>
        </w:tc>
        <w:tc>
          <w:tcPr>
            <w:tcW w:w="1134" w:type="dxa"/>
            <w:tcBorders>
              <w:top w:val="single" w:sz="8" w:space="0" w:color="7F7F7F" w:themeColor="text1" w:themeTint="80"/>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75667017" w14:textId="6ABC0A09" w:rsidR="00572CFE" w:rsidRPr="00E8518E" w:rsidRDefault="00F47C33" w:rsidP="00572CFE">
            <w:pPr>
              <w:autoSpaceDE w:val="0"/>
              <w:autoSpaceDN w:val="0"/>
              <w:adjustRightInd w:val="0"/>
              <w:jc w:val="right"/>
              <w:rPr>
                <w:rFonts w:eastAsia="Times New Roman" w:cs="Times New Roman"/>
                <w:b/>
                <w:bCs/>
                <w:color w:val="FF0000"/>
                <w:lang w:eastAsia="cs-CZ"/>
              </w:rPr>
            </w:pPr>
            <w:r>
              <w:rPr>
                <w:rFonts w:eastAsia="Times New Roman" w:cs="Times New Roman"/>
                <w:b/>
                <w:bCs/>
                <w:lang w:eastAsia="cs-CZ"/>
              </w:rPr>
              <w:t>109 991</w:t>
            </w:r>
          </w:p>
        </w:tc>
        <w:tc>
          <w:tcPr>
            <w:tcW w:w="936" w:type="dxa"/>
            <w:tcBorders>
              <w:top w:val="single" w:sz="8" w:space="0" w:color="7F7F7F" w:themeColor="text1" w:themeTint="80"/>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5E707A8" w14:textId="4AD9FBB2" w:rsidR="00572CFE" w:rsidRPr="00E8518E" w:rsidRDefault="00F47C33" w:rsidP="00572CFE">
            <w:pPr>
              <w:autoSpaceDE w:val="0"/>
              <w:autoSpaceDN w:val="0"/>
              <w:adjustRightInd w:val="0"/>
              <w:jc w:val="right"/>
              <w:rPr>
                <w:rFonts w:eastAsia="Times New Roman" w:cs="Times New Roman"/>
                <w:b/>
                <w:bCs/>
                <w:color w:val="FF0000"/>
                <w:lang w:eastAsia="cs-CZ"/>
              </w:rPr>
            </w:pPr>
            <w:r>
              <w:rPr>
                <w:rFonts w:eastAsia="Times New Roman" w:cs="Times New Roman"/>
                <w:b/>
                <w:bCs/>
                <w:lang w:eastAsia="cs-CZ"/>
              </w:rPr>
              <w:t>102,49</w:t>
            </w:r>
          </w:p>
        </w:tc>
      </w:tr>
      <w:tr w:rsidR="00572CFE" w:rsidRPr="00E8518E" w14:paraId="1413880F" w14:textId="77777777" w:rsidTr="000A1EB1">
        <w:trPr>
          <w:trHeight w:val="270"/>
        </w:trPr>
        <w:tc>
          <w:tcPr>
            <w:tcW w:w="4422" w:type="dxa"/>
            <w:tcBorders>
              <w:top w:val="single" w:sz="8"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7BC4C37A" w14:textId="77777777" w:rsidR="00572CFE" w:rsidRPr="0088307E" w:rsidRDefault="00572CFE" w:rsidP="00572CFE">
            <w:pPr>
              <w:autoSpaceDE w:val="0"/>
              <w:autoSpaceDN w:val="0"/>
              <w:adjustRightInd w:val="0"/>
              <w:jc w:val="left"/>
              <w:rPr>
                <w:rFonts w:eastAsia="Times New Roman" w:cs="Times New Roman"/>
                <w:lang w:eastAsia="cs-CZ"/>
              </w:rPr>
            </w:pPr>
            <w:r w:rsidRPr="0088307E">
              <w:rPr>
                <w:rFonts w:eastAsia="Times New Roman" w:cs="Times New Roman"/>
                <w:lang w:eastAsia="cs-CZ"/>
              </w:rPr>
              <w:t xml:space="preserve">platy zaměstnanců a ostatní platby </w:t>
            </w:r>
            <w:r w:rsidRPr="0088307E">
              <w:rPr>
                <w:rFonts w:eastAsia="Times New Roman" w:cs="Times New Roman"/>
                <w:lang w:eastAsia="cs-CZ"/>
              </w:rPr>
              <w:br/>
              <w:t>za provedenou práci</w:t>
            </w:r>
          </w:p>
        </w:tc>
        <w:tc>
          <w:tcPr>
            <w:tcW w:w="134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468C0778" w14:textId="2799C23E"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33 769</w:t>
            </w:r>
          </w:p>
        </w:tc>
        <w:tc>
          <w:tcPr>
            <w:tcW w:w="1332"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5077305" w14:textId="50BD918D"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 xml:space="preserve">34 286 </w:t>
            </w:r>
          </w:p>
        </w:tc>
        <w:tc>
          <w:tcPr>
            <w:tcW w:w="1134" w:type="dxa"/>
            <w:tcBorders>
              <w:top w:val="single" w:sz="8"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9D433ED" w14:textId="13859D93" w:rsidR="00572CFE" w:rsidRPr="00E8518E" w:rsidRDefault="00F47C33" w:rsidP="00572CFE">
            <w:pPr>
              <w:autoSpaceDE w:val="0"/>
              <w:autoSpaceDN w:val="0"/>
              <w:adjustRightInd w:val="0"/>
              <w:jc w:val="right"/>
              <w:rPr>
                <w:rFonts w:eastAsia="Times New Roman" w:cs="Times New Roman"/>
                <w:color w:val="FF0000"/>
                <w:lang w:eastAsia="cs-CZ"/>
              </w:rPr>
            </w:pPr>
            <w:r>
              <w:rPr>
                <w:rFonts w:eastAsia="Times New Roman" w:cs="Times New Roman"/>
                <w:lang w:eastAsia="cs-CZ"/>
              </w:rPr>
              <w:t>36 257</w:t>
            </w:r>
            <w:r w:rsidR="00572CFE" w:rsidRPr="003F730C">
              <w:rPr>
                <w:rFonts w:eastAsia="Times New Roman" w:cs="Times New Roman"/>
                <w:lang w:eastAsia="cs-CZ"/>
              </w:rPr>
              <w:t xml:space="preserve"> </w:t>
            </w:r>
          </w:p>
        </w:tc>
        <w:tc>
          <w:tcPr>
            <w:tcW w:w="936" w:type="dxa"/>
            <w:tcBorders>
              <w:top w:val="single" w:sz="8"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2CD8CBEA" w14:textId="07FAD198" w:rsidR="00572CFE" w:rsidRPr="00E8518E" w:rsidRDefault="00F47C33" w:rsidP="00572CFE">
            <w:pPr>
              <w:autoSpaceDE w:val="0"/>
              <w:autoSpaceDN w:val="0"/>
              <w:adjustRightInd w:val="0"/>
              <w:jc w:val="right"/>
              <w:rPr>
                <w:rFonts w:eastAsia="Times New Roman" w:cs="Times New Roman"/>
                <w:color w:val="FF0000"/>
                <w:lang w:eastAsia="cs-CZ"/>
              </w:rPr>
            </w:pPr>
            <w:r>
              <w:rPr>
                <w:rFonts w:eastAsia="Times New Roman" w:cs="Times New Roman"/>
                <w:lang w:eastAsia="cs-CZ"/>
              </w:rPr>
              <w:t>105,75</w:t>
            </w:r>
          </w:p>
        </w:tc>
      </w:tr>
      <w:tr w:rsidR="00572CFE" w:rsidRPr="00E8518E" w14:paraId="6FED68C6" w14:textId="77777777"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4C5755D4" w14:textId="77777777" w:rsidR="00572CFE" w:rsidRPr="0088307E" w:rsidRDefault="00572CFE" w:rsidP="00572CFE">
            <w:pPr>
              <w:autoSpaceDE w:val="0"/>
              <w:autoSpaceDN w:val="0"/>
              <w:adjustRightInd w:val="0"/>
              <w:rPr>
                <w:rFonts w:eastAsia="Times New Roman" w:cs="Times New Roman"/>
                <w:lang w:eastAsia="cs-CZ"/>
              </w:rPr>
            </w:pPr>
            <w:r w:rsidRPr="0088307E">
              <w:rPr>
                <w:rFonts w:eastAsia="Times New Roman" w:cs="Times New Roman"/>
                <w:lang w:eastAsia="cs-CZ"/>
              </w:rPr>
              <w:t>povinné pojistné placené zaměstnavatelem</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4D849090" w14:textId="3C4768BE"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 xml:space="preserve">11 414 </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71AAC963" w14:textId="1A8A2787"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11 589</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3FFCDC71" w14:textId="411B2C1A" w:rsidR="00572CFE" w:rsidRPr="00E8518E" w:rsidRDefault="00F47C33" w:rsidP="00572CFE">
            <w:pPr>
              <w:autoSpaceDE w:val="0"/>
              <w:autoSpaceDN w:val="0"/>
              <w:adjustRightInd w:val="0"/>
              <w:jc w:val="right"/>
              <w:rPr>
                <w:rFonts w:eastAsia="Times New Roman" w:cs="Times New Roman"/>
                <w:color w:val="FF0000"/>
                <w:lang w:eastAsia="cs-CZ"/>
              </w:rPr>
            </w:pPr>
            <w:r>
              <w:rPr>
                <w:rFonts w:eastAsia="Times New Roman" w:cs="Times New Roman"/>
                <w:lang w:eastAsia="cs-CZ"/>
              </w:rPr>
              <w:t>12 255</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62A1B018" w14:textId="4A77B4EA" w:rsidR="00572CFE" w:rsidRPr="00E8518E" w:rsidRDefault="00F47C33" w:rsidP="00572CFE">
            <w:pPr>
              <w:autoSpaceDE w:val="0"/>
              <w:autoSpaceDN w:val="0"/>
              <w:adjustRightInd w:val="0"/>
              <w:jc w:val="center"/>
              <w:rPr>
                <w:rFonts w:eastAsia="Times New Roman" w:cs="Times New Roman"/>
                <w:color w:val="FF0000"/>
                <w:lang w:eastAsia="cs-CZ"/>
              </w:rPr>
            </w:pPr>
            <w:r>
              <w:rPr>
                <w:rFonts w:eastAsia="Times New Roman" w:cs="Times New Roman"/>
                <w:lang w:eastAsia="cs-CZ"/>
              </w:rPr>
              <w:t>105,75</w:t>
            </w:r>
          </w:p>
        </w:tc>
      </w:tr>
      <w:tr w:rsidR="00572CFE" w:rsidRPr="00E8518E" w14:paraId="4F32B893" w14:textId="77777777" w:rsidTr="000A1EB1">
        <w:trPr>
          <w:trHeight w:val="270"/>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01D96EE4" w14:textId="77777777" w:rsidR="00572CFE" w:rsidRPr="0088307E" w:rsidRDefault="00572CFE" w:rsidP="00572CFE">
            <w:pPr>
              <w:autoSpaceDE w:val="0"/>
              <w:autoSpaceDN w:val="0"/>
              <w:adjustRightInd w:val="0"/>
              <w:rPr>
                <w:rFonts w:eastAsia="Times New Roman" w:cs="Times New Roman"/>
                <w:lang w:eastAsia="cs-CZ"/>
              </w:rPr>
            </w:pPr>
            <w:r w:rsidRPr="0088307E">
              <w:rPr>
                <w:rFonts w:eastAsia="Times New Roman" w:cs="Times New Roman"/>
                <w:lang w:eastAsia="cs-CZ"/>
              </w:rPr>
              <w:t>příděl FKSP</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D7FD728" w14:textId="6D645C2E"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657</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7C6DC118" w14:textId="3E31557C"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657</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1995A2F8" w14:textId="05A94ACB" w:rsidR="00572CFE" w:rsidRPr="00E8518E" w:rsidRDefault="00F47C33" w:rsidP="00572CFE">
            <w:pPr>
              <w:autoSpaceDE w:val="0"/>
              <w:autoSpaceDN w:val="0"/>
              <w:adjustRightInd w:val="0"/>
              <w:jc w:val="right"/>
              <w:rPr>
                <w:rFonts w:eastAsia="Times New Roman" w:cs="Times New Roman"/>
                <w:color w:val="FF0000"/>
                <w:lang w:eastAsia="cs-CZ"/>
              </w:rPr>
            </w:pPr>
            <w:r>
              <w:rPr>
                <w:rFonts w:eastAsia="Times New Roman" w:cs="Times New Roman"/>
                <w:lang w:eastAsia="cs-CZ"/>
              </w:rPr>
              <w:t>696</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1C99B147" w14:textId="4AA711EE" w:rsidR="00572CFE" w:rsidRPr="00E8518E" w:rsidRDefault="00F47C33" w:rsidP="00572CFE">
            <w:pPr>
              <w:autoSpaceDE w:val="0"/>
              <w:autoSpaceDN w:val="0"/>
              <w:adjustRightInd w:val="0"/>
              <w:jc w:val="right"/>
              <w:rPr>
                <w:rFonts w:eastAsia="Times New Roman" w:cs="Times New Roman"/>
                <w:color w:val="FF0000"/>
                <w:lang w:eastAsia="cs-CZ"/>
              </w:rPr>
            </w:pPr>
            <w:r>
              <w:rPr>
                <w:rFonts w:eastAsia="Times New Roman" w:cs="Times New Roman"/>
                <w:lang w:eastAsia="cs-CZ"/>
              </w:rPr>
              <w:t>105,94</w:t>
            </w:r>
          </w:p>
        </w:tc>
      </w:tr>
      <w:tr w:rsidR="00572CFE" w:rsidRPr="00E8518E" w14:paraId="2C0D8CD8" w14:textId="77777777" w:rsidTr="000A1EB1">
        <w:trPr>
          <w:trHeight w:val="771"/>
        </w:trPr>
        <w:tc>
          <w:tcPr>
            <w:tcW w:w="4422" w:type="dxa"/>
            <w:tcBorders>
              <w:top w:val="single" w:sz="4" w:space="0" w:color="7F7F7F" w:themeColor="text1" w:themeTint="80"/>
              <w:left w:val="single" w:sz="8" w:space="0" w:color="7F7F7F" w:themeColor="text1" w:themeTint="80"/>
              <w:bottom w:val="single" w:sz="4" w:space="0" w:color="7F7F7F" w:themeColor="text1" w:themeTint="80"/>
              <w:right w:val="single" w:sz="4" w:space="0" w:color="7F7F7F" w:themeColor="text1" w:themeTint="80"/>
            </w:tcBorders>
            <w:shd w:val="clear" w:color="auto" w:fill="auto"/>
          </w:tcPr>
          <w:p w14:paraId="67DFB9B0" w14:textId="77777777" w:rsidR="00572CFE" w:rsidRPr="0088307E" w:rsidRDefault="00572CFE" w:rsidP="00572CFE">
            <w:pPr>
              <w:autoSpaceDE w:val="0"/>
              <w:autoSpaceDN w:val="0"/>
              <w:adjustRightInd w:val="0"/>
              <w:jc w:val="left"/>
              <w:rPr>
                <w:rFonts w:eastAsia="Times New Roman" w:cs="Times New Roman"/>
                <w:lang w:eastAsia="cs-CZ"/>
              </w:rPr>
            </w:pPr>
            <w:r w:rsidRPr="0088307E">
              <w:rPr>
                <w:rFonts w:eastAsia="Times New Roman" w:cs="Times New Roman"/>
                <w:lang w:eastAsia="cs-CZ"/>
              </w:rPr>
              <w:t xml:space="preserve">dotace na neinvestiční náklady </w:t>
            </w:r>
            <w:proofErr w:type="gramStart"/>
            <w:r w:rsidRPr="0088307E">
              <w:rPr>
                <w:rFonts w:eastAsia="Times New Roman" w:cs="Times New Roman"/>
                <w:lang w:eastAsia="cs-CZ"/>
              </w:rPr>
              <w:t>související s financ</w:t>
            </w:r>
            <w:proofErr w:type="gramEnd"/>
            <w:r w:rsidRPr="0088307E">
              <w:rPr>
                <w:rFonts w:eastAsia="Times New Roman" w:cs="Times New Roman"/>
                <w:lang w:eastAsia="cs-CZ"/>
              </w:rPr>
              <w:t>. z programů evidovaných v EDS/SMVS</w:t>
            </w:r>
          </w:p>
        </w:tc>
        <w:tc>
          <w:tcPr>
            <w:tcW w:w="134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0CE3906C" w14:textId="0667BC8B" w:rsidR="00572CFE" w:rsidRPr="00E8518E" w:rsidRDefault="00572CFE" w:rsidP="00572CFE">
            <w:pPr>
              <w:tabs>
                <w:tab w:val="left" w:pos="489"/>
              </w:tabs>
              <w:jc w:val="right"/>
              <w:rPr>
                <w:rFonts w:eastAsia="Times New Roman" w:cs="Times New Roman"/>
                <w:color w:val="FF0000"/>
                <w:lang w:eastAsia="cs-CZ"/>
              </w:rPr>
            </w:pPr>
            <w:r>
              <w:rPr>
                <w:rFonts w:eastAsia="Times New Roman" w:cs="Times New Roman"/>
                <w:lang w:eastAsia="cs-CZ"/>
              </w:rPr>
              <w:t>3 692</w:t>
            </w:r>
          </w:p>
        </w:tc>
        <w:tc>
          <w:tcPr>
            <w:tcW w:w="1332"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11283FE7" w14:textId="54B8D53F"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0</w:t>
            </w:r>
          </w:p>
        </w:tc>
        <w:tc>
          <w:tcPr>
            <w:tcW w:w="1134" w:type="dxa"/>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vAlign w:val="center"/>
          </w:tcPr>
          <w:p w14:paraId="50282B07" w14:textId="51D9A6EE"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0</w:t>
            </w:r>
          </w:p>
        </w:tc>
        <w:tc>
          <w:tcPr>
            <w:tcW w:w="936" w:type="dxa"/>
            <w:tcBorders>
              <w:top w:val="single" w:sz="4" w:space="0" w:color="7F7F7F" w:themeColor="text1" w:themeTint="80"/>
              <w:left w:val="single" w:sz="4" w:space="0" w:color="7F7F7F" w:themeColor="text1" w:themeTint="80"/>
              <w:bottom w:val="single" w:sz="4" w:space="0" w:color="7F7F7F" w:themeColor="text1" w:themeTint="80"/>
              <w:right w:val="single" w:sz="8" w:space="0" w:color="7F7F7F" w:themeColor="text1" w:themeTint="80"/>
            </w:tcBorders>
            <w:shd w:val="clear" w:color="auto" w:fill="auto"/>
            <w:vAlign w:val="center"/>
          </w:tcPr>
          <w:p w14:paraId="30078888" w14:textId="25E5D885" w:rsidR="00572CFE" w:rsidRPr="00E8518E" w:rsidRDefault="00572CFE" w:rsidP="00572CFE">
            <w:pPr>
              <w:autoSpaceDE w:val="0"/>
              <w:autoSpaceDN w:val="0"/>
              <w:adjustRightInd w:val="0"/>
              <w:jc w:val="right"/>
              <w:rPr>
                <w:rFonts w:eastAsia="Times New Roman" w:cs="Times New Roman"/>
                <w:color w:val="FF0000"/>
                <w:lang w:eastAsia="cs-CZ"/>
              </w:rPr>
            </w:pPr>
            <w:r w:rsidRPr="003F730C">
              <w:rPr>
                <w:rFonts w:eastAsia="Times New Roman" w:cs="Times New Roman"/>
                <w:lang w:eastAsia="cs-CZ"/>
              </w:rPr>
              <w:t>x</w:t>
            </w:r>
          </w:p>
        </w:tc>
      </w:tr>
      <w:tr w:rsidR="00572CFE" w:rsidRPr="00E8518E" w14:paraId="5049C6AE" w14:textId="77777777" w:rsidTr="000A1EB1">
        <w:trPr>
          <w:trHeight w:val="270"/>
        </w:trPr>
        <w:tc>
          <w:tcPr>
            <w:tcW w:w="4422" w:type="dxa"/>
            <w:tcBorders>
              <w:top w:val="single" w:sz="4" w:space="0" w:color="7F7F7F" w:themeColor="text1" w:themeTint="80"/>
              <w:left w:val="single" w:sz="8" w:space="0" w:color="7F7F7F" w:themeColor="text1" w:themeTint="80"/>
              <w:bottom w:val="nil"/>
              <w:right w:val="single" w:sz="4" w:space="0" w:color="7F7F7F" w:themeColor="text1" w:themeTint="80"/>
            </w:tcBorders>
            <w:shd w:val="clear" w:color="auto" w:fill="auto"/>
          </w:tcPr>
          <w:p w14:paraId="1EE1003B" w14:textId="77777777" w:rsidR="00572CFE" w:rsidRPr="0088307E" w:rsidRDefault="00572CFE" w:rsidP="00572CFE">
            <w:pPr>
              <w:autoSpaceDE w:val="0"/>
              <w:autoSpaceDN w:val="0"/>
              <w:adjustRightInd w:val="0"/>
              <w:rPr>
                <w:rFonts w:eastAsia="Times New Roman" w:cs="Times New Roman"/>
                <w:lang w:eastAsia="cs-CZ"/>
              </w:rPr>
            </w:pPr>
            <w:r w:rsidRPr="0088307E">
              <w:rPr>
                <w:rFonts w:eastAsia="Times New Roman" w:cs="Times New Roman"/>
                <w:lang w:eastAsia="cs-CZ"/>
              </w:rPr>
              <w:t>Z celkového objemu:</w:t>
            </w:r>
          </w:p>
        </w:tc>
        <w:tc>
          <w:tcPr>
            <w:tcW w:w="134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38D28F08" w14:textId="77777777" w:rsidR="00572CFE" w:rsidRPr="00E8518E" w:rsidRDefault="00572CFE" w:rsidP="00572CFE">
            <w:pPr>
              <w:autoSpaceDE w:val="0"/>
              <w:autoSpaceDN w:val="0"/>
              <w:adjustRightInd w:val="0"/>
              <w:jc w:val="right"/>
              <w:rPr>
                <w:rFonts w:eastAsia="Times New Roman" w:cs="Times New Roman"/>
                <w:color w:val="FF0000"/>
                <w:lang w:eastAsia="cs-CZ"/>
              </w:rPr>
            </w:pPr>
          </w:p>
        </w:tc>
        <w:tc>
          <w:tcPr>
            <w:tcW w:w="1332"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00C5F735" w14:textId="77777777" w:rsidR="00572CFE" w:rsidRPr="00E8518E" w:rsidRDefault="00572CFE" w:rsidP="00572CFE">
            <w:pPr>
              <w:autoSpaceDE w:val="0"/>
              <w:autoSpaceDN w:val="0"/>
              <w:adjustRightInd w:val="0"/>
              <w:jc w:val="right"/>
              <w:rPr>
                <w:rFonts w:eastAsia="Times New Roman" w:cs="Times New Roman"/>
                <w:b/>
                <w:bCs/>
                <w:color w:val="FF0000"/>
                <w:lang w:eastAsia="cs-CZ"/>
              </w:rPr>
            </w:pPr>
          </w:p>
        </w:tc>
        <w:tc>
          <w:tcPr>
            <w:tcW w:w="1134" w:type="dxa"/>
            <w:tcBorders>
              <w:top w:val="single" w:sz="4" w:space="0" w:color="7F7F7F" w:themeColor="text1" w:themeTint="80"/>
              <w:left w:val="single" w:sz="4" w:space="0" w:color="7F7F7F" w:themeColor="text1" w:themeTint="80"/>
              <w:bottom w:val="nil"/>
              <w:right w:val="single" w:sz="4" w:space="0" w:color="7F7F7F" w:themeColor="text1" w:themeTint="80"/>
            </w:tcBorders>
            <w:shd w:val="clear" w:color="auto" w:fill="auto"/>
            <w:vAlign w:val="center"/>
          </w:tcPr>
          <w:p w14:paraId="45A962CD" w14:textId="77777777" w:rsidR="00572CFE" w:rsidRPr="00E8518E" w:rsidRDefault="00572CFE" w:rsidP="00572CFE">
            <w:pPr>
              <w:autoSpaceDE w:val="0"/>
              <w:autoSpaceDN w:val="0"/>
              <w:adjustRightInd w:val="0"/>
              <w:jc w:val="right"/>
              <w:rPr>
                <w:rFonts w:eastAsia="Times New Roman" w:cs="Times New Roman"/>
                <w:b/>
                <w:bCs/>
                <w:color w:val="FF0000"/>
                <w:lang w:eastAsia="cs-CZ"/>
              </w:rPr>
            </w:pPr>
          </w:p>
        </w:tc>
        <w:tc>
          <w:tcPr>
            <w:tcW w:w="936" w:type="dxa"/>
            <w:tcBorders>
              <w:top w:val="single" w:sz="4" w:space="0" w:color="7F7F7F" w:themeColor="text1" w:themeTint="80"/>
              <w:left w:val="single" w:sz="4" w:space="0" w:color="7F7F7F" w:themeColor="text1" w:themeTint="80"/>
              <w:bottom w:val="nil"/>
              <w:right w:val="single" w:sz="8" w:space="0" w:color="7F7F7F" w:themeColor="text1" w:themeTint="80"/>
            </w:tcBorders>
            <w:shd w:val="clear" w:color="auto" w:fill="auto"/>
            <w:vAlign w:val="center"/>
          </w:tcPr>
          <w:p w14:paraId="0E40354F" w14:textId="77777777" w:rsidR="00572CFE" w:rsidRPr="00E8518E" w:rsidRDefault="00572CFE" w:rsidP="00572CFE">
            <w:pPr>
              <w:autoSpaceDE w:val="0"/>
              <w:autoSpaceDN w:val="0"/>
              <w:adjustRightInd w:val="0"/>
              <w:jc w:val="right"/>
              <w:rPr>
                <w:rFonts w:eastAsia="Times New Roman" w:cs="Times New Roman"/>
                <w:color w:val="FF0000"/>
                <w:lang w:eastAsia="cs-CZ"/>
              </w:rPr>
            </w:pPr>
          </w:p>
        </w:tc>
      </w:tr>
      <w:tr w:rsidR="00572CFE" w:rsidRPr="00E8518E" w14:paraId="6D83802F" w14:textId="77777777" w:rsidTr="000A1EB1">
        <w:trPr>
          <w:trHeight w:val="270"/>
        </w:trPr>
        <w:tc>
          <w:tcPr>
            <w:tcW w:w="4422" w:type="dxa"/>
            <w:tcBorders>
              <w:top w:val="nil"/>
              <w:left w:val="single" w:sz="8" w:space="0" w:color="7F7F7F" w:themeColor="text1" w:themeTint="80"/>
              <w:bottom w:val="single" w:sz="8" w:space="0" w:color="7F7F7F" w:themeColor="text1" w:themeTint="80"/>
              <w:right w:val="single" w:sz="4" w:space="0" w:color="7F7F7F" w:themeColor="text1" w:themeTint="80"/>
            </w:tcBorders>
            <w:shd w:val="clear" w:color="auto" w:fill="auto"/>
          </w:tcPr>
          <w:p w14:paraId="3957D6C8" w14:textId="77777777" w:rsidR="00572CFE" w:rsidRPr="0088307E" w:rsidRDefault="00572CFE" w:rsidP="00572CFE">
            <w:pPr>
              <w:autoSpaceDE w:val="0"/>
              <w:autoSpaceDN w:val="0"/>
              <w:adjustRightInd w:val="0"/>
              <w:ind w:left="22" w:hanging="96"/>
              <w:jc w:val="left"/>
              <w:rPr>
                <w:rFonts w:eastAsia="Times New Roman" w:cs="Times New Roman"/>
                <w:i/>
                <w:lang w:eastAsia="cs-CZ"/>
              </w:rPr>
            </w:pPr>
            <w:r w:rsidRPr="0088307E">
              <w:rPr>
                <w:rFonts w:eastAsia="Times New Roman" w:cs="Times New Roman"/>
                <w:i/>
                <w:lang w:eastAsia="cs-CZ"/>
              </w:rPr>
              <w:t xml:space="preserve">           - výdaje na dopravně správní agendy</w:t>
            </w:r>
          </w:p>
          <w:p w14:paraId="79D77AC3" w14:textId="77777777" w:rsidR="00572CFE" w:rsidRPr="0088307E" w:rsidRDefault="00572CFE" w:rsidP="00572CFE">
            <w:pPr>
              <w:autoSpaceDE w:val="0"/>
              <w:autoSpaceDN w:val="0"/>
              <w:adjustRightInd w:val="0"/>
              <w:ind w:hanging="74"/>
              <w:rPr>
                <w:rFonts w:eastAsia="Times New Roman" w:cs="Times New Roman"/>
                <w:i/>
                <w:lang w:eastAsia="cs-CZ"/>
              </w:rPr>
            </w:pPr>
            <w:r w:rsidRPr="0088307E">
              <w:rPr>
                <w:rFonts w:eastAsia="Times New Roman" w:cs="Times New Roman"/>
                <w:i/>
                <w:lang w:eastAsia="cs-CZ"/>
              </w:rPr>
              <w:t xml:space="preserve">           - BESIP</w:t>
            </w:r>
          </w:p>
        </w:tc>
        <w:tc>
          <w:tcPr>
            <w:tcW w:w="134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71B821E3" w14:textId="77777777" w:rsidR="00572CFE" w:rsidRPr="003F730C" w:rsidRDefault="00572CFE" w:rsidP="00572CFE">
            <w:pPr>
              <w:autoSpaceDE w:val="0"/>
              <w:autoSpaceDN w:val="0"/>
              <w:adjustRightInd w:val="0"/>
              <w:jc w:val="right"/>
              <w:rPr>
                <w:rFonts w:eastAsia="Times New Roman" w:cs="Times New Roman"/>
                <w:i/>
                <w:lang w:eastAsia="cs-CZ"/>
              </w:rPr>
            </w:pPr>
            <w:r w:rsidRPr="003F730C">
              <w:rPr>
                <w:rFonts w:eastAsia="Times New Roman" w:cs="Times New Roman"/>
                <w:i/>
                <w:lang w:eastAsia="cs-CZ"/>
              </w:rPr>
              <w:t>45 000</w:t>
            </w:r>
          </w:p>
          <w:p w14:paraId="03BFCF4D" w14:textId="3010C365" w:rsidR="00572CFE" w:rsidRPr="00E8518E" w:rsidRDefault="00572CFE" w:rsidP="00572CFE">
            <w:pPr>
              <w:autoSpaceDE w:val="0"/>
              <w:autoSpaceDN w:val="0"/>
              <w:adjustRightInd w:val="0"/>
              <w:jc w:val="right"/>
              <w:rPr>
                <w:rFonts w:eastAsia="Times New Roman" w:cs="Times New Roman"/>
                <w:i/>
                <w:color w:val="FF0000"/>
                <w:lang w:eastAsia="cs-CZ"/>
              </w:rPr>
            </w:pPr>
            <w:r w:rsidRPr="003F730C">
              <w:rPr>
                <w:rFonts w:eastAsia="Times New Roman" w:cs="Times New Roman"/>
                <w:i/>
                <w:lang w:eastAsia="cs-CZ"/>
              </w:rPr>
              <w:t>21 500</w:t>
            </w:r>
          </w:p>
        </w:tc>
        <w:tc>
          <w:tcPr>
            <w:tcW w:w="1332"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3274BD74" w14:textId="77777777" w:rsidR="00572CFE" w:rsidRPr="003F730C" w:rsidRDefault="00572CFE" w:rsidP="00572CFE">
            <w:pPr>
              <w:autoSpaceDE w:val="0"/>
              <w:autoSpaceDN w:val="0"/>
              <w:adjustRightInd w:val="0"/>
              <w:jc w:val="right"/>
              <w:rPr>
                <w:rFonts w:eastAsia="Times New Roman" w:cs="Times New Roman"/>
                <w:i/>
                <w:lang w:eastAsia="cs-CZ"/>
              </w:rPr>
            </w:pPr>
            <w:r w:rsidRPr="003F730C">
              <w:rPr>
                <w:rFonts w:eastAsia="Times New Roman" w:cs="Times New Roman"/>
                <w:i/>
                <w:lang w:eastAsia="cs-CZ"/>
              </w:rPr>
              <w:t>55 364</w:t>
            </w:r>
          </w:p>
          <w:p w14:paraId="09A06660" w14:textId="27F83F16" w:rsidR="00572CFE" w:rsidRPr="00E8518E" w:rsidRDefault="00572CFE" w:rsidP="00572CFE">
            <w:pPr>
              <w:autoSpaceDE w:val="0"/>
              <w:autoSpaceDN w:val="0"/>
              <w:adjustRightInd w:val="0"/>
              <w:jc w:val="right"/>
              <w:rPr>
                <w:rFonts w:eastAsia="Times New Roman" w:cs="Times New Roman"/>
                <w:i/>
                <w:color w:val="FF0000"/>
                <w:lang w:eastAsia="cs-CZ"/>
              </w:rPr>
            </w:pPr>
            <w:r w:rsidRPr="003F730C">
              <w:rPr>
                <w:rFonts w:eastAsia="Times New Roman" w:cs="Times New Roman"/>
                <w:i/>
                <w:lang w:eastAsia="cs-CZ"/>
              </w:rPr>
              <w:t>40 593</w:t>
            </w:r>
          </w:p>
        </w:tc>
        <w:tc>
          <w:tcPr>
            <w:tcW w:w="1134" w:type="dxa"/>
            <w:tcBorders>
              <w:top w:val="nil"/>
              <w:left w:val="single" w:sz="4" w:space="0" w:color="7F7F7F" w:themeColor="text1" w:themeTint="80"/>
              <w:bottom w:val="single" w:sz="8" w:space="0" w:color="7F7F7F" w:themeColor="text1" w:themeTint="80"/>
              <w:right w:val="single" w:sz="4" w:space="0" w:color="7F7F7F" w:themeColor="text1" w:themeTint="80"/>
            </w:tcBorders>
            <w:shd w:val="clear" w:color="auto" w:fill="auto"/>
            <w:vAlign w:val="center"/>
          </w:tcPr>
          <w:p w14:paraId="12316DBE" w14:textId="51E1853E" w:rsidR="00572CFE" w:rsidRPr="003F730C" w:rsidRDefault="00F47C33" w:rsidP="00572CFE">
            <w:pPr>
              <w:autoSpaceDE w:val="0"/>
              <w:autoSpaceDN w:val="0"/>
              <w:adjustRightInd w:val="0"/>
              <w:jc w:val="right"/>
              <w:rPr>
                <w:rFonts w:eastAsia="Times New Roman" w:cs="Times New Roman"/>
                <w:i/>
                <w:lang w:eastAsia="cs-CZ"/>
              </w:rPr>
            </w:pPr>
            <w:r>
              <w:rPr>
                <w:rFonts w:eastAsia="Times New Roman" w:cs="Times New Roman"/>
                <w:i/>
                <w:lang w:eastAsia="cs-CZ"/>
              </w:rPr>
              <w:t>58 041</w:t>
            </w:r>
          </w:p>
          <w:p w14:paraId="0FC387BB" w14:textId="3DD8CCB3" w:rsidR="00572CFE" w:rsidRPr="00E8518E" w:rsidRDefault="00572CFE" w:rsidP="00572CFE">
            <w:pPr>
              <w:autoSpaceDE w:val="0"/>
              <w:autoSpaceDN w:val="0"/>
              <w:adjustRightInd w:val="0"/>
              <w:jc w:val="right"/>
              <w:rPr>
                <w:rFonts w:eastAsia="Times New Roman" w:cs="Times New Roman"/>
                <w:i/>
                <w:color w:val="FF0000"/>
                <w:lang w:eastAsia="cs-CZ"/>
              </w:rPr>
            </w:pPr>
            <w:r w:rsidRPr="003F730C">
              <w:rPr>
                <w:rFonts w:eastAsia="Times New Roman" w:cs="Times New Roman"/>
                <w:i/>
                <w:lang w:eastAsia="cs-CZ"/>
              </w:rPr>
              <w:t>40 593</w:t>
            </w:r>
          </w:p>
        </w:tc>
        <w:tc>
          <w:tcPr>
            <w:tcW w:w="936" w:type="dxa"/>
            <w:tcBorders>
              <w:top w:val="nil"/>
              <w:left w:val="single" w:sz="4" w:space="0" w:color="7F7F7F" w:themeColor="text1" w:themeTint="80"/>
              <w:bottom w:val="single" w:sz="8" w:space="0" w:color="7F7F7F" w:themeColor="text1" w:themeTint="80"/>
              <w:right w:val="single" w:sz="8" w:space="0" w:color="7F7F7F" w:themeColor="text1" w:themeTint="80"/>
            </w:tcBorders>
            <w:shd w:val="clear" w:color="auto" w:fill="auto"/>
            <w:vAlign w:val="center"/>
          </w:tcPr>
          <w:p w14:paraId="7484D575" w14:textId="7B263A71" w:rsidR="00572CFE" w:rsidRPr="003F730C" w:rsidRDefault="00F47C33" w:rsidP="00572CFE">
            <w:pPr>
              <w:autoSpaceDE w:val="0"/>
              <w:autoSpaceDN w:val="0"/>
              <w:adjustRightInd w:val="0"/>
              <w:jc w:val="right"/>
              <w:rPr>
                <w:rFonts w:eastAsia="Times New Roman" w:cs="Times New Roman"/>
                <w:i/>
                <w:lang w:eastAsia="cs-CZ"/>
              </w:rPr>
            </w:pPr>
            <w:r>
              <w:rPr>
                <w:rFonts w:eastAsia="Times New Roman" w:cs="Times New Roman"/>
                <w:i/>
                <w:lang w:eastAsia="cs-CZ"/>
              </w:rPr>
              <w:t>104,84</w:t>
            </w:r>
          </w:p>
          <w:p w14:paraId="77BECB20" w14:textId="569D3003" w:rsidR="00572CFE" w:rsidRPr="00E8518E" w:rsidRDefault="00572CFE" w:rsidP="00572CFE">
            <w:pPr>
              <w:autoSpaceDE w:val="0"/>
              <w:autoSpaceDN w:val="0"/>
              <w:adjustRightInd w:val="0"/>
              <w:jc w:val="right"/>
              <w:rPr>
                <w:rFonts w:eastAsia="Times New Roman" w:cs="Times New Roman"/>
                <w:i/>
                <w:color w:val="FF0000"/>
                <w:lang w:eastAsia="cs-CZ"/>
              </w:rPr>
            </w:pPr>
            <w:r w:rsidRPr="003F730C">
              <w:rPr>
                <w:rFonts w:eastAsia="Times New Roman" w:cs="Times New Roman"/>
                <w:i/>
                <w:lang w:eastAsia="cs-CZ"/>
              </w:rPr>
              <w:t>100,00</w:t>
            </w:r>
          </w:p>
        </w:tc>
      </w:tr>
    </w:tbl>
    <w:p w14:paraId="2B6EC879" w14:textId="1B51C3F7" w:rsidR="00572CFE" w:rsidRPr="003F730C" w:rsidRDefault="00572CFE" w:rsidP="00F47C33">
      <w:pPr>
        <w:pStyle w:val="Styl1"/>
      </w:pPr>
      <w:r w:rsidRPr="003F730C">
        <w:t xml:space="preserve">Navrhovaná částka neinvestičního příspěvku na činnost na rok 2023 </w:t>
      </w:r>
      <w:r w:rsidR="00F47C33">
        <w:t xml:space="preserve">je oproti roku 2022 </w:t>
      </w:r>
      <w:r w:rsidR="00F47C33">
        <w:br/>
        <w:t>o 2 677 tis. Kč. Navýšení představuje zvýšení platů včetně příslušenství (</w:t>
      </w:r>
      <w:proofErr w:type="spellStart"/>
      <w:r w:rsidR="00F47C33">
        <w:t>detailnějí</w:t>
      </w:r>
      <w:proofErr w:type="spellEnd"/>
      <w:r w:rsidR="00F47C33">
        <w:t xml:space="preserve"> viz oddíl  3.2.2 Výdaje na platy a počty pracovníků za OSS a PO). </w:t>
      </w:r>
      <w:r w:rsidRPr="003F730C">
        <w:t xml:space="preserve"> </w:t>
      </w:r>
    </w:p>
    <w:p w14:paraId="540D927D" w14:textId="77777777" w:rsidR="00572CFE" w:rsidRPr="003F730C" w:rsidRDefault="00572CFE" w:rsidP="00572CFE">
      <w:pPr>
        <w:pStyle w:val="Styl1"/>
      </w:pPr>
      <w:r w:rsidRPr="003F730C">
        <w:t xml:space="preserve">Návrh rozpočtu zahrnuje hlavně krytí výdajů na činnosti vyplývající ze zákonů </w:t>
      </w:r>
      <w:r w:rsidRPr="003F730C">
        <w:br/>
        <w:t xml:space="preserve">č. 247/2000 Sb., č. 361/2000 Sb., č. 56/2001 Sb. a č. 13/1997 Sb., ve smyslu jejich pozdějších úprav. Dále krytí výdajů vyplývá z nařízení Evropského parlamentu a Rady EU 561/2006/ES, o harmonizaci některých předpisů v sociální oblasti týkajících se silniční dopravy. Jde zejména o zabezpečení některých činností a úkolů v oblasti státního odborného dozoru </w:t>
      </w:r>
      <w:r w:rsidRPr="003F730C">
        <w:br/>
        <w:t>v dopravně správních agendách. Dále jsou v tomto objemu zahrnuty požadavky na zajišťování a distribuci všech druhů tiskopisů, zajištění logistiky na úseku centralizované výroby řidičského průkazu vzoru EU, distribuci registračních značek od výrobce na dopravní úřady pověřených měst a obcí a následný svoz znehodnocených registračních značek a jejich centrální likvidaci,</w:t>
      </w:r>
      <w:r w:rsidRPr="003F730C">
        <w:br/>
        <w:t xml:space="preserve">a na výkon některých delegovaných činností v oblasti BESIP. </w:t>
      </w:r>
    </w:p>
    <w:p w14:paraId="27B998A8" w14:textId="77777777" w:rsidR="00572CFE" w:rsidRPr="003F730C" w:rsidRDefault="00572CFE" w:rsidP="00572CFE">
      <w:pPr>
        <w:pStyle w:val="Styl1"/>
      </w:pPr>
      <w:r w:rsidRPr="003F730C">
        <w:t xml:space="preserve">Počet zaměstnanců organizace je pro rok 2023 navržen ve výši 84, tedy na úrovni roku 2022. </w:t>
      </w:r>
    </w:p>
    <w:p w14:paraId="6B633620" w14:textId="77777777" w:rsidR="00BD28A7" w:rsidRPr="0088307E" w:rsidRDefault="00BD28A7" w:rsidP="0088307E">
      <w:pPr>
        <w:pStyle w:val="Styl1"/>
        <w:rPr>
          <w:b/>
          <w:iCs w:val="0"/>
          <w:u w:val="single"/>
        </w:rPr>
      </w:pPr>
      <w:r w:rsidRPr="0088307E">
        <w:rPr>
          <w:b/>
          <w:u w:val="single"/>
        </w:rPr>
        <w:t>Ředitelství silnic a dálnic ČR</w:t>
      </w:r>
    </w:p>
    <w:p w14:paraId="58205B4A" w14:textId="77777777" w:rsidR="004B2F70" w:rsidRPr="0088307E" w:rsidRDefault="004B2F70" w:rsidP="004B2F70">
      <w:pPr>
        <w:pStyle w:val="Styl1"/>
      </w:pPr>
      <w:bookmarkStart w:id="165" w:name="_Toc242513289"/>
      <w:bookmarkStart w:id="166" w:name="_Toc462314394"/>
      <w:r w:rsidRPr="0088307E">
        <w:t>Ministerstvo dopravy je zřizovatelem státní příspěvkové organizace Ředitelství silnic a dálnic ČR. Běžné výdaje organizace jsou kryty zejména z rozpočtu Státního fondu dopravní infrastruktury.</w:t>
      </w:r>
    </w:p>
    <w:p w14:paraId="6C5B14D9" w14:textId="446197C8" w:rsidR="004B2F70" w:rsidRPr="0088307E" w:rsidRDefault="004B2F70" w:rsidP="004B2F70">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18</w:t>
      </w:r>
      <w:r w:rsidRPr="0088307E">
        <w:rPr>
          <w:noProof/>
        </w:rPr>
        <w:fldChar w:fldCharType="end"/>
      </w:r>
      <w:r w:rsidRPr="0088307E">
        <w:rPr>
          <w:noProof/>
        </w:rPr>
        <w:t xml:space="preserve"> Ředitelství silnic a dálnic ČR (v tis. Kč)</w:t>
      </w:r>
    </w:p>
    <w:tbl>
      <w:tblPr>
        <w:tblStyle w:val="Svtltabulkasmkou1zvraznn5"/>
        <w:tblW w:w="5172" w:type="pct"/>
        <w:tblInd w:w="-15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95"/>
        <w:gridCol w:w="1417"/>
        <w:gridCol w:w="1275"/>
        <w:gridCol w:w="1135"/>
        <w:gridCol w:w="1140"/>
      </w:tblGrid>
      <w:tr w:rsidR="0011129C" w:rsidRPr="008513CB" w14:paraId="49C4C6AC" w14:textId="77777777" w:rsidTr="0011129C">
        <w:trPr>
          <w:trHeight w:val="775"/>
        </w:trPr>
        <w:tc>
          <w:tcPr>
            <w:tcW w:w="234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122B6FF"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Ukazatel</w:t>
            </w:r>
          </w:p>
        </w:tc>
        <w:tc>
          <w:tcPr>
            <w:tcW w:w="75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BD30855"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Skutečnost</w:t>
            </w:r>
          </w:p>
          <w:p w14:paraId="69F3B1D1"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202</w:t>
            </w:r>
            <w:r>
              <w:rPr>
                <w:rFonts w:eastAsia="Times New Roman" w:cs="Times New Roman"/>
                <w:b/>
                <w:lang w:eastAsia="cs-CZ"/>
              </w:rPr>
              <w:t>1</w:t>
            </w:r>
          </w:p>
        </w:tc>
        <w:tc>
          <w:tcPr>
            <w:tcW w:w="6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4F99264"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Schválený</w:t>
            </w:r>
          </w:p>
          <w:p w14:paraId="3571DCA6"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rozpočet</w:t>
            </w:r>
          </w:p>
          <w:p w14:paraId="6C2A895E"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202</w:t>
            </w:r>
            <w:r>
              <w:rPr>
                <w:rFonts w:eastAsia="Times New Roman" w:cs="Times New Roman"/>
                <w:b/>
                <w:lang w:eastAsia="cs-CZ"/>
              </w:rPr>
              <w:t>2</w:t>
            </w:r>
          </w:p>
        </w:tc>
        <w:tc>
          <w:tcPr>
            <w:tcW w:w="6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6E4DCC6"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Návrh</w:t>
            </w:r>
          </w:p>
          <w:p w14:paraId="04F67B10"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rozpočtu</w:t>
            </w:r>
          </w:p>
          <w:p w14:paraId="7EDBD433"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202</w:t>
            </w:r>
            <w:r>
              <w:rPr>
                <w:rFonts w:eastAsia="Times New Roman" w:cs="Times New Roman"/>
                <w:b/>
                <w:lang w:eastAsia="cs-CZ"/>
              </w:rPr>
              <w:t>3</w:t>
            </w:r>
          </w:p>
        </w:tc>
        <w:tc>
          <w:tcPr>
            <w:tcW w:w="60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2689BFE"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Index</w:t>
            </w:r>
          </w:p>
          <w:p w14:paraId="123535AB"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202</w:t>
            </w:r>
            <w:r>
              <w:rPr>
                <w:rFonts w:eastAsia="Times New Roman" w:cs="Times New Roman"/>
                <w:b/>
                <w:lang w:eastAsia="cs-CZ"/>
              </w:rPr>
              <w:t>3</w:t>
            </w:r>
            <w:r w:rsidRPr="008513CB">
              <w:rPr>
                <w:rFonts w:eastAsia="Times New Roman" w:cs="Times New Roman"/>
                <w:b/>
                <w:lang w:eastAsia="cs-CZ"/>
              </w:rPr>
              <w:t>/</w:t>
            </w:r>
            <w:r w:rsidRPr="008513CB">
              <w:rPr>
                <w:rFonts w:eastAsia="Times New Roman" w:cs="Times New Roman"/>
                <w:b/>
                <w:lang w:eastAsia="cs-CZ"/>
              </w:rPr>
              <w:br/>
              <w:t>202</w:t>
            </w:r>
            <w:r>
              <w:rPr>
                <w:rFonts w:eastAsia="Times New Roman" w:cs="Times New Roman"/>
                <w:b/>
                <w:lang w:eastAsia="cs-CZ"/>
              </w:rPr>
              <w:t>2</w:t>
            </w:r>
          </w:p>
          <w:p w14:paraId="1E58A529" w14:textId="77777777" w:rsidR="0011129C" w:rsidRPr="008513CB" w:rsidRDefault="0011129C" w:rsidP="0011129C">
            <w:pPr>
              <w:autoSpaceDE w:val="0"/>
              <w:autoSpaceDN w:val="0"/>
              <w:adjustRightInd w:val="0"/>
              <w:jc w:val="center"/>
              <w:rPr>
                <w:rFonts w:eastAsia="Times New Roman" w:cs="Times New Roman"/>
                <w:b/>
                <w:lang w:eastAsia="cs-CZ"/>
              </w:rPr>
            </w:pPr>
            <w:r w:rsidRPr="008513CB">
              <w:rPr>
                <w:rFonts w:eastAsia="Times New Roman" w:cs="Times New Roman"/>
                <w:b/>
                <w:lang w:eastAsia="cs-CZ"/>
              </w:rPr>
              <w:t>(v %)</w:t>
            </w:r>
          </w:p>
        </w:tc>
      </w:tr>
      <w:tr w:rsidR="0011129C" w:rsidRPr="008513CB" w14:paraId="471ABCD5" w14:textId="77777777" w:rsidTr="0011129C">
        <w:trPr>
          <w:trHeight w:val="255"/>
        </w:trPr>
        <w:tc>
          <w:tcPr>
            <w:tcW w:w="2347" w:type="pct"/>
            <w:tcBorders>
              <w:top w:val="single" w:sz="4" w:space="0" w:color="7F7F7F" w:themeColor="text1" w:themeTint="80"/>
              <w:bottom w:val="single" w:sz="8" w:space="0" w:color="7F7F7F" w:themeColor="text1" w:themeTint="80"/>
            </w:tcBorders>
            <w:shd w:val="clear" w:color="auto" w:fill="auto"/>
          </w:tcPr>
          <w:p w14:paraId="1D0697D7" w14:textId="77777777" w:rsidR="0011129C" w:rsidRPr="008513CB" w:rsidRDefault="0011129C" w:rsidP="0011129C">
            <w:pPr>
              <w:autoSpaceDE w:val="0"/>
              <w:autoSpaceDN w:val="0"/>
              <w:adjustRightInd w:val="0"/>
              <w:jc w:val="center"/>
              <w:rPr>
                <w:rFonts w:eastAsia="Times New Roman" w:cs="Times New Roman"/>
                <w:lang w:eastAsia="cs-CZ"/>
              </w:rPr>
            </w:pPr>
            <w:r w:rsidRPr="008513CB">
              <w:rPr>
                <w:rFonts w:eastAsia="Times New Roman" w:cs="Times New Roman"/>
                <w:lang w:eastAsia="cs-CZ"/>
              </w:rPr>
              <w:t>a</w:t>
            </w:r>
          </w:p>
        </w:tc>
        <w:tc>
          <w:tcPr>
            <w:tcW w:w="757" w:type="pct"/>
            <w:tcBorders>
              <w:top w:val="single" w:sz="4" w:space="0" w:color="7F7F7F" w:themeColor="text1" w:themeTint="80"/>
              <w:bottom w:val="single" w:sz="8" w:space="0" w:color="7F7F7F" w:themeColor="text1" w:themeTint="80"/>
            </w:tcBorders>
            <w:shd w:val="clear" w:color="auto" w:fill="auto"/>
          </w:tcPr>
          <w:p w14:paraId="20FBE767" w14:textId="77777777" w:rsidR="0011129C" w:rsidRPr="008513CB" w:rsidRDefault="0011129C" w:rsidP="0011129C">
            <w:pPr>
              <w:autoSpaceDE w:val="0"/>
              <w:autoSpaceDN w:val="0"/>
              <w:adjustRightInd w:val="0"/>
              <w:jc w:val="center"/>
              <w:rPr>
                <w:rFonts w:eastAsia="Times New Roman" w:cs="Times New Roman"/>
                <w:lang w:eastAsia="cs-CZ"/>
              </w:rPr>
            </w:pPr>
            <w:r w:rsidRPr="008513CB">
              <w:rPr>
                <w:rFonts w:eastAsia="Times New Roman" w:cs="Times New Roman"/>
                <w:lang w:eastAsia="cs-CZ"/>
              </w:rPr>
              <w:t>1</w:t>
            </w:r>
          </w:p>
        </w:tc>
        <w:tc>
          <w:tcPr>
            <w:tcW w:w="681" w:type="pct"/>
            <w:tcBorders>
              <w:top w:val="single" w:sz="4" w:space="0" w:color="7F7F7F" w:themeColor="text1" w:themeTint="80"/>
              <w:bottom w:val="single" w:sz="8" w:space="0" w:color="7F7F7F" w:themeColor="text1" w:themeTint="80"/>
            </w:tcBorders>
            <w:shd w:val="clear" w:color="auto" w:fill="auto"/>
          </w:tcPr>
          <w:p w14:paraId="7AE91B27" w14:textId="77777777" w:rsidR="0011129C" w:rsidRPr="008513CB" w:rsidRDefault="0011129C" w:rsidP="0011129C">
            <w:pPr>
              <w:autoSpaceDE w:val="0"/>
              <w:autoSpaceDN w:val="0"/>
              <w:adjustRightInd w:val="0"/>
              <w:jc w:val="center"/>
              <w:rPr>
                <w:rFonts w:eastAsia="Times New Roman" w:cs="Times New Roman"/>
                <w:lang w:eastAsia="cs-CZ"/>
              </w:rPr>
            </w:pPr>
            <w:r w:rsidRPr="008513CB">
              <w:rPr>
                <w:rFonts w:eastAsia="Times New Roman" w:cs="Times New Roman"/>
                <w:lang w:eastAsia="cs-CZ"/>
              </w:rPr>
              <w:t>2</w:t>
            </w:r>
          </w:p>
        </w:tc>
        <w:tc>
          <w:tcPr>
            <w:tcW w:w="606" w:type="pct"/>
            <w:tcBorders>
              <w:top w:val="single" w:sz="4" w:space="0" w:color="7F7F7F" w:themeColor="text1" w:themeTint="80"/>
              <w:bottom w:val="single" w:sz="8" w:space="0" w:color="7F7F7F" w:themeColor="text1" w:themeTint="80"/>
            </w:tcBorders>
            <w:shd w:val="clear" w:color="auto" w:fill="auto"/>
          </w:tcPr>
          <w:p w14:paraId="5BC3A4F9" w14:textId="77777777" w:rsidR="0011129C" w:rsidRPr="008513CB" w:rsidRDefault="0011129C" w:rsidP="0011129C">
            <w:pPr>
              <w:autoSpaceDE w:val="0"/>
              <w:autoSpaceDN w:val="0"/>
              <w:adjustRightInd w:val="0"/>
              <w:jc w:val="center"/>
              <w:rPr>
                <w:rFonts w:eastAsia="Times New Roman" w:cs="Times New Roman"/>
                <w:lang w:eastAsia="cs-CZ"/>
              </w:rPr>
            </w:pPr>
            <w:r w:rsidRPr="008513CB">
              <w:rPr>
                <w:rFonts w:eastAsia="Times New Roman" w:cs="Times New Roman"/>
                <w:lang w:eastAsia="cs-CZ"/>
              </w:rPr>
              <w:t>3</w:t>
            </w:r>
          </w:p>
        </w:tc>
        <w:tc>
          <w:tcPr>
            <w:tcW w:w="609" w:type="pct"/>
            <w:tcBorders>
              <w:top w:val="single" w:sz="4" w:space="0" w:color="7F7F7F" w:themeColor="text1" w:themeTint="80"/>
              <w:bottom w:val="single" w:sz="8" w:space="0" w:color="7F7F7F" w:themeColor="text1" w:themeTint="80"/>
            </w:tcBorders>
            <w:shd w:val="clear" w:color="auto" w:fill="auto"/>
          </w:tcPr>
          <w:p w14:paraId="7B9CBD65" w14:textId="77777777" w:rsidR="0011129C" w:rsidRPr="008513CB" w:rsidRDefault="0011129C" w:rsidP="0011129C">
            <w:pPr>
              <w:autoSpaceDE w:val="0"/>
              <w:autoSpaceDN w:val="0"/>
              <w:adjustRightInd w:val="0"/>
              <w:jc w:val="center"/>
              <w:rPr>
                <w:rFonts w:eastAsia="Times New Roman" w:cs="Times New Roman"/>
                <w:lang w:eastAsia="cs-CZ"/>
              </w:rPr>
            </w:pPr>
            <w:r w:rsidRPr="008513CB">
              <w:rPr>
                <w:rFonts w:eastAsia="Times New Roman" w:cs="Times New Roman"/>
                <w:lang w:eastAsia="cs-CZ"/>
              </w:rPr>
              <w:t>4</w:t>
            </w:r>
          </w:p>
        </w:tc>
      </w:tr>
      <w:tr w:rsidR="0011129C" w:rsidRPr="003F730C" w14:paraId="28DC1245" w14:textId="77777777" w:rsidTr="0011129C">
        <w:trPr>
          <w:trHeight w:val="255"/>
        </w:trPr>
        <w:tc>
          <w:tcPr>
            <w:tcW w:w="2347" w:type="pct"/>
            <w:tcBorders>
              <w:top w:val="single" w:sz="8" w:space="0" w:color="7F7F7F" w:themeColor="text1" w:themeTint="80"/>
              <w:bottom w:val="single" w:sz="8" w:space="0" w:color="7F7F7F" w:themeColor="text1" w:themeTint="80"/>
            </w:tcBorders>
            <w:shd w:val="clear" w:color="auto" w:fill="auto"/>
          </w:tcPr>
          <w:p w14:paraId="67CB1C01" w14:textId="77777777" w:rsidR="0011129C" w:rsidRPr="008513CB" w:rsidRDefault="0011129C" w:rsidP="0011129C">
            <w:pPr>
              <w:autoSpaceDE w:val="0"/>
              <w:autoSpaceDN w:val="0"/>
              <w:adjustRightInd w:val="0"/>
              <w:rPr>
                <w:rFonts w:eastAsia="Times New Roman" w:cs="Times New Roman"/>
                <w:bCs/>
                <w:lang w:eastAsia="cs-CZ"/>
              </w:rPr>
            </w:pPr>
            <w:r w:rsidRPr="008513CB">
              <w:rPr>
                <w:rFonts w:eastAsia="Times New Roman" w:cs="Times New Roman"/>
                <w:b/>
                <w:bCs/>
                <w:lang w:eastAsia="cs-CZ"/>
              </w:rPr>
              <w:t xml:space="preserve">Neinvestiční příspěvek a transfery zřízeným PO </w:t>
            </w:r>
            <w:r w:rsidRPr="008513CB">
              <w:rPr>
                <w:rFonts w:eastAsia="Times New Roman" w:cs="Times New Roman"/>
                <w:bCs/>
                <w:lang w:eastAsia="cs-CZ"/>
              </w:rPr>
              <w:t>z toho:</w:t>
            </w:r>
          </w:p>
        </w:tc>
        <w:tc>
          <w:tcPr>
            <w:tcW w:w="757" w:type="pct"/>
            <w:tcBorders>
              <w:top w:val="single" w:sz="8" w:space="0" w:color="7F7F7F" w:themeColor="text1" w:themeTint="80"/>
              <w:bottom w:val="single" w:sz="8" w:space="0" w:color="7F7F7F" w:themeColor="text1" w:themeTint="80"/>
            </w:tcBorders>
            <w:shd w:val="clear" w:color="auto" w:fill="auto"/>
            <w:vAlign w:val="center"/>
          </w:tcPr>
          <w:p w14:paraId="75FE5064" w14:textId="77777777" w:rsidR="0011129C" w:rsidRPr="00B2170F" w:rsidRDefault="0011129C" w:rsidP="0011129C">
            <w:pPr>
              <w:autoSpaceDE w:val="0"/>
              <w:autoSpaceDN w:val="0"/>
              <w:adjustRightInd w:val="0"/>
              <w:spacing w:before="81"/>
              <w:jc w:val="right"/>
              <w:rPr>
                <w:rFonts w:eastAsia="Times New Roman" w:cs="Times New Roman"/>
                <w:b/>
                <w:bCs/>
                <w:color w:val="FF0000"/>
                <w:lang w:eastAsia="cs-CZ"/>
              </w:rPr>
            </w:pPr>
            <w:r w:rsidRPr="003F730C">
              <w:rPr>
                <w:rFonts w:eastAsia="Times New Roman" w:cs="Times New Roman"/>
                <w:b/>
                <w:bCs/>
                <w:lang w:eastAsia="cs-CZ"/>
              </w:rPr>
              <w:t>2 150</w:t>
            </w:r>
          </w:p>
        </w:tc>
        <w:tc>
          <w:tcPr>
            <w:tcW w:w="681" w:type="pct"/>
            <w:tcBorders>
              <w:top w:val="single" w:sz="8" w:space="0" w:color="7F7F7F" w:themeColor="text1" w:themeTint="80"/>
              <w:bottom w:val="single" w:sz="8" w:space="0" w:color="7F7F7F" w:themeColor="text1" w:themeTint="80"/>
            </w:tcBorders>
            <w:shd w:val="clear" w:color="auto" w:fill="auto"/>
            <w:vAlign w:val="center"/>
          </w:tcPr>
          <w:p w14:paraId="385EFA19" w14:textId="77777777" w:rsidR="0011129C" w:rsidRPr="003F730C" w:rsidRDefault="0011129C" w:rsidP="0011129C">
            <w:pPr>
              <w:autoSpaceDE w:val="0"/>
              <w:autoSpaceDN w:val="0"/>
              <w:adjustRightInd w:val="0"/>
              <w:spacing w:before="81"/>
              <w:jc w:val="right"/>
              <w:rPr>
                <w:rFonts w:eastAsia="Times New Roman" w:cs="Times New Roman"/>
                <w:b/>
                <w:bCs/>
                <w:lang w:eastAsia="cs-CZ"/>
              </w:rPr>
            </w:pPr>
            <w:r w:rsidRPr="003F730C">
              <w:rPr>
                <w:rFonts w:eastAsia="Times New Roman" w:cs="Times New Roman"/>
                <w:b/>
                <w:bCs/>
                <w:lang w:eastAsia="cs-CZ"/>
              </w:rPr>
              <w:t>44 071</w:t>
            </w:r>
          </w:p>
        </w:tc>
        <w:tc>
          <w:tcPr>
            <w:tcW w:w="606" w:type="pct"/>
            <w:tcBorders>
              <w:top w:val="single" w:sz="8" w:space="0" w:color="7F7F7F" w:themeColor="text1" w:themeTint="80"/>
              <w:bottom w:val="single" w:sz="8" w:space="0" w:color="7F7F7F" w:themeColor="text1" w:themeTint="80"/>
            </w:tcBorders>
            <w:shd w:val="clear" w:color="auto" w:fill="auto"/>
            <w:vAlign w:val="center"/>
          </w:tcPr>
          <w:p w14:paraId="2EAD6EF8" w14:textId="77777777" w:rsidR="0011129C" w:rsidRPr="003F730C" w:rsidRDefault="0011129C" w:rsidP="0011129C">
            <w:pPr>
              <w:autoSpaceDE w:val="0"/>
              <w:autoSpaceDN w:val="0"/>
              <w:adjustRightInd w:val="0"/>
              <w:spacing w:before="81"/>
              <w:jc w:val="right"/>
              <w:rPr>
                <w:rFonts w:eastAsia="Times New Roman" w:cs="Times New Roman"/>
                <w:b/>
                <w:bCs/>
                <w:lang w:eastAsia="cs-CZ"/>
              </w:rPr>
            </w:pPr>
            <w:r w:rsidRPr="003F730C">
              <w:rPr>
                <w:rFonts w:eastAsia="Times New Roman" w:cs="Times New Roman"/>
                <w:b/>
                <w:bCs/>
                <w:lang w:eastAsia="cs-CZ"/>
              </w:rPr>
              <w:t>33 113</w:t>
            </w:r>
          </w:p>
        </w:tc>
        <w:tc>
          <w:tcPr>
            <w:tcW w:w="609" w:type="pct"/>
            <w:tcBorders>
              <w:top w:val="single" w:sz="8" w:space="0" w:color="7F7F7F" w:themeColor="text1" w:themeTint="80"/>
              <w:bottom w:val="single" w:sz="8" w:space="0" w:color="7F7F7F" w:themeColor="text1" w:themeTint="80"/>
            </w:tcBorders>
            <w:shd w:val="clear" w:color="auto" w:fill="auto"/>
            <w:vAlign w:val="center"/>
          </w:tcPr>
          <w:p w14:paraId="4E86EA6C" w14:textId="77777777" w:rsidR="0011129C" w:rsidRPr="003F730C" w:rsidRDefault="0011129C" w:rsidP="0011129C">
            <w:pPr>
              <w:autoSpaceDE w:val="0"/>
              <w:autoSpaceDN w:val="0"/>
              <w:adjustRightInd w:val="0"/>
              <w:spacing w:before="81"/>
              <w:jc w:val="right"/>
              <w:rPr>
                <w:rFonts w:eastAsia="Times New Roman" w:cs="Times New Roman"/>
                <w:b/>
                <w:bCs/>
                <w:lang w:eastAsia="cs-CZ"/>
              </w:rPr>
            </w:pPr>
            <w:r w:rsidRPr="003F730C">
              <w:rPr>
                <w:rFonts w:eastAsia="Times New Roman" w:cs="Times New Roman"/>
                <w:b/>
                <w:bCs/>
                <w:lang w:eastAsia="cs-CZ"/>
              </w:rPr>
              <w:t>75,14</w:t>
            </w:r>
          </w:p>
        </w:tc>
      </w:tr>
      <w:tr w:rsidR="0011129C" w:rsidRPr="008513CB" w14:paraId="7EF69BED" w14:textId="77777777" w:rsidTr="0011129C">
        <w:trPr>
          <w:trHeight w:val="255"/>
        </w:trPr>
        <w:tc>
          <w:tcPr>
            <w:tcW w:w="2347" w:type="pct"/>
            <w:tcBorders>
              <w:top w:val="single" w:sz="8" w:space="0" w:color="7F7F7F" w:themeColor="text1" w:themeTint="80"/>
            </w:tcBorders>
            <w:shd w:val="clear" w:color="auto" w:fill="auto"/>
            <w:vAlign w:val="center"/>
          </w:tcPr>
          <w:p w14:paraId="1DB59D29" w14:textId="77777777" w:rsidR="0011129C" w:rsidRPr="008513CB" w:rsidRDefault="0011129C" w:rsidP="0011129C">
            <w:pPr>
              <w:autoSpaceDE w:val="0"/>
              <w:autoSpaceDN w:val="0"/>
              <w:adjustRightInd w:val="0"/>
              <w:rPr>
                <w:rFonts w:eastAsia="Times New Roman" w:cs="Times New Roman"/>
                <w:lang w:eastAsia="cs-CZ"/>
              </w:rPr>
            </w:pPr>
            <w:r w:rsidRPr="008513CB">
              <w:rPr>
                <w:rFonts w:eastAsia="Times New Roman" w:cs="Times New Roman"/>
                <w:lang w:eastAsia="cs-CZ"/>
              </w:rPr>
              <w:t xml:space="preserve">platy zaměstnanců a ostatní osobní náklady </w:t>
            </w:r>
          </w:p>
        </w:tc>
        <w:tc>
          <w:tcPr>
            <w:tcW w:w="757" w:type="pct"/>
            <w:tcBorders>
              <w:top w:val="single" w:sz="8" w:space="0" w:color="7F7F7F" w:themeColor="text1" w:themeTint="80"/>
            </w:tcBorders>
            <w:shd w:val="clear" w:color="auto" w:fill="auto"/>
            <w:vAlign w:val="center"/>
          </w:tcPr>
          <w:p w14:paraId="5B5AFB4B" w14:textId="77777777" w:rsidR="0011129C" w:rsidRPr="008513CB" w:rsidRDefault="0011129C" w:rsidP="0011129C">
            <w:pPr>
              <w:autoSpaceDE w:val="0"/>
              <w:autoSpaceDN w:val="0"/>
              <w:adjustRightInd w:val="0"/>
              <w:spacing w:before="81"/>
              <w:jc w:val="right"/>
              <w:rPr>
                <w:rFonts w:eastAsia="Times New Roman" w:cs="Times New Roman"/>
                <w:lang w:eastAsia="cs-CZ"/>
              </w:rPr>
            </w:pPr>
            <w:r w:rsidRPr="008513CB">
              <w:rPr>
                <w:rFonts w:eastAsia="Times New Roman" w:cs="Times New Roman"/>
                <w:lang w:eastAsia="cs-CZ"/>
              </w:rPr>
              <w:t>0</w:t>
            </w:r>
          </w:p>
        </w:tc>
        <w:tc>
          <w:tcPr>
            <w:tcW w:w="681" w:type="pct"/>
            <w:tcBorders>
              <w:top w:val="single" w:sz="8" w:space="0" w:color="7F7F7F" w:themeColor="text1" w:themeTint="80"/>
            </w:tcBorders>
            <w:shd w:val="clear" w:color="auto" w:fill="auto"/>
            <w:vAlign w:val="center"/>
          </w:tcPr>
          <w:p w14:paraId="4C675E70" w14:textId="77777777" w:rsidR="0011129C" w:rsidRPr="008513CB" w:rsidRDefault="0011129C" w:rsidP="0011129C">
            <w:pPr>
              <w:autoSpaceDE w:val="0"/>
              <w:autoSpaceDN w:val="0"/>
              <w:adjustRightInd w:val="0"/>
              <w:spacing w:before="81"/>
              <w:jc w:val="right"/>
              <w:rPr>
                <w:rFonts w:eastAsia="Times New Roman" w:cs="Times New Roman"/>
                <w:lang w:eastAsia="cs-CZ"/>
              </w:rPr>
            </w:pPr>
            <w:r w:rsidRPr="008513CB">
              <w:rPr>
                <w:rFonts w:eastAsia="Times New Roman" w:cs="Times New Roman"/>
                <w:lang w:eastAsia="cs-CZ"/>
              </w:rPr>
              <w:t>0</w:t>
            </w:r>
          </w:p>
        </w:tc>
        <w:tc>
          <w:tcPr>
            <w:tcW w:w="606" w:type="pct"/>
            <w:tcBorders>
              <w:top w:val="single" w:sz="8" w:space="0" w:color="7F7F7F" w:themeColor="text1" w:themeTint="80"/>
            </w:tcBorders>
            <w:shd w:val="clear" w:color="auto" w:fill="auto"/>
            <w:vAlign w:val="center"/>
          </w:tcPr>
          <w:p w14:paraId="349EC1A2" w14:textId="77777777" w:rsidR="0011129C" w:rsidRPr="008513CB" w:rsidRDefault="0011129C" w:rsidP="0011129C">
            <w:pPr>
              <w:autoSpaceDE w:val="0"/>
              <w:autoSpaceDN w:val="0"/>
              <w:adjustRightInd w:val="0"/>
              <w:spacing w:before="81"/>
              <w:jc w:val="right"/>
              <w:rPr>
                <w:rFonts w:eastAsia="Times New Roman" w:cs="Times New Roman"/>
                <w:lang w:eastAsia="cs-CZ"/>
              </w:rPr>
            </w:pPr>
            <w:r w:rsidRPr="008513CB">
              <w:rPr>
                <w:rFonts w:eastAsia="Times New Roman" w:cs="Times New Roman"/>
                <w:lang w:eastAsia="cs-CZ"/>
              </w:rPr>
              <w:t>0</w:t>
            </w:r>
          </w:p>
        </w:tc>
        <w:tc>
          <w:tcPr>
            <w:tcW w:w="609" w:type="pct"/>
            <w:tcBorders>
              <w:top w:val="single" w:sz="8" w:space="0" w:color="7F7F7F" w:themeColor="text1" w:themeTint="80"/>
            </w:tcBorders>
            <w:shd w:val="clear" w:color="auto" w:fill="auto"/>
            <w:vAlign w:val="center"/>
          </w:tcPr>
          <w:p w14:paraId="4977409D" w14:textId="77777777" w:rsidR="0011129C" w:rsidRPr="008513CB" w:rsidRDefault="0011129C" w:rsidP="0011129C">
            <w:pPr>
              <w:autoSpaceDE w:val="0"/>
              <w:autoSpaceDN w:val="0"/>
              <w:adjustRightInd w:val="0"/>
              <w:spacing w:before="81"/>
              <w:jc w:val="right"/>
              <w:rPr>
                <w:rFonts w:eastAsia="Times New Roman" w:cs="Times New Roman"/>
                <w:lang w:eastAsia="cs-CZ"/>
              </w:rPr>
            </w:pPr>
            <w:r w:rsidRPr="008513CB">
              <w:rPr>
                <w:rFonts w:eastAsia="Times New Roman" w:cs="Times New Roman"/>
                <w:lang w:eastAsia="cs-CZ"/>
              </w:rPr>
              <w:t>x</w:t>
            </w:r>
          </w:p>
        </w:tc>
      </w:tr>
      <w:tr w:rsidR="0011129C" w:rsidRPr="008513CB" w14:paraId="4DA533ED" w14:textId="77777777" w:rsidTr="0011129C">
        <w:trPr>
          <w:trHeight w:val="255"/>
        </w:trPr>
        <w:tc>
          <w:tcPr>
            <w:tcW w:w="2347" w:type="pct"/>
            <w:shd w:val="clear" w:color="auto" w:fill="auto"/>
          </w:tcPr>
          <w:p w14:paraId="55C8CB95" w14:textId="77777777" w:rsidR="0011129C" w:rsidRPr="008513CB" w:rsidRDefault="0011129C" w:rsidP="0011129C">
            <w:pPr>
              <w:autoSpaceDE w:val="0"/>
              <w:autoSpaceDN w:val="0"/>
              <w:adjustRightInd w:val="0"/>
              <w:rPr>
                <w:rFonts w:eastAsia="Times New Roman" w:cs="Times New Roman"/>
                <w:lang w:eastAsia="cs-CZ"/>
              </w:rPr>
            </w:pPr>
            <w:r w:rsidRPr="008513CB">
              <w:rPr>
                <w:rFonts w:eastAsia="Times New Roman" w:cs="Times New Roman"/>
                <w:lang w:eastAsia="cs-CZ"/>
              </w:rPr>
              <w:t>povinné pojistné placené zaměstnavatelem</w:t>
            </w:r>
          </w:p>
        </w:tc>
        <w:tc>
          <w:tcPr>
            <w:tcW w:w="757" w:type="pct"/>
            <w:shd w:val="clear" w:color="auto" w:fill="auto"/>
            <w:vAlign w:val="center"/>
          </w:tcPr>
          <w:p w14:paraId="1336EFF8"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0</w:t>
            </w:r>
          </w:p>
        </w:tc>
        <w:tc>
          <w:tcPr>
            <w:tcW w:w="681" w:type="pct"/>
            <w:shd w:val="clear" w:color="auto" w:fill="auto"/>
            <w:vAlign w:val="center"/>
          </w:tcPr>
          <w:p w14:paraId="3DA0B298"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0</w:t>
            </w:r>
          </w:p>
        </w:tc>
        <w:tc>
          <w:tcPr>
            <w:tcW w:w="606" w:type="pct"/>
            <w:shd w:val="clear" w:color="auto" w:fill="auto"/>
            <w:vAlign w:val="center"/>
          </w:tcPr>
          <w:p w14:paraId="58F03F38"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0</w:t>
            </w:r>
          </w:p>
        </w:tc>
        <w:tc>
          <w:tcPr>
            <w:tcW w:w="609" w:type="pct"/>
            <w:shd w:val="clear" w:color="auto" w:fill="auto"/>
            <w:vAlign w:val="center"/>
          </w:tcPr>
          <w:p w14:paraId="13B6248F"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x</w:t>
            </w:r>
          </w:p>
        </w:tc>
      </w:tr>
      <w:tr w:rsidR="0011129C" w:rsidRPr="008513CB" w14:paraId="7C5FCCCC" w14:textId="77777777" w:rsidTr="0011129C">
        <w:trPr>
          <w:trHeight w:val="255"/>
        </w:trPr>
        <w:tc>
          <w:tcPr>
            <w:tcW w:w="2347" w:type="pct"/>
            <w:shd w:val="clear" w:color="auto" w:fill="auto"/>
          </w:tcPr>
          <w:p w14:paraId="55C5EADB" w14:textId="77777777" w:rsidR="0011129C" w:rsidRPr="008513CB" w:rsidRDefault="0011129C" w:rsidP="0011129C">
            <w:pPr>
              <w:autoSpaceDE w:val="0"/>
              <w:autoSpaceDN w:val="0"/>
              <w:adjustRightInd w:val="0"/>
              <w:rPr>
                <w:rFonts w:eastAsia="Times New Roman" w:cs="Times New Roman"/>
                <w:lang w:eastAsia="cs-CZ"/>
              </w:rPr>
            </w:pPr>
            <w:r w:rsidRPr="008513CB">
              <w:rPr>
                <w:rFonts w:eastAsia="Times New Roman" w:cs="Times New Roman"/>
                <w:lang w:eastAsia="cs-CZ"/>
              </w:rPr>
              <w:t>příděl FKSP</w:t>
            </w:r>
          </w:p>
        </w:tc>
        <w:tc>
          <w:tcPr>
            <w:tcW w:w="757" w:type="pct"/>
            <w:shd w:val="clear" w:color="auto" w:fill="auto"/>
            <w:vAlign w:val="center"/>
          </w:tcPr>
          <w:p w14:paraId="24CFB2A5"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0</w:t>
            </w:r>
          </w:p>
        </w:tc>
        <w:tc>
          <w:tcPr>
            <w:tcW w:w="681" w:type="pct"/>
            <w:shd w:val="clear" w:color="auto" w:fill="auto"/>
            <w:vAlign w:val="center"/>
          </w:tcPr>
          <w:p w14:paraId="4F052AAC"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0</w:t>
            </w:r>
          </w:p>
        </w:tc>
        <w:tc>
          <w:tcPr>
            <w:tcW w:w="606" w:type="pct"/>
            <w:shd w:val="clear" w:color="auto" w:fill="auto"/>
            <w:vAlign w:val="center"/>
          </w:tcPr>
          <w:p w14:paraId="1442F44F"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0</w:t>
            </w:r>
          </w:p>
        </w:tc>
        <w:tc>
          <w:tcPr>
            <w:tcW w:w="609" w:type="pct"/>
            <w:shd w:val="clear" w:color="auto" w:fill="auto"/>
            <w:vAlign w:val="center"/>
          </w:tcPr>
          <w:p w14:paraId="67A33CC9" w14:textId="77777777" w:rsidR="0011129C" w:rsidRPr="008513CB" w:rsidRDefault="0011129C" w:rsidP="0011129C">
            <w:pPr>
              <w:autoSpaceDE w:val="0"/>
              <w:autoSpaceDN w:val="0"/>
              <w:adjustRightInd w:val="0"/>
              <w:jc w:val="right"/>
              <w:rPr>
                <w:rFonts w:eastAsia="Times New Roman" w:cs="Times New Roman"/>
                <w:lang w:eastAsia="cs-CZ"/>
              </w:rPr>
            </w:pPr>
            <w:r w:rsidRPr="008513CB">
              <w:rPr>
                <w:rFonts w:eastAsia="Times New Roman" w:cs="Times New Roman"/>
                <w:lang w:eastAsia="cs-CZ"/>
              </w:rPr>
              <w:t>x</w:t>
            </w:r>
          </w:p>
        </w:tc>
      </w:tr>
      <w:tr w:rsidR="0011129C" w:rsidRPr="008513CB" w14:paraId="5EABC14F" w14:textId="77777777" w:rsidTr="0011129C">
        <w:trPr>
          <w:trHeight w:val="255"/>
        </w:trPr>
        <w:tc>
          <w:tcPr>
            <w:tcW w:w="2347" w:type="pct"/>
            <w:shd w:val="clear" w:color="auto" w:fill="auto"/>
          </w:tcPr>
          <w:p w14:paraId="0240AFE4" w14:textId="77777777" w:rsidR="0011129C" w:rsidRPr="008513CB" w:rsidRDefault="0011129C" w:rsidP="0011129C">
            <w:pPr>
              <w:autoSpaceDE w:val="0"/>
              <w:autoSpaceDN w:val="0"/>
              <w:adjustRightInd w:val="0"/>
              <w:jc w:val="left"/>
              <w:rPr>
                <w:rFonts w:eastAsia="Times New Roman" w:cs="Times New Roman"/>
                <w:lang w:eastAsia="cs-CZ"/>
              </w:rPr>
            </w:pPr>
            <w:r w:rsidRPr="008513CB">
              <w:rPr>
                <w:rFonts w:eastAsia="Times New Roman" w:cs="Times New Roman"/>
                <w:lang w:eastAsia="cs-CZ"/>
              </w:rPr>
              <w:t xml:space="preserve">dotace na neinvestiční náklady </w:t>
            </w:r>
            <w:proofErr w:type="gramStart"/>
            <w:r w:rsidRPr="008513CB">
              <w:rPr>
                <w:rFonts w:eastAsia="Times New Roman" w:cs="Times New Roman"/>
                <w:lang w:eastAsia="cs-CZ"/>
              </w:rPr>
              <w:t>související s financ</w:t>
            </w:r>
            <w:proofErr w:type="gramEnd"/>
            <w:r w:rsidRPr="008513CB">
              <w:rPr>
                <w:rFonts w:eastAsia="Times New Roman" w:cs="Times New Roman"/>
                <w:lang w:eastAsia="cs-CZ"/>
              </w:rPr>
              <w:t>. programů evidovaných v EDS/SMVS</w:t>
            </w:r>
          </w:p>
        </w:tc>
        <w:tc>
          <w:tcPr>
            <w:tcW w:w="757" w:type="pct"/>
            <w:shd w:val="clear" w:color="auto" w:fill="auto"/>
            <w:vAlign w:val="center"/>
          </w:tcPr>
          <w:p w14:paraId="06A86206" w14:textId="77777777" w:rsidR="0011129C" w:rsidRPr="008513CB" w:rsidRDefault="0011129C" w:rsidP="0011129C">
            <w:pPr>
              <w:autoSpaceDE w:val="0"/>
              <w:autoSpaceDN w:val="0"/>
              <w:adjustRightInd w:val="0"/>
              <w:spacing w:before="81"/>
              <w:jc w:val="right"/>
              <w:rPr>
                <w:rFonts w:eastAsia="Times New Roman" w:cs="Times New Roman"/>
                <w:lang w:eastAsia="cs-CZ"/>
              </w:rPr>
            </w:pPr>
            <w:r w:rsidRPr="008513CB">
              <w:rPr>
                <w:rFonts w:eastAsia="Times New Roman" w:cs="Times New Roman"/>
                <w:lang w:eastAsia="cs-CZ"/>
              </w:rPr>
              <w:t>0</w:t>
            </w:r>
          </w:p>
        </w:tc>
        <w:tc>
          <w:tcPr>
            <w:tcW w:w="681" w:type="pct"/>
            <w:shd w:val="clear" w:color="auto" w:fill="auto"/>
            <w:vAlign w:val="center"/>
          </w:tcPr>
          <w:p w14:paraId="04C52966" w14:textId="77777777" w:rsidR="0011129C" w:rsidRPr="008513CB" w:rsidRDefault="0011129C" w:rsidP="0011129C">
            <w:pPr>
              <w:autoSpaceDE w:val="0"/>
              <w:autoSpaceDN w:val="0"/>
              <w:adjustRightInd w:val="0"/>
              <w:spacing w:before="81"/>
              <w:jc w:val="right"/>
              <w:rPr>
                <w:rFonts w:eastAsia="Times New Roman" w:cs="Times New Roman"/>
                <w:lang w:eastAsia="cs-CZ"/>
              </w:rPr>
            </w:pPr>
            <w:r w:rsidRPr="008513CB">
              <w:rPr>
                <w:rFonts w:eastAsia="Times New Roman" w:cs="Times New Roman"/>
                <w:lang w:eastAsia="cs-CZ"/>
              </w:rPr>
              <w:t>571</w:t>
            </w:r>
          </w:p>
        </w:tc>
        <w:tc>
          <w:tcPr>
            <w:tcW w:w="606" w:type="pct"/>
            <w:shd w:val="clear" w:color="auto" w:fill="auto"/>
            <w:vAlign w:val="center"/>
          </w:tcPr>
          <w:p w14:paraId="1AD1CE6B" w14:textId="77777777" w:rsidR="0011129C" w:rsidRPr="008513CB" w:rsidRDefault="0011129C" w:rsidP="0011129C">
            <w:pPr>
              <w:autoSpaceDE w:val="0"/>
              <w:autoSpaceDN w:val="0"/>
              <w:adjustRightInd w:val="0"/>
              <w:spacing w:before="81"/>
              <w:jc w:val="right"/>
              <w:rPr>
                <w:rFonts w:eastAsia="Times New Roman" w:cs="Times New Roman"/>
                <w:lang w:eastAsia="cs-CZ"/>
              </w:rPr>
            </w:pPr>
            <w:r>
              <w:rPr>
                <w:rFonts w:eastAsia="Times New Roman" w:cs="Times New Roman"/>
                <w:lang w:eastAsia="cs-CZ"/>
              </w:rPr>
              <w:t>480</w:t>
            </w:r>
          </w:p>
        </w:tc>
        <w:tc>
          <w:tcPr>
            <w:tcW w:w="609" w:type="pct"/>
            <w:shd w:val="clear" w:color="auto" w:fill="auto"/>
            <w:vAlign w:val="center"/>
          </w:tcPr>
          <w:p w14:paraId="7DE89512" w14:textId="77777777" w:rsidR="0011129C" w:rsidRPr="008513CB" w:rsidRDefault="0011129C" w:rsidP="0011129C">
            <w:pPr>
              <w:autoSpaceDE w:val="0"/>
              <w:autoSpaceDN w:val="0"/>
              <w:adjustRightInd w:val="0"/>
              <w:spacing w:before="81"/>
              <w:jc w:val="right"/>
              <w:rPr>
                <w:rFonts w:eastAsia="Times New Roman" w:cs="Times New Roman"/>
                <w:lang w:eastAsia="cs-CZ"/>
              </w:rPr>
            </w:pPr>
            <w:r>
              <w:rPr>
                <w:rFonts w:eastAsia="Times New Roman" w:cs="Times New Roman"/>
                <w:lang w:eastAsia="cs-CZ"/>
              </w:rPr>
              <w:t>84,06</w:t>
            </w:r>
          </w:p>
        </w:tc>
      </w:tr>
    </w:tbl>
    <w:p w14:paraId="18C09840" w14:textId="179427E0" w:rsidR="0011129C" w:rsidRPr="008513CB" w:rsidRDefault="00FE379D" w:rsidP="0011129C">
      <w:pPr>
        <w:pStyle w:val="Styl1"/>
      </w:pPr>
      <w:r>
        <w:t>P</w:t>
      </w:r>
      <w:r w:rsidR="0011129C" w:rsidRPr="008513CB">
        <w:t>rostředky ve výši 3</w:t>
      </w:r>
      <w:r w:rsidR="0011129C">
        <w:t>2</w:t>
      </w:r>
      <w:r w:rsidR="0011129C" w:rsidRPr="008513CB">
        <w:t xml:space="preserve"> </w:t>
      </w:r>
      <w:r w:rsidR="0011129C">
        <w:t>633</w:t>
      </w:r>
      <w:r w:rsidR="0011129C" w:rsidRPr="008513CB">
        <w:t xml:space="preserve"> tis. Kč </w:t>
      </w:r>
      <w:r w:rsidR="00BD2A3D">
        <w:t xml:space="preserve"> (prostředky SR) </w:t>
      </w:r>
      <w:r w:rsidR="0011129C" w:rsidRPr="008513CB">
        <w:t xml:space="preserve">jsou určeny zejména </w:t>
      </w:r>
      <w:r w:rsidR="0011129C">
        <w:t xml:space="preserve"> </w:t>
      </w:r>
      <w:r w:rsidR="0011129C" w:rsidRPr="008513CB">
        <w:t>na</w:t>
      </w:r>
      <w:r w:rsidR="0011129C">
        <w:t xml:space="preserve"> úhradu </w:t>
      </w:r>
      <w:r w:rsidR="0011129C" w:rsidRPr="008513CB">
        <w:t xml:space="preserve">odvodů za porušení rozpočtové kázně, výdajů souvisejících s transformací ŘSD ČR a na </w:t>
      </w:r>
      <w:r w:rsidR="0011129C">
        <w:t xml:space="preserve"> zajištění správy a provozu </w:t>
      </w:r>
      <w:r w:rsidR="0011129C" w:rsidRPr="008513CB">
        <w:t>Výcvikové středisko v</w:t>
      </w:r>
      <w:r w:rsidR="0011129C">
        <w:t> </w:t>
      </w:r>
      <w:r w:rsidR="0011129C" w:rsidRPr="008513CB">
        <w:t>Kojetíně</w:t>
      </w:r>
      <w:r w:rsidR="0011129C">
        <w:t xml:space="preserve">. </w:t>
      </w:r>
    </w:p>
    <w:p w14:paraId="22077B98" w14:textId="477F8A72" w:rsidR="0011129C" w:rsidRPr="0088307E" w:rsidRDefault="0011129C" w:rsidP="0088307E">
      <w:pPr>
        <w:pStyle w:val="Styl1"/>
        <w:rPr>
          <w:rFonts w:eastAsiaTheme="minorHAnsi" w:cstheme="minorBidi"/>
          <w:szCs w:val="22"/>
        </w:rPr>
      </w:pPr>
      <w:r w:rsidRPr="008513CB">
        <w:t>Prostředky ve výši 480 tis. Kč (prostředky EU) jsou určen</w:t>
      </w:r>
      <w:r w:rsidR="005C67B9">
        <w:t>y</w:t>
      </w:r>
      <w:r w:rsidRPr="008513CB">
        <w:t xml:space="preserve"> v rámci Operačního programu Podnikaní a inovace pro konkurenceschopnost na financování projektu „Digitální </w:t>
      </w:r>
      <w:r w:rsidRPr="003F730C">
        <w:t>mapa ŘSD ČR“</w:t>
      </w:r>
      <w:r>
        <w:t xml:space="preserve"> (program 127 06 „Rozvoj a obnova materiálně-technické základny MD - SFDI, PO“)</w:t>
      </w:r>
      <w:r w:rsidRPr="003F730C">
        <w:t>.</w:t>
      </w:r>
    </w:p>
    <w:p w14:paraId="29401AEF" w14:textId="77777777" w:rsidR="008C2FA3" w:rsidRPr="00906739" w:rsidRDefault="008C2FA3" w:rsidP="008C2FA3">
      <w:pPr>
        <w:pStyle w:val="Nadpis3"/>
      </w:pPr>
      <w:bookmarkStart w:id="167" w:name="_Toc115787202"/>
      <w:bookmarkStart w:id="168" w:name="_Toc115787792"/>
      <w:bookmarkStart w:id="169" w:name="_Toc115787203"/>
      <w:bookmarkStart w:id="170" w:name="_Toc115787793"/>
      <w:bookmarkStart w:id="171" w:name="_Toc115787794"/>
      <w:bookmarkStart w:id="172" w:name="_Toc242513757"/>
      <w:bookmarkStart w:id="173" w:name="_Toc462314399"/>
      <w:bookmarkEnd w:id="167"/>
      <w:bookmarkEnd w:id="168"/>
      <w:bookmarkEnd w:id="169"/>
      <w:bookmarkEnd w:id="170"/>
      <w:bookmarkEnd w:id="164"/>
      <w:bookmarkEnd w:id="165"/>
      <w:bookmarkEnd w:id="166"/>
      <w:r w:rsidRPr="00906739">
        <w:t>Neinvestiční transfery ostatním příspěvkovým a podobným organizacím</w:t>
      </w:r>
      <w:bookmarkEnd w:id="171"/>
      <w:r w:rsidRPr="00906739">
        <w:t xml:space="preserve"> </w:t>
      </w:r>
    </w:p>
    <w:p w14:paraId="7CB775D9" w14:textId="77777777" w:rsidR="00572CFE" w:rsidRPr="003F730C" w:rsidRDefault="00572CFE" w:rsidP="00572CFE">
      <w:pPr>
        <w:pStyle w:val="Styl1"/>
      </w:pPr>
      <w:r w:rsidRPr="003F730C">
        <w:t xml:space="preserve">V návrhu rozpočtu kapitoly 327 Ministerstvo dopravy pro rok 2023 jsou rovněž zařazeny neinvestiční transfery veřejným výzkumným institucím. Tyto transfery jsou určeny </w:t>
      </w:r>
      <w:r w:rsidRPr="003F730C">
        <w:br/>
        <w:t xml:space="preserve">pro Centrum dopravního výzkumu, </w:t>
      </w:r>
      <w:proofErr w:type="spellStart"/>
      <w:proofErr w:type="gramStart"/>
      <w:r w:rsidRPr="003F730C">
        <w:t>v.v.</w:t>
      </w:r>
      <w:proofErr w:type="gramEnd"/>
      <w:r w:rsidRPr="003F730C">
        <w:t>i</w:t>
      </w:r>
      <w:proofErr w:type="spellEnd"/>
      <w:r w:rsidRPr="003F730C">
        <w:t xml:space="preserve">.  </w:t>
      </w:r>
    </w:p>
    <w:p w14:paraId="2E614840" w14:textId="052ABD18" w:rsidR="008C2FA3" w:rsidRPr="00E8518E" w:rsidRDefault="00572CFE" w:rsidP="005B5118">
      <w:pPr>
        <w:pStyle w:val="Styl1"/>
        <w:rPr>
          <w:color w:val="FF0000"/>
        </w:rPr>
      </w:pPr>
      <w:r w:rsidRPr="003F730C">
        <w:t xml:space="preserve">Veřejná výzkumná </w:t>
      </w:r>
      <w:proofErr w:type="gramStart"/>
      <w:r w:rsidRPr="003F730C">
        <w:t>instituce</w:t>
      </w:r>
      <w:proofErr w:type="gramEnd"/>
      <w:r w:rsidRPr="003F730C">
        <w:t xml:space="preserve"> Centrum dopravního výzkumu provádí </w:t>
      </w:r>
      <w:proofErr w:type="gramStart"/>
      <w:r w:rsidRPr="003F730C">
        <w:t>výzkum</w:t>
      </w:r>
      <w:proofErr w:type="gramEnd"/>
      <w:r w:rsidRPr="003F730C">
        <w:t>, zabezpečuje expertní a servisní činnosti v oblasti výzkumu pro Ministerstvo dopravy a další organizační složky státu nebo územní samosprávné celky. Její činnost je zaměřena na základní, aplikovaný a průmyslový výzkum.</w:t>
      </w:r>
    </w:p>
    <w:p w14:paraId="651D9604" w14:textId="55E3E14A" w:rsidR="008C2FA3" w:rsidRPr="0088307E" w:rsidRDefault="008C2FA3" w:rsidP="008C2FA3">
      <w:pPr>
        <w:pStyle w:val="Titulek"/>
      </w:pPr>
      <w:r w:rsidRPr="00906739">
        <w:t xml:space="preserve">Tabulka č. </w:t>
      </w:r>
      <w:fldSimple w:instr=" SEQ Tabulka \* ARABIC ">
        <w:r w:rsidR="00F80947">
          <w:rPr>
            <w:noProof/>
          </w:rPr>
          <w:t>19</w:t>
        </w:r>
      </w:fldSimple>
      <w:r w:rsidRPr="00906739">
        <w:rPr>
          <w:noProof/>
        </w:rPr>
        <w:t xml:space="preserve"> Neivestiční transfery </w:t>
      </w:r>
      <w:r w:rsidR="00906739" w:rsidRPr="00906739">
        <w:rPr>
          <w:noProof/>
        </w:rPr>
        <w:t>ostatním příspěvkovým a podobným organizacím</w:t>
      </w:r>
      <w:r w:rsidRPr="00906739">
        <w:rPr>
          <w:noProof/>
        </w:rPr>
        <w:t xml:space="preserve"> (v tis. Kč)</w:t>
      </w:r>
    </w:p>
    <w:tbl>
      <w:tblPr>
        <w:tblStyle w:val="Svtltabulkasmkou1zvraznn5"/>
        <w:tblW w:w="9062"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40"/>
        <w:gridCol w:w="1361"/>
        <w:gridCol w:w="1260"/>
        <w:gridCol w:w="1304"/>
        <w:gridCol w:w="997"/>
      </w:tblGrid>
      <w:tr w:rsidR="00E8518E" w:rsidRPr="00E8518E" w14:paraId="6A356BEB" w14:textId="77777777" w:rsidTr="000817C4">
        <w:tc>
          <w:tcPr>
            <w:tcW w:w="414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B10FE55"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F9C56B"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Skutečnost</w:t>
            </w:r>
          </w:p>
          <w:p w14:paraId="2A1758BD" w14:textId="53A4FD83" w:rsidR="008C2FA3" w:rsidRPr="0088307E" w:rsidRDefault="00572CFE" w:rsidP="000817C4">
            <w:pPr>
              <w:jc w:val="center"/>
              <w:rPr>
                <w:rFonts w:eastAsia="Times New Roman" w:cs="Times New Roman"/>
                <w:b/>
                <w:szCs w:val="24"/>
                <w:lang w:eastAsia="cs-CZ"/>
              </w:rPr>
            </w:pPr>
            <w:r w:rsidRPr="0088307E">
              <w:rPr>
                <w:rFonts w:eastAsia="Times New Roman" w:cs="Times New Roman"/>
                <w:b/>
                <w:szCs w:val="24"/>
                <w:lang w:eastAsia="cs-CZ"/>
              </w:rPr>
              <w:t>2021</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CB40D58"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Schválený</w:t>
            </w:r>
          </w:p>
          <w:p w14:paraId="0270DC23"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rozpočet</w:t>
            </w:r>
          </w:p>
          <w:p w14:paraId="3EB9E529" w14:textId="7B9E627A" w:rsidR="008C2FA3" w:rsidRPr="0088307E" w:rsidRDefault="00572CFE" w:rsidP="000817C4">
            <w:pPr>
              <w:jc w:val="center"/>
              <w:rPr>
                <w:rFonts w:eastAsia="Times New Roman" w:cs="Times New Roman"/>
                <w:b/>
                <w:szCs w:val="24"/>
                <w:lang w:eastAsia="cs-CZ"/>
              </w:rPr>
            </w:pPr>
            <w:r w:rsidRPr="0088307E">
              <w:rPr>
                <w:rFonts w:eastAsia="Times New Roman" w:cs="Times New Roman"/>
                <w:b/>
                <w:szCs w:val="24"/>
                <w:lang w:eastAsia="cs-CZ"/>
              </w:rPr>
              <w:t>2022</w:t>
            </w:r>
          </w:p>
        </w:tc>
        <w:tc>
          <w:tcPr>
            <w:tcW w:w="130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992372"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Návrh</w:t>
            </w:r>
          </w:p>
          <w:p w14:paraId="19F1BD2F"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rozpočtu</w:t>
            </w:r>
          </w:p>
          <w:p w14:paraId="69F375C9" w14:textId="0634E500" w:rsidR="008C2FA3" w:rsidRPr="0088307E" w:rsidRDefault="00572CFE" w:rsidP="000817C4">
            <w:pPr>
              <w:jc w:val="center"/>
              <w:rPr>
                <w:rFonts w:eastAsia="Times New Roman" w:cs="Times New Roman"/>
                <w:b/>
                <w:szCs w:val="24"/>
                <w:lang w:eastAsia="cs-CZ"/>
              </w:rPr>
            </w:pPr>
            <w:r w:rsidRPr="0088307E">
              <w:rPr>
                <w:rFonts w:eastAsia="Times New Roman" w:cs="Times New Roman"/>
                <w:b/>
                <w:szCs w:val="24"/>
                <w:lang w:eastAsia="cs-CZ"/>
              </w:rPr>
              <w:t>2023</w:t>
            </w:r>
          </w:p>
        </w:tc>
        <w:tc>
          <w:tcPr>
            <w:tcW w:w="99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BFA8553"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Index</w:t>
            </w:r>
          </w:p>
          <w:p w14:paraId="14D98ACF" w14:textId="17A4FC7B" w:rsidR="008C2FA3" w:rsidRPr="0088307E" w:rsidRDefault="00572CFE" w:rsidP="000817C4">
            <w:pPr>
              <w:jc w:val="center"/>
              <w:rPr>
                <w:rFonts w:eastAsia="Times New Roman" w:cs="Times New Roman"/>
                <w:b/>
                <w:szCs w:val="24"/>
                <w:lang w:eastAsia="cs-CZ"/>
              </w:rPr>
            </w:pPr>
            <w:r w:rsidRPr="0088307E">
              <w:rPr>
                <w:rFonts w:eastAsia="Times New Roman" w:cs="Times New Roman"/>
                <w:b/>
                <w:szCs w:val="24"/>
                <w:lang w:eastAsia="cs-CZ"/>
              </w:rPr>
              <w:t>2023</w:t>
            </w:r>
            <w:r w:rsidR="008C2FA3" w:rsidRPr="0088307E">
              <w:rPr>
                <w:rFonts w:eastAsia="Times New Roman" w:cs="Times New Roman"/>
                <w:b/>
                <w:szCs w:val="24"/>
                <w:lang w:eastAsia="cs-CZ"/>
              </w:rPr>
              <w:t>/</w:t>
            </w:r>
            <w:r w:rsidR="008C2FA3" w:rsidRPr="0088307E">
              <w:rPr>
                <w:rFonts w:eastAsia="Times New Roman" w:cs="Times New Roman"/>
                <w:b/>
                <w:szCs w:val="24"/>
                <w:lang w:eastAsia="cs-CZ"/>
              </w:rPr>
              <w:br/>
            </w:r>
            <w:r w:rsidRPr="0088307E">
              <w:rPr>
                <w:rFonts w:eastAsia="Times New Roman" w:cs="Times New Roman"/>
                <w:b/>
                <w:szCs w:val="24"/>
                <w:lang w:eastAsia="cs-CZ"/>
              </w:rPr>
              <w:t>2022</w:t>
            </w:r>
          </w:p>
          <w:p w14:paraId="78AEEFE0" w14:textId="77777777" w:rsidR="008C2FA3" w:rsidRPr="0088307E" w:rsidRDefault="008C2FA3" w:rsidP="000817C4">
            <w:pPr>
              <w:jc w:val="center"/>
              <w:rPr>
                <w:rFonts w:eastAsia="Times New Roman" w:cs="Times New Roman"/>
                <w:b/>
                <w:szCs w:val="24"/>
                <w:lang w:eastAsia="cs-CZ"/>
              </w:rPr>
            </w:pPr>
            <w:r w:rsidRPr="0088307E">
              <w:rPr>
                <w:rFonts w:eastAsia="Times New Roman" w:cs="Times New Roman"/>
                <w:b/>
                <w:szCs w:val="24"/>
                <w:lang w:eastAsia="cs-CZ"/>
              </w:rPr>
              <w:t>(v %)</w:t>
            </w:r>
          </w:p>
        </w:tc>
      </w:tr>
      <w:tr w:rsidR="00E8518E" w:rsidRPr="00E8518E" w14:paraId="03FDECBF" w14:textId="77777777" w:rsidTr="000817C4">
        <w:tc>
          <w:tcPr>
            <w:tcW w:w="4140" w:type="dxa"/>
            <w:tcBorders>
              <w:top w:val="single" w:sz="4" w:space="0" w:color="7F7F7F" w:themeColor="text1" w:themeTint="80"/>
            </w:tcBorders>
            <w:shd w:val="clear" w:color="auto" w:fill="auto"/>
          </w:tcPr>
          <w:p w14:paraId="1E7A06D7" w14:textId="77777777" w:rsidR="008C2FA3" w:rsidRPr="0088307E" w:rsidRDefault="008C2FA3" w:rsidP="000817C4">
            <w:pPr>
              <w:jc w:val="center"/>
              <w:rPr>
                <w:rFonts w:eastAsia="Times New Roman" w:cs="Times New Roman"/>
                <w:szCs w:val="24"/>
                <w:lang w:eastAsia="cs-CZ"/>
              </w:rPr>
            </w:pPr>
            <w:r w:rsidRPr="0088307E">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14:paraId="4A65323B" w14:textId="77777777" w:rsidR="008C2FA3" w:rsidRPr="0088307E" w:rsidRDefault="008C2FA3" w:rsidP="000817C4">
            <w:pPr>
              <w:jc w:val="center"/>
              <w:rPr>
                <w:rFonts w:eastAsia="Times New Roman" w:cs="Times New Roman"/>
                <w:szCs w:val="24"/>
                <w:lang w:eastAsia="cs-CZ"/>
              </w:rPr>
            </w:pPr>
            <w:r w:rsidRPr="0088307E">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14:paraId="2744F041" w14:textId="77777777" w:rsidR="008C2FA3" w:rsidRPr="0088307E" w:rsidRDefault="008C2FA3" w:rsidP="000817C4">
            <w:pPr>
              <w:jc w:val="center"/>
              <w:rPr>
                <w:rFonts w:eastAsia="Times New Roman" w:cs="Times New Roman"/>
                <w:szCs w:val="24"/>
                <w:lang w:eastAsia="cs-CZ"/>
              </w:rPr>
            </w:pPr>
            <w:r w:rsidRPr="0088307E">
              <w:rPr>
                <w:rFonts w:eastAsia="Times New Roman" w:cs="Times New Roman"/>
                <w:szCs w:val="24"/>
                <w:lang w:eastAsia="cs-CZ"/>
              </w:rPr>
              <w:t>2</w:t>
            </w:r>
          </w:p>
        </w:tc>
        <w:tc>
          <w:tcPr>
            <w:tcW w:w="1304" w:type="dxa"/>
            <w:tcBorders>
              <w:top w:val="single" w:sz="4" w:space="0" w:color="7F7F7F" w:themeColor="text1" w:themeTint="80"/>
            </w:tcBorders>
            <w:shd w:val="clear" w:color="auto" w:fill="auto"/>
          </w:tcPr>
          <w:p w14:paraId="1AC1B9E5" w14:textId="77777777" w:rsidR="008C2FA3" w:rsidRPr="0088307E" w:rsidRDefault="008C2FA3" w:rsidP="000817C4">
            <w:pPr>
              <w:jc w:val="center"/>
              <w:rPr>
                <w:rFonts w:eastAsia="Times New Roman" w:cs="Times New Roman"/>
                <w:szCs w:val="24"/>
                <w:lang w:eastAsia="cs-CZ"/>
              </w:rPr>
            </w:pPr>
            <w:r w:rsidRPr="0088307E">
              <w:rPr>
                <w:rFonts w:eastAsia="Times New Roman" w:cs="Times New Roman"/>
                <w:szCs w:val="24"/>
                <w:lang w:eastAsia="cs-CZ"/>
              </w:rPr>
              <w:t>3</w:t>
            </w:r>
          </w:p>
        </w:tc>
        <w:tc>
          <w:tcPr>
            <w:tcW w:w="997" w:type="dxa"/>
            <w:tcBorders>
              <w:top w:val="single" w:sz="4" w:space="0" w:color="7F7F7F" w:themeColor="text1" w:themeTint="80"/>
            </w:tcBorders>
            <w:shd w:val="clear" w:color="auto" w:fill="auto"/>
          </w:tcPr>
          <w:p w14:paraId="15053639" w14:textId="77777777" w:rsidR="008C2FA3" w:rsidRPr="0088307E" w:rsidRDefault="008C2FA3" w:rsidP="000817C4">
            <w:pPr>
              <w:jc w:val="center"/>
              <w:rPr>
                <w:rFonts w:eastAsia="Times New Roman" w:cs="Times New Roman"/>
                <w:szCs w:val="24"/>
                <w:lang w:eastAsia="cs-CZ"/>
              </w:rPr>
            </w:pPr>
            <w:r w:rsidRPr="0088307E">
              <w:rPr>
                <w:rFonts w:eastAsia="Times New Roman" w:cs="Times New Roman"/>
                <w:szCs w:val="24"/>
                <w:lang w:eastAsia="cs-CZ"/>
              </w:rPr>
              <w:t>4</w:t>
            </w:r>
          </w:p>
        </w:tc>
      </w:tr>
      <w:tr w:rsidR="00572CFE" w:rsidRPr="00E8518E" w14:paraId="6BD89AF8" w14:textId="77777777" w:rsidTr="000817C4">
        <w:trPr>
          <w:trHeight w:val="334"/>
        </w:trPr>
        <w:tc>
          <w:tcPr>
            <w:tcW w:w="4140" w:type="dxa"/>
            <w:shd w:val="clear" w:color="auto" w:fill="auto"/>
          </w:tcPr>
          <w:p w14:paraId="3F700C2A" w14:textId="7720EB45" w:rsidR="00572CFE" w:rsidRPr="0088307E" w:rsidRDefault="00572CFE" w:rsidP="00572CFE">
            <w:pPr>
              <w:spacing w:before="40"/>
              <w:jc w:val="left"/>
              <w:rPr>
                <w:rFonts w:eastAsia="Times New Roman" w:cs="Times New Roman"/>
                <w:b/>
                <w:lang w:eastAsia="cs-CZ"/>
              </w:rPr>
            </w:pPr>
            <w:r w:rsidRPr="003F730C">
              <w:rPr>
                <w:rFonts w:eastAsia="Times New Roman" w:cs="Times New Roman"/>
                <w:b/>
                <w:lang w:eastAsia="cs-CZ"/>
              </w:rPr>
              <w:t xml:space="preserve">Ostatní příspěvkové a podobné organizace </w:t>
            </w:r>
            <w:r w:rsidRPr="003F730C">
              <w:rPr>
                <w:rFonts w:eastAsia="Times New Roman" w:cs="Times New Roman"/>
                <w:lang w:eastAsia="cs-CZ"/>
              </w:rPr>
              <w:t>v tom:</w:t>
            </w:r>
          </w:p>
        </w:tc>
        <w:tc>
          <w:tcPr>
            <w:tcW w:w="1361" w:type="dxa"/>
            <w:shd w:val="clear" w:color="auto" w:fill="auto"/>
            <w:vAlign w:val="center"/>
          </w:tcPr>
          <w:p w14:paraId="488F8A9D" w14:textId="44EEB2F9"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92 200</w:t>
            </w:r>
          </w:p>
        </w:tc>
        <w:tc>
          <w:tcPr>
            <w:tcW w:w="1260" w:type="dxa"/>
            <w:shd w:val="clear" w:color="auto" w:fill="auto"/>
            <w:vAlign w:val="center"/>
          </w:tcPr>
          <w:p w14:paraId="45C57D54" w14:textId="1454CC82"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133 560</w:t>
            </w:r>
          </w:p>
        </w:tc>
        <w:tc>
          <w:tcPr>
            <w:tcW w:w="1304" w:type="dxa"/>
            <w:shd w:val="clear" w:color="auto" w:fill="auto"/>
            <w:vAlign w:val="center"/>
          </w:tcPr>
          <w:p w14:paraId="4465E69E" w14:textId="143646BC" w:rsidR="00572CFE" w:rsidRPr="00E8518E" w:rsidRDefault="00572CFE" w:rsidP="00572CFE">
            <w:pPr>
              <w:jc w:val="right"/>
              <w:rPr>
                <w:rFonts w:eastAsia="Times New Roman" w:cs="Times New Roman"/>
                <w:b/>
                <w:color w:val="FF0000"/>
                <w:lang w:eastAsia="cs-CZ"/>
              </w:rPr>
            </w:pPr>
            <w:r>
              <w:rPr>
                <w:rFonts w:eastAsia="Times New Roman" w:cs="Times New Roman"/>
                <w:b/>
                <w:lang w:eastAsia="cs-CZ"/>
              </w:rPr>
              <w:t>117 663</w:t>
            </w:r>
          </w:p>
        </w:tc>
        <w:tc>
          <w:tcPr>
            <w:tcW w:w="997" w:type="dxa"/>
            <w:shd w:val="clear" w:color="auto" w:fill="auto"/>
            <w:vAlign w:val="center"/>
          </w:tcPr>
          <w:p w14:paraId="144D12D8" w14:textId="014453EC" w:rsidR="00572CFE" w:rsidRPr="00E8518E" w:rsidRDefault="00572CFE" w:rsidP="00572CFE">
            <w:pPr>
              <w:jc w:val="right"/>
              <w:rPr>
                <w:rFonts w:eastAsia="Times New Roman" w:cs="Times New Roman"/>
                <w:b/>
                <w:color w:val="FF0000"/>
                <w:lang w:eastAsia="cs-CZ"/>
              </w:rPr>
            </w:pPr>
            <w:r>
              <w:rPr>
                <w:rFonts w:eastAsia="Times New Roman" w:cs="Times New Roman"/>
                <w:b/>
                <w:lang w:eastAsia="cs-CZ"/>
              </w:rPr>
              <w:t>88,14</w:t>
            </w:r>
          </w:p>
        </w:tc>
      </w:tr>
      <w:tr w:rsidR="00572CFE" w:rsidRPr="00E8518E" w14:paraId="59484871" w14:textId="77777777" w:rsidTr="000817C4">
        <w:trPr>
          <w:trHeight w:val="334"/>
        </w:trPr>
        <w:tc>
          <w:tcPr>
            <w:tcW w:w="4140" w:type="dxa"/>
            <w:shd w:val="clear" w:color="auto" w:fill="auto"/>
          </w:tcPr>
          <w:p w14:paraId="6FBE0644" w14:textId="35542BFF" w:rsidR="00572CFE" w:rsidRPr="0088307E" w:rsidRDefault="00572CFE" w:rsidP="00572CFE">
            <w:pPr>
              <w:spacing w:before="40"/>
              <w:rPr>
                <w:rFonts w:eastAsia="Times New Roman" w:cs="Times New Roman"/>
                <w:b/>
                <w:lang w:eastAsia="cs-CZ"/>
              </w:rPr>
            </w:pPr>
            <w:r w:rsidRPr="003F730C">
              <w:rPr>
                <w:rFonts w:eastAsia="Times New Roman" w:cs="Times New Roman"/>
                <w:b/>
                <w:lang w:eastAsia="cs-CZ"/>
              </w:rPr>
              <w:t xml:space="preserve">Vysoké školy </w:t>
            </w:r>
          </w:p>
        </w:tc>
        <w:tc>
          <w:tcPr>
            <w:tcW w:w="1361" w:type="dxa"/>
            <w:shd w:val="clear" w:color="auto" w:fill="auto"/>
            <w:vAlign w:val="center"/>
          </w:tcPr>
          <w:p w14:paraId="68034760" w14:textId="7928B65E"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2 228</w:t>
            </w:r>
          </w:p>
        </w:tc>
        <w:tc>
          <w:tcPr>
            <w:tcW w:w="1260" w:type="dxa"/>
            <w:shd w:val="clear" w:color="auto" w:fill="auto"/>
            <w:vAlign w:val="center"/>
          </w:tcPr>
          <w:p w14:paraId="60D624A2" w14:textId="29E92C99"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0</w:t>
            </w:r>
          </w:p>
        </w:tc>
        <w:tc>
          <w:tcPr>
            <w:tcW w:w="1304" w:type="dxa"/>
            <w:shd w:val="clear" w:color="auto" w:fill="auto"/>
            <w:vAlign w:val="center"/>
          </w:tcPr>
          <w:p w14:paraId="1248573C" w14:textId="7160AFCA"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0</w:t>
            </w:r>
          </w:p>
        </w:tc>
        <w:tc>
          <w:tcPr>
            <w:tcW w:w="997" w:type="dxa"/>
            <w:shd w:val="clear" w:color="auto" w:fill="auto"/>
            <w:vAlign w:val="center"/>
          </w:tcPr>
          <w:p w14:paraId="7C47605A" w14:textId="2544B9CB"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x</w:t>
            </w:r>
          </w:p>
        </w:tc>
      </w:tr>
      <w:tr w:rsidR="00572CFE" w:rsidRPr="00E8518E" w14:paraId="0A88965B" w14:textId="77777777" w:rsidTr="000817C4">
        <w:trPr>
          <w:trHeight w:val="334"/>
        </w:trPr>
        <w:tc>
          <w:tcPr>
            <w:tcW w:w="4140" w:type="dxa"/>
            <w:shd w:val="clear" w:color="auto" w:fill="auto"/>
          </w:tcPr>
          <w:p w14:paraId="450FF8AF" w14:textId="67A75795" w:rsidR="00572CFE" w:rsidRPr="0088307E" w:rsidRDefault="00572CFE" w:rsidP="00572CFE">
            <w:pPr>
              <w:spacing w:before="40"/>
              <w:jc w:val="left"/>
              <w:rPr>
                <w:rFonts w:eastAsia="Times New Roman" w:cs="Times New Roman"/>
                <w:b/>
                <w:lang w:eastAsia="cs-CZ"/>
              </w:rPr>
            </w:pPr>
            <w:r w:rsidRPr="003F730C">
              <w:rPr>
                <w:rFonts w:eastAsia="Times New Roman" w:cs="Times New Roman"/>
                <w:b/>
                <w:lang w:eastAsia="cs-CZ"/>
              </w:rPr>
              <w:t xml:space="preserve">Veřejné výzkumné organizace </w:t>
            </w:r>
            <w:r w:rsidRPr="003F730C">
              <w:rPr>
                <w:rFonts w:eastAsia="Times New Roman" w:cs="Times New Roman"/>
                <w:lang w:eastAsia="cs-CZ"/>
              </w:rPr>
              <w:t>v tom:</w:t>
            </w:r>
          </w:p>
        </w:tc>
        <w:tc>
          <w:tcPr>
            <w:tcW w:w="1361" w:type="dxa"/>
            <w:shd w:val="clear" w:color="auto" w:fill="auto"/>
            <w:vAlign w:val="center"/>
          </w:tcPr>
          <w:p w14:paraId="10C41F0E" w14:textId="19D7E332"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89 972</w:t>
            </w:r>
          </w:p>
        </w:tc>
        <w:tc>
          <w:tcPr>
            <w:tcW w:w="1260" w:type="dxa"/>
            <w:shd w:val="clear" w:color="auto" w:fill="auto"/>
            <w:vAlign w:val="center"/>
          </w:tcPr>
          <w:p w14:paraId="4EE80885" w14:textId="0A33B681"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131 060</w:t>
            </w:r>
          </w:p>
        </w:tc>
        <w:tc>
          <w:tcPr>
            <w:tcW w:w="1304" w:type="dxa"/>
            <w:shd w:val="clear" w:color="auto" w:fill="auto"/>
            <w:vAlign w:val="center"/>
          </w:tcPr>
          <w:p w14:paraId="369BA524" w14:textId="7CED3552"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1</w:t>
            </w:r>
            <w:r>
              <w:rPr>
                <w:rFonts w:eastAsia="Times New Roman" w:cs="Times New Roman"/>
                <w:b/>
                <w:lang w:eastAsia="cs-CZ"/>
              </w:rPr>
              <w:t>1</w:t>
            </w:r>
            <w:r w:rsidRPr="003F730C">
              <w:rPr>
                <w:rFonts w:eastAsia="Times New Roman" w:cs="Times New Roman"/>
                <w:b/>
                <w:lang w:eastAsia="cs-CZ"/>
              </w:rPr>
              <w:t>7 663</w:t>
            </w:r>
          </w:p>
        </w:tc>
        <w:tc>
          <w:tcPr>
            <w:tcW w:w="997" w:type="dxa"/>
            <w:shd w:val="clear" w:color="auto" w:fill="auto"/>
            <w:vAlign w:val="center"/>
          </w:tcPr>
          <w:p w14:paraId="0C1B3338" w14:textId="33238F6A" w:rsidR="00572CFE" w:rsidRPr="00E8518E" w:rsidRDefault="00572CFE" w:rsidP="00572CFE">
            <w:pPr>
              <w:jc w:val="right"/>
              <w:rPr>
                <w:rFonts w:eastAsia="Times New Roman" w:cs="Times New Roman"/>
                <w:b/>
                <w:color w:val="FF0000"/>
                <w:lang w:eastAsia="cs-CZ"/>
              </w:rPr>
            </w:pPr>
            <w:r>
              <w:rPr>
                <w:rFonts w:eastAsia="Times New Roman" w:cs="Times New Roman"/>
                <w:b/>
                <w:lang w:eastAsia="cs-CZ"/>
              </w:rPr>
              <w:t>88,14</w:t>
            </w:r>
          </w:p>
        </w:tc>
      </w:tr>
      <w:tr w:rsidR="00572CFE" w:rsidRPr="00E8518E" w14:paraId="493CAE52" w14:textId="77777777" w:rsidTr="000817C4">
        <w:tc>
          <w:tcPr>
            <w:tcW w:w="4140" w:type="dxa"/>
            <w:shd w:val="clear" w:color="auto" w:fill="auto"/>
          </w:tcPr>
          <w:p w14:paraId="7A2A3355" w14:textId="77777777" w:rsidR="00572CFE" w:rsidRPr="003F730C" w:rsidRDefault="00572CFE" w:rsidP="00572CFE">
            <w:pPr>
              <w:spacing w:before="40"/>
              <w:rPr>
                <w:rFonts w:eastAsia="Times New Roman" w:cs="Times New Roman"/>
                <w:lang w:eastAsia="cs-CZ"/>
              </w:rPr>
            </w:pPr>
            <w:r w:rsidRPr="003F730C">
              <w:rPr>
                <w:rFonts w:eastAsia="Times New Roman" w:cs="Times New Roman"/>
                <w:lang w:eastAsia="cs-CZ"/>
              </w:rPr>
              <w:t xml:space="preserve">Výdaje na výzkum, vývoj a inovace </w:t>
            </w:r>
          </w:p>
          <w:p w14:paraId="63F38C1C" w14:textId="5F5A1827" w:rsidR="00572CFE" w:rsidRPr="0088307E" w:rsidRDefault="00572CFE" w:rsidP="00572CFE">
            <w:pPr>
              <w:rPr>
                <w:rFonts w:eastAsia="Times New Roman" w:cs="Times New Roman"/>
                <w:lang w:eastAsia="cs-CZ"/>
              </w:rPr>
            </w:pPr>
            <w:r w:rsidRPr="003F730C">
              <w:rPr>
                <w:rFonts w:eastAsia="Times New Roman" w:cs="Times New Roman"/>
                <w:lang w:eastAsia="cs-CZ"/>
              </w:rPr>
              <w:t>v tom:</w:t>
            </w:r>
          </w:p>
        </w:tc>
        <w:tc>
          <w:tcPr>
            <w:tcW w:w="1361" w:type="dxa"/>
            <w:shd w:val="clear" w:color="auto" w:fill="auto"/>
            <w:vAlign w:val="center"/>
          </w:tcPr>
          <w:p w14:paraId="1152FECB" w14:textId="1E5D6A62"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53 000</w:t>
            </w:r>
          </w:p>
        </w:tc>
        <w:tc>
          <w:tcPr>
            <w:tcW w:w="1260" w:type="dxa"/>
            <w:shd w:val="clear" w:color="auto" w:fill="auto"/>
            <w:vAlign w:val="center"/>
          </w:tcPr>
          <w:p w14:paraId="38056573" w14:textId="00C6FFC2"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81 060</w:t>
            </w:r>
          </w:p>
        </w:tc>
        <w:tc>
          <w:tcPr>
            <w:tcW w:w="1304" w:type="dxa"/>
            <w:shd w:val="clear" w:color="auto" w:fill="auto"/>
            <w:vAlign w:val="center"/>
          </w:tcPr>
          <w:p w14:paraId="4211ACFE" w14:textId="6D4E53E5" w:rsidR="00572CFE" w:rsidRPr="00E8518E" w:rsidRDefault="00572CFE" w:rsidP="00572CFE">
            <w:pPr>
              <w:jc w:val="right"/>
              <w:rPr>
                <w:rFonts w:eastAsia="Times New Roman" w:cs="Times New Roman"/>
                <w:color w:val="FF0000"/>
                <w:lang w:eastAsia="cs-CZ"/>
              </w:rPr>
            </w:pPr>
            <w:r>
              <w:rPr>
                <w:rFonts w:eastAsia="Times New Roman" w:cs="Times New Roman"/>
                <w:lang w:eastAsia="cs-CZ"/>
              </w:rPr>
              <w:t>67</w:t>
            </w:r>
            <w:r w:rsidRPr="003F730C">
              <w:rPr>
                <w:rFonts w:eastAsia="Times New Roman" w:cs="Times New Roman"/>
                <w:lang w:eastAsia="cs-CZ"/>
              </w:rPr>
              <w:t xml:space="preserve"> 663</w:t>
            </w:r>
          </w:p>
        </w:tc>
        <w:tc>
          <w:tcPr>
            <w:tcW w:w="997" w:type="dxa"/>
            <w:shd w:val="clear" w:color="auto" w:fill="auto"/>
            <w:vAlign w:val="center"/>
          </w:tcPr>
          <w:p w14:paraId="3B26594D" w14:textId="70F56EA7" w:rsidR="00572CFE" w:rsidRPr="00E8518E" w:rsidRDefault="00572CFE" w:rsidP="00572CFE">
            <w:pPr>
              <w:jc w:val="right"/>
              <w:rPr>
                <w:rFonts w:eastAsia="Times New Roman" w:cs="Times New Roman"/>
                <w:color w:val="FF0000"/>
                <w:lang w:eastAsia="cs-CZ"/>
              </w:rPr>
            </w:pPr>
            <w:r>
              <w:rPr>
                <w:rFonts w:eastAsia="Times New Roman" w:cs="Times New Roman"/>
                <w:lang w:eastAsia="cs-CZ"/>
              </w:rPr>
              <w:t>83,47</w:t>
            </w:r>
          </w:p>
        </w:tc>
      </w:tr>
      <w:tr w:rsidR="00572CFE" w:rsidRPr="00E8518E" w14:paraId="1DA3DECF" w14:textId="77777777" w:rsidTr="000817C4">
        <w:tc>
          <w:tcPr>
            <w:tcW w:w="4140" w:type="dxa"/>
            <w:shd w:val="clear" w:color="auto" w:fill="auto"/>
          </w:tcPr>
          <w:p w14:paraId="37F86757" w14:textId="12A2E8CB" w:rsidR="00572CFE" w:rsidRPr="0088307E" w:rsidRDefault="00572CFE" w:rsidP="00572CFE">
            <w:pPr>
              <w:rPr>
                <w:rFonts w:eastAsia="Times New Roman" w:cs="Times New Roman"/>
                <w:lang w:eastAsia="cs-CZ"/>
              </w:rPr>
            </w:pPr>
            <w:r w:rsidRPr="003F730C">
              <w:rPr>
                <w:rFonts w:eastAsia="Times New Roman" w:cs="Times New Roman"/>
                <w:lang w:eastAsia="cs-CZ"/>
              </w:rPr>
              <w:t>institucionální podpora</w:t>
            </w:r>
          </w:p>
        </w:tc>
        <w:tc>
          <w:tcPr>
            <w:tcW w:w="1361" w:type="dxa"/>
            <w:shd w:val="clear" w:color="auto" w:fill="auto"/>
            <w:vAlign w:val="center"/>
          </w:tcPr>
          <w:p w14:paraId="4FA14F7E" w14:textId="0EC96B6C"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53 000</w:t>
            </w:r>
          </w:p>
        </w:tc>
        <w:tc>
          <w:tcPr>
            <w:tcW w:w="1260" w:type="dxa"/>
            <w:shd w:val="clear" w:color="auto" w:fill="auto"/>
            <w:vAlign w:val="center"/>
          </w:tcPr>
          <w:p w14:paraId="7A737B46" w14:textId="602AC023"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81 060</w:t>
            </w:r>
          </w:p>
        </w:tc>
        <w:tc>
          <w:tcPr>
            <w:tcW w:w="1304" w:type="dxa"/>
            <w:shd w:val="clear" w:color="auto" w:fill="auto"/>
            <w:vAlign w:val="center"/>
          </w:tcPr>
          <w:p w14:paraId="3B4D18DA" w14:textId="6319D781" w:rsidR="00572CFE" w:rsidRPr="00E8518E" w:rsidRDefault="00572CFE" w:rsidP="00572CFE">
            <w:pPr>
              <w:jc w:val="right"/>
              <w:rPr>
                <w:rFonts w:eastAsia="Times New Roman" w:cs="Times New Roman"/>
                <w:color w:val="FF0000"/>
                <w:lang w:eastAsia="cs-CZ"/>
              </w:rPr>
            </w:pPr>
            <w:r>
              <w:rPr>
                <w:rFonts w:eastAsia="Times New Roman" w:cs="Times New Roman"/>
                <w:lang w:eastAsia="cs-CZ"/>
              </w:rPr>
              <w:t>67</w:t>
            </w:r>
            <w:r w:rsidRPr="003F730C">
              <w:rPr>
                <w:rFonts w:eastAsia="Times New Roman" w:cs="Times New Roman"/>
                <w:lang w:eastAsia="cs-CZ"/>
              </w:rPr>
              <w:t xml:space="preserve"> 663</w:t>
            </w:r>
          </w:p>
        </w:tc>
        <w:tc>
          <w:tcPr>
            <w:tcW w:w="997" w:type="dxa"/>
            <w:shd w:val="clear" w:color="auto" w:fill="auto"/>
            <w:vAlign w:val="center"/>
          </w:tcPr>
          <w:p w14:paraId="17BF36BE" w14:textId="716D5311" w:rsidR="00572CFE" w:rsidRPr="00E8518E" w:rsidRDefault="00572CFE" w:rsidP="00572CFE">
            <w:pPr>
              <w:jc w:val="right"/>
              <w:rPr>
                <w:rFonts w:eastAsia="Times New Roman" w:cs="Times New Roman"/>
                <w:color w:val="FF0000"/>
                <w:lang w:eastAsia="cs-CZ"/>
              </w:rPr>
            </w:pPr>
            <w:r>
              <w:rPr>
                <w:rFonts w:eastAsia="Times New Roman" w:cs="Times New Roman"/>
                <w:lang w:eastAsia="cs-CZ"/>
              </w:rPr>
              <w:t>83,47</w:t>
            </w:r>
          </w:p>
        </w:tc>
      </w:tr>
      <w:tr w:rsidR="00572CFE" w:rsidRPr="00E8518E" w14:paraId="24D1389B" w14:textId="77777777" w:rsidTr="000817C4">
        <w:tc>
          <w:tcPr>
            <w:tcW w:w="4140" w:type="dxa"/>
            <w:shd w:val="clear" w:color="auto" w:fill="auto"/>
          </w:tcPr>
          <w:p w14:paraId="32A75F20" w14:textId="0A189FE6" w:rsidR="00572CFE" w:rsidRPr="0088307E" w:rsidRDefault="00572CFE" w:rsidP="00572CFE">
            <w:pPr>
              <w:rPr>
                <w:rFonts w:eastAsia="Times New Roman" w:cs="Times New Roman"/>
                <w:lang w:eastAsia="cs-CZ"/>
              </w:rPr>
            </w:pPr>
            <w:r w:rsidRPr="003F730C">
              <w:rPr>
                <w:rFonts w:eastAsia="Times New Roman" w:cs="Times New Roman"/>
                <w:lang w:eastAsia="cs-CZ"/>
              </w:rPr>
              <w:t>účelová podpora</w:t>
            </w:r>
          </w:p>
        </w:tc>
        <w:tc>
          <w:tcPr>
            <w:tcW w:w="1361" w:type="dxa"/>
            <w:shd w:val="clear" w:color="auto" w:fill="auto"/>
            <w:vAlign w:val="center"/>
          </w:tcPr>
          <w:p w14:paraId="59F923BE" w14:textId="6DBB039B"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1260" w:type="dxa"/>
            <w:shd w:val="clear" w:color="auto" w:fill="auto"/>
            <w:vAlign w:val="center"/>
          </w:tcPr>
          <w:p w14:paraId="45DD170D" w14:textId="3A865555"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1304" w:type="dxa"/>
            <w:shd w:val="clear" w:color="auto" w:fill="auto"/>
            <w:vAlign w:val="center"/>
          </w:tcPr>
          <w:p w14:paraId="4DCA1E32" w14:textId="4E8479D1"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997" w:type="dxa"/>
            <w:shd w:val="clear" w:color="auto" w:fill="auto"/>
            <w:vAlign w:val="center"/>
          </w:tcPr>
          <w:p w14:paraId="5DF54126" w14:textId="4B421BE5"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x</w:t>
            </w:r>
          </w:p>
        </w:tc>
      </w:tr>
      <w:tr w:rsidR="00572CFE" w:rsidRPr="00E8518E" w14:paraId="49C6A5CF" w14:textId="77777777" w:rsidTr="000817C4">
        <w:tc>
          <w:tcPr>
            <w:tcW w:w="4140" w:type="dxa"/>
            <w:shd w:val="clear" w:color="auto" w:fill="auto"/>
          </w:tcPr>
          <w:p w14:paraId="2AD980DB" w14:textId="1BEE5C83" w:rsidR="00572CFE" w:rsidRPr="00572CFE" w:rsidRDefault="00572CFE" w:rsidP="00572CFE">
            <w:pPr>
              <w:rPr>
                <w:rFonts w:eastAsia="Times New Roman" w:cs="Times New Roman"/>
                <w:lang w:eastAsia="cs-CZ"/>
              </w:rPr>
            </w:pPr>
            <w:r w:rsidRPr="003F730C">
              <w:rPr>
                <w:rFonts w:eastAsia="Times New Roman" w:cs="Times New Roman"/>
                <w:lang w:eastAsia="cs-CZ"/>
              </w:rPr>
              <w:t>Účelová neinvestiční dotace na další činnost</w:t>
            </w:r>
          </w:p>
        </w:tc>
        <w:tc>
          <w:tcPr>
            <w:tcW w:w="1361" w:type="dxa"/>
            <w:shd w:val="clear" w:color="auto" w:fill="auto"/>
            <w:vAlign w:val="center"/>
          </w:tcPr>
          <w:p w14:paraId="7531130B" w14:textId="6C692298"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36 972</w:t>
            </w:r>
          </w:p>
        </w:tc>
        <w:tc>
          <w:tcPr>
            <w:tcW w:w="1260" w:type="dxa"/>
            <w:shd w:val="clear" w:color="auto" w:fill="auto"/>
            <w:vAlign w:val="center"/>
          </w:tcPr>
          <w:p w14:paraId="76B483C1" w14:textId="18610241"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50 000</w:t>
            </w:r>
          </w:p>
        </w:tc>
        <w:tc>
          <w:tcPr>
            <w:tcW w:w="1304" w:type="dxa"/>
            <w:shd w:val="clear" w:color="auto" w:fill="auto"/>
            <w:vAlign w:val="center"/>
          </w:tcPr>
          <w:p w14:paraId="062F7F93" w14:textId="5CA033C7"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50 000</w:t>
            </w:r>
          </w:p>
        </w:tc>
        <w:tc>
          <w:tcPr>
            <w:tcW w:w="997" w:type="dxa"/>
            <w:shd w:val="clear" w:color="auto" w:fill="auto"/>
            <w:vAlign w:val="center"/>
          </w:tcPr>
          <w:p w14:paraId="673DD2A3" w14:textId="3AD86D85"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100,00</w:t>
            </w:r>
          </w:p>
        </w:tc>
      </w:tr>
      <w:tr w:rsidR="00572CFE" w:rsidRPr="00E8518E" w14:paraId="4ECA05E8" w14:textId="77777777" w:rsidTr="000817C4">
        <w:tc>
          <w:tcPr>
            <w:tcW w:w="4140" w:type="dxa"/>
            <w:shd w:val="clear" w:color="auto" w:fill="auto"/>
          </w:tcPr>
          <w:p w14:paraId="7B2B1A22" w14:textId="2BA6D8D0" w:rsidR="00572CFE" w:rsidRDefault="00572CFE" w:rsidP="00572CFE">
            <w:pPr>
              <w:rPr>
                <w:rFonts w:eastAsia="Times New Roman" w:cs="Times New Roman"/>
                <w:lang w:eastAsia="cs-CZ"/>
              </w:rPr>
            </w:pPr>
            <w:r w:rsidRPr="00853314">
              <w:t xml:space="preserve">z toho: výdaje na </w:t>
            </w:r>
            <w:proofErr w:type="spellStart"/>
            <w:r w:rsidRPr="00853314">
              <w:t>progr</w:t>
            </w:r>
            <w:proofErr w:type="spellEnd"/>
            <w:r w:rsidRPr="00853314">
              <w:t xml:space="preserve">. </w:t>
            </w:r>
            <w:proofErr w:type="spellStart"/>
            <w:r w:rsidRPr="00853314">
              <w:t>spolufin</w:t>
            </w:r>
            <w:proofErr w:type="spellEnd"/>
            <w:r w:rsidRPr="00853314">
              <w:t>. z rozpočtu EU</w:t>
            </w:r>
          </w:p>
        </w:tc>
        <w:tc>
          <w:tcPr>
            <w:tcW w:w="1361" w:type="dxa"/>
            <w:shd w:val="clear" w:color="auto" w:fill="auto"/>
            <w:vAlign w:val="center"/>
          </w:tcPr>
          <w:p w14:paraId="3F968130" w14:textId="2C410E72"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994</w:t>
            </w:r>
          </w:p>
        </w:tc>
        <w:tc>
          <w:tcPr>
            <w:tcW w:w="1260" w:type="dxa"/>
            <w:shd w:val="clear" w:color="auto" w:fill="auto"/>
            <w:vAlign w:val="center"/>
          </w:tcPr>
          <w:p w14:paraId="0BE6EB94" w14:textId="56D3FF68"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1304" w:type="dxa"/>
            <w:shd w:val="clear" w:color="auto" w:fill="auto"/>
            <w:vAlign w:val="center"/>
          </w:tcPr>
          <w:p w14:paraId="34E837C7" w14:textId="1DFA2A60"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997" w:type="dxa"/>
            <w:shd w:val="clear" w:color="auto" w:fill="auto"/>
            <w:vAlign w:val="center"/>
          </w:tcPr>
          <w:p w14:paraId="4BB08ACF" w14:textId="02770927" w:rsidR="00572CFE" w:rsidRDefault="00572CFE" w:rsidP="00572CFE">
            <w:pPr>
              <w:jc w:val="right"/>
              <w:rPr>
                <w:rFonts w:eastAsia="Times New Roman" w:cs="Times New Roman"/>
                <w:color w:val="FF0000"/>
                <w:lang w:eastAsia="cs-CZ"/>
              </w:rPr>
            </w:pPr>
            <w:r w:rsidRPr="003F730C">
              <w:rPr>
                <w:rFonts w:eastAsia="Times New Roman" w:cs="Times New Roman"/>
                <w:lang w:eastAsia="cs-CZ"/>
              </w:rPr>
              <w:t>x</w:t>
            </w:r>
          </w:p>
        </w:tc>
      </w:tr>
      <w:tr w:rsidR="00572CFE" w:rsidRPr="00E8518E" w14:paraId="5B3A4DCB" w14:textId="77777777" w:rsidTr="000817C4">
        <w:tc>
          <w:tcPr>
            <w:tcW w:w="4140" w:type="dxa"/>
            <w:shd w:val="clear" w:color="auto" w:fill="auto"/>
          </w:tcPr>
          <w:p w14:paraId="28C9851C" w14:textId="469CA51C" w:rsidR="00572CFE" w:rsidRDefault="00572CFE" w:rsidP="00572CFE">
            <w:pPr>
              <w:rPr>
                <w:rFonts w:eastAsia="Times New Roman" w:cs="Times New Roman"/>
                <w:lang w:eastAsia="cs-CZ"/>
              </w:rPr>
            </w:pPr>
            <w:r w:rsidRPr="00853314">
              <w:t>v tom: v tom: ze SR</w:t>
            </w:r>
          </w:p>
        </w:tc>
        <w:tc>
          <w:tcPr>
            <w:tcW w:w="1361" w:type="dxa"/>
            <w:shd w:val="clear" w:color="auto" w:fill="auto"/>
            <w:vAlign w:val="center"/>
          </w:tcPr>
          <w:p w14:paraId="560446D5" w14:textId="713ECF8B"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497</w:t>
            </w:r>
          </w:p>
        </w:tc>
        <w:tc>
          <w:tcPr>
            <w:tcW w:w="1260" w:type="dxa"/>
            <w:shd w:val="clear" w:color="auto" w:fill="auto"/>
            <w:vAlign w:val="center"/>
          </w:tcPr>
          <w:p w14:paraId="7D1E340A" w14:textId="11ACFAD0"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1304" w:type="dxa"/>
            <w:shd w:val="clear" w:color="auto" w:fill="auto"/>
            <w:vAlign w:val="center"/>
          </w:tcPr>
          <w:p w14:paraId="0ABF5B99" w14:textId="341EC605"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997" w:type="dxa"/>
            <w:shd w:val="clear" w:color="auto" w:fill="auto"/>
            <w:vAlign w:val="center"/>
          </w:tcPr>
          <w:p w14:paraId="6A29A8B6" w14:textId="13232705" w:rsidR="00572CFE" w:rsidRDefault="00572CFE" w:rsidP="00572CFE">
            <w:pPr>
              <w:jc w:val="right"/>
              <w:rPr>
                <w:rFonts w:eastAsia="Times New Roman" w:cs="Times New Roman"/>
                <w:color w:val="FF0000"/>
                <w:lang w:eastAsia="cs-CZ"/>
              </w:rPr>
            </w:pPr>
            <w:r w:rsidRPr="003F730C">
              <w:rPr>
                <w:rFonts w:eastAsia="Times New Roman" w:cs="Times New Roman"/>
                <w:lang w:eastAsia="cs-CZ"/>
              </w:rPr>
              <w:t>x</w:t>
            </w:r>
          </w:p>
        </w:tc>
      </w:tr>
      <w:tr w:rsidR="00572CFE" w:rsidRPr="00E8518E" w14:paraId="258C3B05" w14:textId="77777777" w:rsidTr="000817C4">
        <w:tc>
          <w:tcPr>
            <w:tcW w:w="4140" w:type="dxa"/>
            <w:shd w:val="clear" w:color="auto" w:fill="auto"/>
          </w:tcPr>
          <w:p w14:paraId="09755812" w14:textId="054C17E0" w:rsidR="00572CFE" w:rsidRPr="0088307E" w:rsidRDefault="00572CFE" w:rsidP="00572CFE">
            <w:pPr>
              <w:jc w:val="left"/>
              <w:rPr>
                <w:rFonts w:eastAsia="Times New Roman" w:cs="Times New Roman"/>
                <w:lang w:eastAsia="cs-CZ"/>
              </w:rPr>
            </w:pPr>
            <w:r w:rsidRPr="00853314">
              <w:t>v tom: v tom: z rozpočtu EU</w:t>
            </w:r>
          </w:p>
        </w:tc>
        <w:tc>
          <w:tcPr>
            <w:tcW w:w="1361" w:type="dxa"/>
            <w:shd w:val="clear" w:color="auto" w:fill="auto"/>
            <w:vAlign w:val="center"/>
          </w:tcPr>
          <w:p w14:paraId="75C06222" w14:textId="533CA23F"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497</w:t>
            </w:r>
          </w:p>
        </w:tc>
        <w:tc>
          <w:tcPr>
            <w:tcW w:w="1260" w:type="dxa"/>
            <w:shd w:val="clear" w:color="auto" w:fill="auto"/>
            <w:vAlign w:val="center"/>
          </w:tcPr>
          <w:p w14:paraId="7081AA02" w14:textId="58293BBA"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1304" w:type="dxa"/>
            <w:shd w:val="clear" w:color="auto" w:fill="auto"/>
            <w:vAlign w:val="center"/>
          </w:tcPr>
          <w:p w14:paraId="39641214" w14:textId="40E53D8A"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997" w:type="dxa"/>
            <w:shd w:val="clear" w:color="auto" w:fill="auto"/>
            <w:vAlign w:val="center"/>
          </w:tcPr>
          <w:p w14:paraId="4F164CC7" w14:textId="3576B159"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x</w:t>
            </w:r>
          </w:p>
        </w:tc>
      </w:tr>
      <w:tr w:rsidR="00572CFE" w:rsidRPr="00E8518E" w14:paraId="2DE5A260" w14:textId="77777777" w:rsidTr="000817C4">
        <w:tc>
          <w:tcPr>
            <w:tcW w:w="4140" w:type="dxa"/>
            <w:shd w:val="clear" w:color="auto" w:fill="auto"/>
          </w:tcPr>
          <w:p w14:paraId="0FC108A9" w14:textId="7ED466D4" w:rsidR="00572CFE" w:rsidRPr="0088307E" w:rsidRDefault="00572CFE" w:rsidP="00572CFE">
            <w:pPr>
              <w:rPr>
                <w:rFonts w:eastAsia="Times New Roman" w:cs="Times New Roman"/>
                <w:b/>
                <w:lang w:eastAsia="cs-CZ"/>
              </w:rPr>
            </w:pPr>
            <w:r w:rsidRPr="003F730C">
              <w:rPr>
                <w:rFonts w:eastAsia="Times New Roman" w:cs="Times New Roman"/>
                <w:b/>
                <w:lang w:eastAsia="cs-CZ"/>
              </w:rPr>
              <w:t xml:space="preserve">Cizí příspěvkové organizace </w:t>
            </w:r>
            <w:r w:rsidRPr="003F730C">
              <w:rPr>
                <w:rFonts w:eastAsia="Times New Roman" w:cs="Times New Roman"/>
                <w:lang w:eastAsia="cs-CZ"/>
              </w:rPr>
              <w:t>z toho:</w:t>
            </w:r>
          </w:p>
        </w:tc>
        <w:tc>
          <w:tcPr>
            <w:tcW w:w="1361" w:type="dxa"/>
            <w:shd w:val="clear" w:color="auto" w:fill="auto"/>
            <w:vAlign w:val="center"/>
          </w:tcPr>
          <w:p w14:paraId="7B75E6B3" w14:textId="3579C97A"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0</w:t>
            </w:r>
          </w:p>
        </w:tc>
        <w:tc>
          <w:tcPr>
            <w:tcW w:w="1260" w:type="dxa"/>
            <w:shd w:val="clear" w:color="auto" w:fill="auto"/>
            <w:vAlign w:val="center"/>
          </w:tcPr>
          <w:p w14:paraId="752060C7" w14:textId="1C332DE8"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2 500</w:t>
            </w:r>
          </w:p>
        </w:tc>
        <w:tc>
          <w:tcPr>
            <w:tcW w:w="1304" w:type="dxa"/>
            <w:shd w:val="clear" w:color="auto" w:fill="auto"/>
            <w:vAlign w:val="center"/>
          </w:tcPr>
          <w:p w14:paraId="762DA6F4" w14:textId="7274D5ED"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0</w:t>
            </w:r>
          </w:p>
        </w:tc>
        <w:tc>
          <w:tcPr>
            <w:tcW w:w="997" w:type="dxa"/>
            <w:shd w:val="clear" w:color="auto" w:fill="auto"/>
            <w:vAlign w:val="center"/>
          </w:tcPr>
          <w:p w14:paraId="506AD7CD" w14:textId="073FCB3B" w:rsidR="00572CFE" w:rsidRPr="00E8518E" w:rsidRDefault="00572CFE" w:rsidP="00572CFE">
            <w:pPr>
              <w:jc w:val="right"/>
              <w:rPr>
                <w:rFonts w:eastAsia="Times New Roman" w:cs="Times New Roman"/>
                <w:b/>
                <w:color w:val="FF0000"/>
                <w:lang w:eastAsia="cs-CZ"/>
              </w:rPr>
            </w:pPr>
            <w:r w:rsidRPr="003F730C">
              <w:rPr>
                <w:rFonts w:eastAsia="Times New Roman" w:cs="Times New Roman"/>
                <w:b/>
                <w:lang w:eastAsia="cs-CZ"/>
              </w:rPr>
              <w:t>0,00</w:t>
            </w:r>
          </w:p>
        </w:tc>
      </w:tr>
      <w:tr w:rsidR="00572CFE" w:rsidRPr="00E8518E" w14:paraId="6BAF62F9" w14:textId="77777777" w:rsidTr="000817C4">
        <w:tc>
          <w:tcPr>
            <w:tcW w:w="4140" w:type="dxa"/>
            <w:shd w:val="clear" w:color="auto" w:fill="auto"/>
          </w:tcPr>
          <w:p w14:paraId="27527632" w14:textId="409109EC" w:rsidR="00572CFE" w:rsidRPr="0088307E" w:rsidRDefault="00572CFE" w:rsidP="00572CFE">
            <w:pPr>
              <w:rPr>
                <w:rFonts w:eastAsia="Times New Roman" w:cs="Times New Roman"/>
                <w:lang w:eastAsia="cs-CZ"/>
              </w:rPr>
            </w:pPr>
            <w:r w:rsidRPr="003F730C">
              <w:rPr>
                <w:rFonts w:eastAsia="Times New Roman" w:cs="Times New Roman"/>
                <w:lang w:eastAsia="cs-CZ"/>
              </w:rPr>
              <w:t xml:space="preserve">Observatoř a planetárium </w:t>
            </w:r>
          </w:p>
        </w:tc>
        <w:tc>
          <w:tcPr>
            <w:tcW w:w="1361" w:type="dxa"/>
            <w:shd w:val="clear" w:color="auto" w:fill="auto"/>
            <w:vAlign w:val="center"/>
          </w:tcPr>
          <w:p w14:paraId="218D3542" w14:textId="17366EA4"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1260" w:type="dxa"/>
            <w:shd w:val="clear" w:color="auto" w:fill="auto"/>
            <w:vAlign w:val="center"/>
          </w:tcPr>
          <w:p w14:paraId="4140D754" w14:textId="1E3F5422"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2 500</w:t>
            </w:r>
          </w:p>
        </w:tc>
        <w:tc>
          <w:tcPr>
            <w:tcW w:w="1304" w:type="dxa"/>
            <w:shd w:val="clear" w:color="auto" w:fill="auto"/>
            <w:vAlign w:val="center"/>
          </w:tcPr>
          <w:p w14:paraId="6F918DC0" w14:textId="7E8B6BEC"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w:t>
            </w:r>
          </w:p>
        </w:tc>
        <w:tc>
          <w:tcPr>
            <w:tcW w:w="997" w:type="dxa"/>
            <w:shd w:val="clear" w:color="auto" w:fill="auto"/>
            <w:vAlign w:val="center"/>
          </w:tcPr>
          <w:p w14:paraId="3DF7EF98" w14:textId="45B83931" w:rsidR="00572CFE" w:rsidRPr="00E8518E" w:rsidRDefault="00572CFE" w:rsidP="00572CFE">
            <w:pPr>
              <w:jc w:val="right"/>
              <w:rPr>
                <w:rFonts w:eastAsia="Times New Roman" w:cs="Times New Roman"/>
                <w:color w:val="FF0000"/>
                <w:lang w:eastAsia="cs-CZ"/>
              </w:rPr>
            </w:pPr>
            <w:r w:rsidRPr="003F730C">
              <w:rPr>
                <w:rFonts w:eastAsia="Times New Roman" w:cs="Times New Roman"/>
                <w:lang w:eastAsia="cs-CZ"/>
              </w:rPr>
              <w:t>0,00</w:t>
            </w:r>
          </w:p>
        </w:tc>
      </w:tr>
    </w:tbl>
    <w:p w14:paraId="199E8904" w14:textId="77777777" w:rsidR="00572CFE" w:rsidRPr="003F730C" w:rsidRDefault="00572CFE" w:rsidP="00572CFE">
      <w:pPr>
        <w:pStyle w:val="Styl1"/>
      </w:pPr>
      <w:r w:rsidRPr="003F730C">
        <w:t xml:space="preserve">Na rok 2023 je pro veřejnou výzkumnou instituci Centrum dopravního výzkumu navržen neinvestiční transfer ve výši 67 663 tis. Kč na realizaci projektů v oblasti výzkumu a vývoje </w:t>
      </w:r>
      <w:r w:rsidRPr="003F730C">
        <w:br/>
        <w:t xml:space="preserve">– institucionální podpora. Institucionální neinvestiční prostředky jsou určeny na podporu rozvoje nových vědeckovýzkumných činností nebo jejich rozšíření. Dále budou prostředky použity zejména na spolufinancování </w:t>
      </w:r>
      <w:proofErr w:type="spellStart"/>
      <w:r w:rsidRPr="003F730C">
        <w:t>VaVaI</w:t>
      </w:r>
      <w:proofErr w:type="spellEnd"/>
      <w:r w:rsidRPr="003F730C">
        <w:t xml:space="preserve"> projektů, na rozvojové aktivity a sběr dat. </w:t>
      </w:r>
    </w:p>
    <w:p w14:paraId="71FB2CE6" w14:textId="76A90D90" w:rsidR="00572CFE" w:rsidRPr="003F730C" w:rsidRDefault="00572CFE" w:rsidP="00572CFE">
      <w:pPr>
        <w:pStyle w:val="Styl1"/>
      </w:pPr>
      <w:r w:rsidRPr="003F730C">
        <w:t xml:space="preserve">V porovnání s rokem 2022 došlo ke snížení neinvestičních prostředků pro Centrum dopravního výzkumu v rámci výzkumu a vývoje o 13 397 tis. Kč. Finanční prostředky byly přesunuty </w:t>
      </w:r>
      <w:r w:rsidR="00FB4D0E">
        <w:t>do</w:t>
      </w:r>
      <w:r w:rsidRPr="003F730C">
        <w:t xml:space="preserve"> investičních prostředků určených na institucionální podporu. </w:t>
      </w:r>
    </w:p>
    <w:p w14:paraId="6940C62E" w14:textId="77777777" w:rsidR="00386E07" w:rsidRDefault="00572CFE" w:rsidP="008C2FA3">
      <w:pPr>
        <w:pStyle w:val="Styl1"/>
      </w:pPr>
      <w:r w:rsidRPr="003F730C">
        <w:t xml:space="preserve">Pro rok 2023 jsou v rámci neinvestičních transferů veřejným výzkumným institucím navrženy pro Centrum dopravního výzkumu také výdaje na další činnost podle § 22 odst. 2 písm. e) zákona 341/2005 Sb., o veřejných výzkumných institucích, ve znění pozdějších předpisů. Prostředky budou formou neinvestiční dotace použity na podporu rozvoje činnosti CDV, a to ve výši 50 000 tis. Kč. Prostředky nespadají do oblasti průřezových ukazatelů </w:t>
      </w:r>
      <w:r w:rsidRPr="003F730C">
        <w:br/>
        <w:t>na výzkum, vývoj a inovace (</w:t>
      </w:r>
      <w:proofErr w:type="spellStart"/>
      <w:r w:rsidRPr="003F730C">
        <w:t>VaVaI</w:t>
      </w:r>
      <w:proofErr w:type="spellEnd"/>
      <w:r w:rsidRPr="003F730C">
        <w:t xml:space="preserve">). Finanční prostředky jsou navrženy na stejné úrovni jako v roce 2022. </w:t>
      </w:r>
    </w:p>
    <w:p w14:paraId="24BC74B5" w14:textId="10D8EB56" w:rsidR="005779DE" w:rsidRDefault="00386E07" w:rsidP="008C2FA3">
      <w:pPr>
        <w:pStyle w:val="Styl1"/>
      </w:pPr>
      <w:r>
        <w:t xml:space="preserve">Veškeré navržené finanční prostředky pro Centrum dopravního výzkumu </w:t>
      </w:r>
      <w:proofErr w:type="spellStart"/>
      <w:proofErr w:type="gramStart"/>
      <w:r w:rsidR="0025262B">
        <w:t>v.v.</w:t>
      </w:r>
      <w:proofErr w:type="gramEnd"/>
      <w:r w:rsidR="0025262B">
        <w:t>i</w:t>
      </w:r>
      <w:proofErr w:type="spellEnd"/>
      <w:r w:rsidR="0025262B">
        <w:t xml:space="preserve">. jsou vedeny v informačním systému ZED. </w:t>
      </w:r>
    </w:p>
    <w:p w14:paraId="6CC8EFB9" w14:textId="153F560D" w:rsidR="00804AEF" w:rsidRPr="00E8518E" w:rsidRDefault="00804AEF" w:rsidP="008C2FA3">
      <w:pPr>
        <w:pStyle w:val="Styl1"/>
      </w:pPr>
      <w:r>
        <w:t>Finanční prostředky pro vysoké školy a cizí příspěvkové organizace nejsou pro rok 2023 rozpočtovány.</w:t>
      </w:r>
    </w:p>
    <w:p w14:paraId="6CD5F91A" w14:textId="77777777" w:rsidR="00886FD2" w:rsidRPr="0088307E" w:rsidRDefault="00886FD2" w:rsidP="00886FD2">
      <w:pPr>
        <w:pStyle w:val="Nadpis3"/>
        <w:spacing w:before="360" w:after="240"/>
      </w:pPr>
      <w:bookmarkStart w:id="174" w:name="_Toc115787795"/>
      <w:r w:rsidRPr="0088307E">
        <w:t>Neinvestiční transfery podnikatelským subjektům</w:t>
      </w:r>
      <w:bookmarkEnd w:id="174"/>
      <w:r w:rsidRPr="0088307E">
        <w:t xml:space="preserve"> </w:t>
      </w:r>
    </w:p>
    <w:p w14:paraId="67C240DF" w14:textId="6252CBF0" w:rsidR="00F23ED8" w:rsidRPr="0088307E" w:rsidRDefault="00F23ED8" w:rsidP="00F23ED8">
      <w:pPr>
        <w:pStyle w:val="Titulek"/>
        <w:rPr>
          <w:noProof/>
        </w:rPr>
      </w:pPr>
      <w:bookmarkStart w:id="175" w:name="_Toc489274102"/>
      <w:bookmarkStart w:id="176" w:name="_Toc368665064"/>
      <w:bookmarkEnd w:id="172"/>
      <w:r w:rsidRPr="0088307E">
        <w:t xml:space="preserve">Tabulka č. </w:t>
      </w:r>
      <w:fldSimple w:instr=" SEQ Tabulka \* ARABIC ">
        <w:r w:rsidR="00F80947">
          <w:rPr>
            <w:noProof/>
          </w:rPr>
          <w:t>20</w:t>
        </w:r>
      </w:fldSimple>
      <w:r w:rsidRPr="0088307E">
        <w:rPr>
          <w:noProof/>
        </w:rPr>
        <w:t xml:space="preserve"> Neinvestiční transfery podnikatelským subjektům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57"/>
        <w:gridCol w:w="1303"/>
        <w:gridCol w:w="1185"/>
        <w:gridCol w:w="1135"/>
      </w:tblGrid>
      <w:tr w:rsidR="00E8518E" w:rsidRPr="00E8518E" w14:paraId="1C2D0827" w14:textId="77777777" w:rsidTr="000817C4">
        <w:tc>
          <w:tcPr>
            <w:tcW w:w="225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23F908B" w14:textId="77777777" w:rsidR="000817C4" w:rsidRPr="0088307E" w:rsidRDefault="000817C4" w:rsidP="000817C4">
            <w:pPr>
              <w:jc w:val="center"/>
              <w:rPr>
                <w:rFonts w:eastAsia="Times New Roman" w:cs="Times New Roman"/>
                <w:b/>
                <w:szCs w:val="24"/>
                <w:lang w:eastAsia="cs-CZ"/>
              </w:rPr>
            </w:pPr>
            <w:bookmarkStart w:id="177" w:name="_Toc368665063"/>
            <w:bookmarkStart w:id="178" w:name="_Toc463338097"/>
            <w:bookmarkStart w:id="179" w:name="_Toc15293392"/>
            <w:r w:rsidRPr="0088307E">
              <w:rPr>
                <w:rFonts w:eastAsia="Times New Roman" w:cs="Times New Roman"/>
                <w:b/>
                <w:szCs w:val="24"/>
                <w:lang w:eastAsia="cs-CZ"/>
              </w:rPr>
              <w:t>Ukazatel</w:t>
            </w:r>
          </w:p>
        </w:tc>
        <w:tc>
          <w:tcPr>
            <w:tcW w:w="74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B98DCB0" w14:textId="77777777" w:rsidR="000817C4" w:rsidRPr="0088307E" w:rsidRDefault="000817C4" w:rsidP="000817C4">
            <w:pPr>
              <w:jc w:val="center"/>
              <w:rPr>
                <w:rFonts w:eastAsia="Times New Roman" w:cs="Times New Roman"/>
                <w:b/>
                <w:szCs w:val="24"/>
                <w:lang w:eastAsia="cs-CZ"/>
              </w:rPr>
            </w:pPr>
            <w:r w:rsidRPr="0088307E">
              <w:rPr>
                <w:rFonts w:eastAsia="Times New Roman" w:cs="Times New Roman"/>
                <w:b/>
                <w:szCs w:val="24"/>
                <w:lang w:eastAsia="cs-CZ"/>
              </w:rPr>
              <w:t>Skutečnost</w:t>
            </w:r>
          </w:p>
          <w:p w14:paraId="325754FC" w14:textId="16BC2881" w:rsidR="000817C4" w:rsidRPr="0088307E" w:rsidRDefault="00031BDE" w:rsidP="000817C4">
            <w:pPr>
              <w:jc w:val="center"/>
              <w:rPr>
                <w:rFonts w:eastAsia="Times New Roman" w:cs="Times New Roman"/>
                <w:b/>
                <w:szCs w:val="24"/>
                <w:lang w:eastAsia="cs-CZ"/>
              </w:rPr>
            </w:pPr>
            <w:r w:rsidRPr="0088307E">
              <w:rPr>
                <w:rFonts w:eastAsia="Times New Roman" w:cs="Times New Roman"/>
                <w:b/>
                <w:szCs w:val="24"/>
                <w:lang w:eastAsia="cs-CZ"/>
              </w:rPr>
              <w:t>2021</w:t>
            </w:r>
          </w:p>
        </w:tc>
        <w:tc>
          <w:tcPr>
            <w:tcW w:w="7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B640390" w14:textId="77777777" w:rsidR="000817C4" w:rsidRPr="0088307E" w:rsidRDefault="000817C4" w:rsidP="000817C4">
            <w:pPr>
              <w:jc w:val="center"/>
              <w:rPr>
                <w:rFonts w:eastAsia="Times New Roman" w:cs="Times New Roman"/>
                <w:b/>
                <w:szCs w:val="24"/>
                <w:lang w:eastAsia="cs-CZ"/>
              </w:rPr>
            </w:pPr>
            <w:r w:rsidRPr="0088307E">
              <w:rPr>
                <w:rFonts w:eastAsia="Times New Roman" w:cs="Times New Roman"/>
                <w:b/>
                <w:szCs w:val="24"/>
                <w:lang w:eastAsia="cs-CZ"/>
              </w:rPr>
              <w:t>Schválený</w:t>
            </w:r>
          </w:p>
          <w:p w14:paraId="26E9981C" w14:textId="77777777" w:rsidR="000817C4" w:rsidRPr="0088307E" w:rsidRDefault="000817C4" w:rsidP="000817C4">
            <w:pPr>
              <w:jc w:val="center"/>
              <w:rPr>
                <w:rFonts w:eastAsia="Times New Roman" w:cs="Times New Roman"/>
                <w:b/>
                <w:szCs w:val="24"/>
                <w:lang w:eastAsia="cs-CZ"/>
              </w:rPr>
            </w:pPr>
            <w:r w:rsidRPr="0088307E">
              <w:rPr>
                <w:rFonts w:eastAsia="Times New Roman" w:cs="Times New Roman"/>
                <w:b/>
                <w:szCs w:val="24"/>
                <w:lang w:eastAsia="cs-CZ"/>
              </w:rPr>
              <w:t>rozpočet</w:t>
            </w:r>
          </w:p>
          <w:p w14:paraId="6A7D3A1E" w14:textId="4B6A8BB1" w:rsidR="000817C4" w:rsidRPr="0088307E" w:rsidRDefault="00031BDE" w:rsidP="000817C4">
            <w:pPr>
              <w:jc w:val="center"/>
              <w:rPr>
                <w:rFonts w:eastAsia="Times New Roman" w:cs="Times New Roman"/>
                <w:b/>
                <w:szCs w:val="24"/>
                <w:lang w:eastAsia="cs-CZ"/>
              </w:rPr>
            </w:pPr>
            <w:r w:rsidRPr="0088307E">
              <w:rPr>
                <w:rFonts w:eastAsia="Times New Roman" w:cs="Times New Roman"/>
                <w:b/>
                <w:szCs w:val="24"/>
                <w:lang w:eastAsia="cs-CZ"/>
              </w:rPr>
              <w:t>2022</w:t>
            </w:r>
          </w:p>
        </w:tc>
        <w:tc>
          <w:tcPr>
            <w:tcW w:w="6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12B89D5" w14:textId="77777777" w:rsidR="000817C4" w:rsidRPr="0088307E" w:rsidRDefault="000817C4" w:rsidP="000817C4">
            <w:pPr>
              <w:jc w:val="center"/>
              <w:rPr>
                <w:rFonts w:eastAsia="Times New Roman" w:cs="Times New Roman"/>
                <w:b/>
                <w:szCs w:val="24"/>
                <w:lang w:eastAsia="cs-CZ"/>
              </w:rPr>
            </w:pPr>
            <w:r w:rsidRPr="0088307E">
              <w:rPr>
                <w:rFonts w:eastAsia="Times New Roman" w:cs="Times New Roman"/>
                <w:b/>
                <w:szCs w:val="24"/>
                <w:lang w:eastAsia="cs-CZ"/>
              </w:rPr>
              <w:t>Návrh</w:t>
            </w:r>
          </w:p>
          <w:p w14:paraId="5E5390A9" w14:textId="77777777" w:rsidR="000817C4" w:rsidRPr="0088307E" w:rsidRDefault="000817C4" w:rsidP="000817C4">
            <w:pPr>
              <w:jc w:val="center"/>
              <w:rPr>
                <w:rFonts w:eastAsia="Times New Roman" w:cs="Times New Roman"/>
                <w:b/>
                <w:szCs w:val="24"/>
                <w:lang w:eastAsia="cs-CZ"/>
              </w:rPr>
            </w:pPr>
            <w:r w:rsidRPr="0088307E">
              <w:rPr>
                <w:rFonts w:eastAsia="Times New Roman" w:cs="Times New Roman"/>
                <w:b/>
                <w:szCs w:val="24"/>
                <w:lang w:eastAsia="cs-CZ"/>
              </w:rPr>
              <w:t>rozpočtu</w:t>
            </w:r>
          </w:p>
          <w:p w14:paraId="46E18CE5" w14:textId="517DF34B" w:rsidR="000817C4" w:rsidRPr="0088307E" w:rsidRDefault="00031BDE" w:rsidP="000817C4">
            <w:pPr>
              <w:jc w:val="center"/>
              <w:rPr>
                <w:rFonts w:eastAsia="Times New Roman" w:cs="Times New Roman"/>
                <w:b/>
                <w:szCs w:val="24"/>
                <w:lang w:eastAsia="cs-CZ"/>
              </w:rPr>
            </w:pPr>
            <w:r w:rsidRPr="0088307E">
              <w:rPr>
                <w:rFonts w:eastAsia="Times New Roman" w:cs="Times New Roman"/>
                <w:b/>
                <w:szCs w:val="24"/>
                <w:lang w:eastAsia="cs-CZ"/>
              </w:rPr>
              <w:t>2023</w:t>
            </w:r>
          </w:p>
        </w:tc>
        <w:tc>
          <w:tcPr>
            <w:tcW w:w="62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5E6FD70" w14:textId="77777777" w:rsidR="000817C4" w:rsidRPr="0088307E" w:rsidRDefault="000817C4" w:rsidP="000817C4">
            <w:pPr>
              <w:jc w:val="center"/>
              <w:rPr>
                <w:rFonts w:eastAsia="Times New Roman" w:cs="Times New Roman"/>
                <w:b/>
                <w:szCs w:val="24"/>
                <w:lang w:eastAsia="cs-CZ"/>
              </w:rPr>
            </w:pPr>
            <w:r w:rsidRPr="0088307E">
              <w:rPr>
                <w:rFonts w:eastAsia="Times New Roman" w:cs="Times New Roman"/>
                <w:b/>
                <w:szCs w:val="24"/>
                <w:lang w:eastAsia="cs-CZ"/>
              </w:rPr>
              <w:t>Index</w:t>
            </w:r>
          </w:p>
          <w:p w14:paraId="1995A022" w14:textId="4F3F98BA" w:rsidR="000817C4" w:rsidRPr="0088307E" w:rsidRDefault="00031BDE" w:rsidP="000817C4">
            <w:pPr>
              <w:jc w:val="center"/>
              <w:rPr>
                <w:rFonts w:eastAsia="Times New Roman" w:cs="Times New Roman"/>
                <w:b/>
                <w:szCs w:val="24"/>
                <w:lang w:eastAsia="cs-CZ"/>
              </w:rPr>
            </w:pPr>
            <w:r w:rsidRPr="0088307E">
              <w:rPr>
                <w:rFonts w:eastAsia="Times New Roman" w:cs="Times New Roman"/>
                <w:b/>
                <w:szCs w:val="24"/>
                <w:lang w:eastAsia="cs-CZ"/>
              </w:rPr>
              <w:t>2023</w:t>
            </w:r>
            <w:r w:rsidR="000817C4" w:rsidRPr="0088307E">
              <w:rPr>
                <w:rFonts w:eastAsia="Times New Roman" w:cs="Times New Roman"/>
                <w:b/>
                <w:szCs w:val="24"/>
                <w:lang w:eastAsia="cs-CZ"/>
              </w:rPr>
              <w:t>/</w:t>
            </w:r>
            <w:r w:rsidR="000817C4" w:rsidRPr="0088307E">
              <w:rPr>
                <w:rFonts w:eastAsia="Times New Roman" w:cs="Times New Roman"/>
                <w:b/>
                <w:szCs w:val="24"/>
                <w:lang w:eastAsia="cs-CZ"/>
              </w:rPr>
              <w:br/>
            </w:r>
            <w:r w:rsidRPr="0088307E">
              <w:rPr>
                <w:rFonts w:eastAsia="Times New Roman" w:cs="Times New Roman"/>
                <w:b/>
                <w:szCs w:val="24"/>
                <w:lang w:eastAsia="cs-CZ"/>
              </w:rPr>
              <w:t xml:space="preserve">2022 </w:t>
            </w:r>
            <w:r w:rsidR="000817C4" w:rsidRPr="0088307E">
              <w:rPr>
                <w:rFonts w:eastAsia="Times New Roman" w:cs="Times New Roman"/>
                <w:b/>
                <w:szCs w:val="24"/>
                <w:lang w:eastAsia="cs-CZ"/>
              </w:rPr>
              <w:br/>
              <w:t>(v %)</w:t>
            </w:r>
          </w:p>
        </w:tc>
      </w:tr>
      <w:tr w:rsidR="00E8518E" w:rsidRPr="00E8518E" w14:paraId="1D9A0A56" w14:textId="77777777" w:rsidTr="000817C4">
        <w:tc>
          <w:tcPr>
            <w:tcW w:w="2252" w:type="pct"/>
            <w:tcBorders>
              <w:top w:val="single" w:sz="4" w:space="0" w:color="7F7F7F" w:themeColor="text1" w:themeTint="80"/>
              <w:bottom w:val="single" w:sz="8" w:space="0" w:color="7F7F7F" w:themeColor="text1" w:themeTint="80"/>
            </w:tcBorders>
            <w:shd w:val="clear" w:color="auto" w:fill="auto"/>
          </w:tcPr>
          <w:p w14:paraId="069E84CE" w14:textId="77777777" w:rsidR="000817C4" w:rsidRPr="0088307E" w:rsidRDefault="000817C4" w:rsidP="000817C4">
            <w:pPr>
              <w:jc w:val="center"/>
              <w:rPr>
                <w:rFonts w:eastAsia="Times New Roman" w:cs="Times New Roman"/>
                <w:szCs w:val="24"/>
                <w:lang w:eastAsia="cs-CZ"/>
              </w:rPr>
            </w:pPr>
            <w:r w:rsidRPr="0088307E">
              <w:rPr>
                <w:rFonts w:eastAsia="Times New Roman" w:cs="Times New Roman"/>
                <w:szCs w:val="24"/>
                <w:lang w:eastAsia="cs-CZ"/>
              </w:rPr>
              <w:t>a</w:t>
            </w:r>
          </w:p>
        </w:tc>
        <w:tc>
          <w:tcPr>
            <w:tcW w:w="749" w:type="pct"/>
            <w:tcBorders>
              <w:top w:val="single" w:sz="4" w:space="0" w:color="7F7F7F" w:themeColor="text1" w:themeTint="80"/>
              <w:bottom w:val="single" w:sz="8" w:space="0" w:color="7F7F7F" w:themeColor="text1" w:themeTint="80"/>
            </w:tcBorders>
            <w:shd w:val="clear" w:color="auto" w:fill="auto"/>
          </w:tcPr>
          <w:p w14:paraId="0A599500" w14:textId="77777777" w:rsidR="000817C4" w:rsidRPr="0088307E" w:rsidRDefault="000817C4" w:rsidP="000817C4">
            <w:pPr>
              <w:jc w:val="center"/>
              <w:rPr>
                <w:rFonts w:eastAsia="Times New Roman" w:cs="Times New Roman"/>
                <w:szCs w:val="24"/>
                <w:lang w:eastAsia="cs-CZ"/>
              </w:rPr>
            </w:pPr>
            <w:r w:rsidRPr="0088307E">
              <w:rPr>
                <w:rFonts w:eastAsia="Times New Roman" w:cs="Times New Roman"/>
                <w:szCs w:val="24"/>
                <w:lang w:eastAsia="cs-CZ"/>
              </w:rPr>
              <w:t>1</w:t>
            </w:r>
          </w:p>
        </w:tc>
        <w:tc>
          <w:tcPr>
            <w:tcW w:w="719" w:type="pct"/>
            <w:tcBorders>
              <w:top w:val="single" w:sz="4" w:space="0" w:color="7F7F7F" w:themeColor="text1" w:themeTint="80"/>
              <w:bottom w:val="single" w:sz="8" w:space="0" w:color="7F7F7F" w:themeColor="text1" w:themeTint="80"/>
            </w:tcBorders>
            <w:shd w:val="clear" w:color="auto" w:fill="auto"/>
          </w:tcPr>
          <w:p w14:paraId="29B5E363" w14:textId="77777777" w:rsidR="000817C4" w:rsidRPr="0088307E" w:rsidRDefault="000817C4" w:rsidP="000817C4">
            <w:pPr>
              <w:jc w:val="center"/>
              <w:rPr>
                <w:rFonts w:eastAsia="Times New Roman" w:cs="Times New Roman"/>
                <w:szCs w:val="24"/>
                <w:lang w:eastAsia="cs-CZ"/>
              </w:rPr>
            </w:pPr>
            <w:r w:rsidRPr="0088307E">
              <w:rPr>
                <w:rFonts w:eastAsia="Times New Roman" w:cs="Times New Roman"/>
                <w:szCs w:val="24"/>
                <w:lang w:eastAsia="cs-CZ"/>
              </w:rPr>
              <w:t>2</w:t>
            </w:r>
          </w:p>
        </w:tc>
        <w:tc>
          <w:tcPr>
            <w:tcW w:w="654" w:type="pct"/>
            <w:tcBorders>
              <w:top w:val="single" w:sz="4" w:space="0" w:color="7F7F7F" w:themeColor="text1" w:themeTint="80"/>
              <w:bottom w:val="single" w:sz="8" w:space="0" w:color="7F7F7F" w:themeColor="text1" w:themeTint="80"/>
            </w:tcBorders>
            <w:shd w:val="clear" w:color="auto" w:fill="auto"/>
          </w:tcPr>
          <w:p w14:paraId="41E12442" w14:textId="77777777" w:rsidR="000817C4" w:rsidRPr="0088307E" w:rsidRDefault="000817C4" w:rsidP="000817C4">
            <w:pPr>
              <w:jc w:val="center"/>
              <w:rPr>
                <w:rFonts w:eastAsia="Times New Roman" w:cs="Times New Roman"/>
                <w:szCs w:val="24"/>
                <w:lang w:eastAsia="cs-CZ"/>
              </w:rPr>
            </w:pPr>
            <w:r w:rsidRPr="0088307E">
              <w:rPr>
                <w:rFonts w:eastAsia="Times New Roman" w:cs="Times New Roman"/>
                <w:szCs w:val="24"/>
                <w:lang w:eastAsia="cs-CZ"/>
              </w:rPr>
              <w:t>3</w:t>
            </w:r>
          </w:p>
        </w:tc>
        <w:tc>
          <w:tcPr>
            <w:tcW w:w="626" w:type="pct"/>
            <w:tcBorders>
              <w:top w:val="single" w:sz="4" w:space="0" w:color="7F7F7F" w:themeColor="text1" w:themeTint="80"/>
              <w:bottom w:val="single" w:sz="8" w:space="0" w:color="7F7F7F" w:themeColor="text1" w:themeTint="80"/>
            </w:tcBorders>
            <w:shd w:val="clear" w:color="auto" w:fill="auto"/>
          </w:tcPr>
          <w:p w14:paraId="7538C2E7" w14:textId="77777777" w:rsidR="000817C4" w:rsidRPr="0088307E" w:rsidRDefault="000817C4" w:rsidP="000817C4">
            <w:pPr>
              <w:jc w:val="center"/>
              <w:rPr>
                <w:rFonts w:eastAsia="Times New Roman" w:cs="Times New Roman"/>
                <w:szCs w:val="24"/>
                <w:lang w:eastAsia="cs-CZ"/>
              </w:rPr>
            </w:pPr>
            <w:r w:rsidRPr="0088307E">
              <w:rPr>
                <w:rFonts w:eastAsia="Times New Roman" w:cs="Times New Roman"/>
                <w:szCs w:val="24"/>
                <w:lang w:eastAsia="cs-CZ"/>
              </w:rPr>
              <w:t>4</w:t>
            </w:r>
          </w:p>
        </w:tc>
      </w:tr>
      <w:tr w:rsidR="00067460" w:rsidRPr="00E8518E" w14:paraId="510FB9C2" w14:textId="77777777" w:rsidTr="000817C4">
        <w:trPr>
          <w:trHeight w:val="447"/>
        </w:trPr>
        <w:tc>
          <w:tcPr>
            <w:tcW w:w="2252" w:type="pct"/>
            <w:tcBorders>
              <w:top w:val="single" w:sz="8" w:space="0" w:color="7F7F7F" w:themeColor="text1" w:themeTint="80"/>
              <w:bottom w:val="single" w:sz="8" w:space="0" w:color="7F7F7F" w:themeColor="text1" w:themeTint="80"/>
            </w:tcBorders>
            <w:shd w:val="clear" w:color="auto" w:fill="auto"/>
            <w:vAlign w:val="center"/>
          </w:tcPr>
          <w:p w14:paraId="398B46CE" w14:textId="1A61455A" w:rsidR="00067460" w:rsidRPr="00E8518E" w:rsidRDefault="00067460" w:rsidP="00067460">
            <w:pPr>
              <w:jc w:val="left"/>
              <w:rPr>
                <w:rFonts w:eastAsia="Times New Roman" w:cs="Times New Roman"/>
                <w:b/>
                <w:bCs/>
                <w:iCs/>
                <w:color w:val="FF0000"/>
                <w:lang w:eastAsia="cs-CZ"/>
              </w:rPr>
            </w:pPr>
            <w:r w:rsidRPr="003F730C">
              <w:rPr>
                <w:rFonts w:eastAsia="Times New Roman" w:cs="Times New Roman"/>
                <w:b/>
                <w:bCs/>
                <w:iCs/>
                <w:lang w:eastAsia="cs-CZ"/>
              </w:rPr>
              <w:t xml:space="preserve">Neinvestiční transfery podnikatelským </w:t>
            </w:r>
            <w:proofErr w:type="spellStart"/>
            <w:r w:rsidRPr="003F730C">
              <w:rPr>
                <w:rFonts w:eastAsia="Times New Roman" w:cs="Times New Roman"/>
                <w:b/>
                <w:bCs/>
                <w:iCs/>
                <w:lang w:eastAsia="cs-CZ"/>
              </w:rPr>
              <w:t>subj</w:t>
            </w:r>
            <w:proofErr w:type="spellEnd"/>
            <w:r w:rsidRPr="003F730C">
              <w:rPr>
                <w:rFonts w:eastAsia="Times New Roman" w:cs="Times New Roman"/>
                <w:b/>
                <w:bCs/>
                <w:iCs/>
                <w:lang w:eastAsia="cs-CZ"/>
              </w:rPr>
              <w:t xml:space="preserve">. </w:t>
            </w:r>
            <w:proofErr w:type="gramStart"/>
            <w:r w:rsidRPr="003F730C">
              <w:rPr>
                <w:rFonts w:eastAsia="Times New Roman" w:cs="Times New Roman"/>
                <w:b/>
                <w:bCs/>
                <w:iCs/>
                <w:lang w:eastAsia="cs-CZ"/>
              </w:rPr>
              <w:t>celkem</w:t>
            </w:r>
            <w:proofErr w:type="gramEnd"/>
            <w:r w:rsidRPr="003F730C">
              <w:rPr>
                <w:rFonts w:eastAsia="Times New Roman" w:cs="Times New Roman"/>
                <w:b/>
                <w:bCs/>
                <w:iCs/>
                <w:lang w:eastAsia="cs-CZ"/>
              </w:rPr>
              <w:t xml:space="preserve"> </w:t>
            </w:r>
            <w:r w:rsidRPr="003F730C">
              <w:rPr>
                <w:rFonts w:eastAsia="Times New Roman" w:cs="Times New Roman"/>
                <w:bCs/>
                <w:iCs/>
                <w:lang w:eastAsia="cs-CZ"/>
              </w:rPr>
              <w:t>v tom:</w:t>
            </w:r>
          </w:p>
        </w:tc>
        <w:tc>
          <w:tcPr>
            <w:tcW w:w="749" w:type="pct"/>
            <w:tcBorders>
              <w:top w:val="single" w:sz="5" w:space="0" w:color="7F7F7F" w:themeColor="text1" w:themeTint="80"/>
              <w:bottom w:val="single" w:sz="5" w:space="0" w:color="7F7F7F" w:themeColor="text1" w:themeTint="80"/>
            </w:tcBorders>
            <w:shd w:val="clear" w:color="auto" w:fill="auto"/>
            <w:vAlign w:val="center"/>
          </w:tcPr>
          <w:p w14:paraId="2F282434" w14:textId="20AE472B" w:rsidR="00067460" w:rsidRPr="00E8518E" w:rsidRDefault="00067460" w:rsidP="00067460">
            <w:pPr>
              <w:spacing w:after="81"/>
              <w:jc w:val="right"/>
              <w:rPr>
                <w:rFonts w:eastAsia="Times New Roman" w:cs="Times New Roman"/>
                <w:b/>
                <w:bCs/>
                <w:iCs/>
                <w:color w:val="FF0000"/>
                <w:lang w:eastAsia="cs-CZ"/>
              </w:rPr>
            </w:pPr>
            <w:r w:rsidRPr="003F730C">
              <w:rPr>
                <w:rFonts w:eastAsia="Times New Roman" w:cs="Times New Roman"/>
                <w:b/>
                <w:bCs/>
                <w:iCs/>
                <w:lang w:eastAsia="cs-CZ"/>
              </w:rPr>
              <w:t>6 646 625</w:t>
            </w:r>
          </w:p>
        </w:tc>
        <w:tc>
          <w:tcPr>
            <w:tcW w:w="719" w:type="pct"/>
            <w:tcBorders>
              <w:top w:val="single" w:sz="5" w:space="0" w:color="7F7F7F" w:themeColor="text1" w:themeTint="80"/>
              <w:bottom w:val="single" w:sz="5" w:space="0" w:color="7F7F7F" w:themeColor="text1" w:themeTint="80"/>
            </w:tcBorders>
            <w:shd w:val="clear" w:color="auto" w:fill="auto"/>
            <w:vAlign w:val="center"/>
          </w:tcPr>
          <w:p w14:paraId="3201B0CA" w14:textId="58ECFC4F" w:rsidR="00067460" w:rsidRPr="00E8518E" w:rsidRDefault="00067460" w:rsidP="00067460">
            <w:pPr>
              <w:spacing w:after="81"/>
              <w:jc w:val="right"/>
              <w:rPr>
                <w:rFonts w:eastAsia="Times New Roman" w:cs="Times New Roman"/>
                <w:b/>
                <w:bCs/>
                <w:iCs/>
                <w:color w:val="FF0000"/>
                <w:lang w:eastAsia="cs-CZ"/>
              </w:rPr>
            </w:pPr>
            <w:r w:rsidRPr="003F730C">
              <w:rPr>
                <w:rFonts w:eastAsia="Times New Roman" w:cs="Times New Roman"/>
                <w:b/>
                <w:bCs/>
                <w:iCs/>
                <w:lang w:eastAsia="cs-CZ"/>
              </w:rPr>
              <w:t>5 695 410</w:t>
            </w:r>
          </w:p>
        </w:tc>
        <w:tc>
          <w:tcPr>
            <w:tcW w:w="654" w:type="pct"/>
            <w:tcBorders>
              <w:top w:val="single" w:sz="5" w:space="0" w:color="7F7F7F" w:themeColor="text1" w:themeTint="80"/>
              <w:bottom w:val="single" w:sz="5" w:space="0" w:color="7F7F7F" w:themeColor="text1" w:themeTint="80"/>
            </w:tcBorders>
            <w:shd w:val="clear" w:color="auto" w:fill="auto"/>
            <w:vAlign w:val="center"/>
          </w:tcPr>
          <w:p w14:paraId="05E7FD51" w14:textId="6B9BF1AE" w:rsidR="00067460" w:rsidRPr="00E8518E" w:rsidRDefault="00F74C83" w:rsidP="00067460">
            <w:pPr>
              <w:spacing w:after="81"/>
              <w:jc w:val="right"/>
              <w:rPr>
                <w:rFonts w:eastAsia="Times New Roman" w:cs="Times New Roman"/>
                <w:b/>
                <w:bCs/>
                <w:iCs/>
                <w:color w:val="FF0000"/>
                <w:lang w:eastAsia="cs-CZ"/>
              </w:rPr>
            </w:pPr>
            <w:r>
              <w:rPr>
                <w:rFonts w:eastAsia="Times New Roman" w:cs="Times New Roman"/>
                <w:b/>
                <w:bCs/>
                <w:iCs/>
                <w:lang w:eastAsia="cs-CZ"/>
              </w:rPr>
              <w:t>7 848 565</w:t>
            </w:r>
          </w:p>
        </w:tc>
        <w:tc>
          <w:tcPr>
            <w:tcW w:w="626" w:type="pct"/>
            <w:tcBorders>
              <w:top w:val="single" w:sz="5" w:space="0" w:color="7F7F7F" w:themeColor="text1" w:themeTint="80"/>
              <w:bottom w:val="single" w:sz="5" w:space="0" w:color="7F7F7F" w:themeColor="text1" w:themeTint="80"/>
            </w:tcBorders>
            <w:shd w:val="clear" w:color="auto" w:fill="auto"/>
            <w:vAlign w:val="center"/>
          </w:tcPr>
          <w:p w14:paraId="2FEDCE4A" w14:textId="58938523" w:rsidR="00067460" w:rsidRPr="00E8518E" w:rsidRDefault="00F74C83" w:rsidP="00067460">
            <w:pPr>
              <w:spacing w:after="81"/>
              <w:jc w:val="right"/>
              <w:rPr>
                <w:rFonts w:eastAsia="Times New Roman" w:cs="Times New Roman"/>
                <w:b/>
                <w:bCs/>
                <w:iCs/>
                <w:color w:val="FF0000"/>
                <w:lang w:eastAsia="cs-CZ"/>
              </w:rPr>
            </w:pPr>
            <w:r>
              <w:rPr>
                <w:rFonts w:eastAsia="Times New Roman" w:cs="Times New Roman"/>
                <w:b/>
                <w:bCs/>
                <w:iCs/>
                <w:lang w:eastAsia="cs-CZ"/>
              </w:rPr>
              <w:t>137,81</w:t>
            </w:r>
          </w:p>
        </w:tc>
      </w:tr>
      <w:tr w:rsidR="00067460" w:rsidRPr="00E8518E" w14:paraId="53342F5A" w14:textId="77777777" w:rsidTr="000817C4">
        <w:tc>
          <w:tcPr>
            <w:tcW w:w="2252" w:type="pct"/>
            <w:tcBorders>
              <w:top w:val="single" w:sz="8" w:space="0" w:color="7F7F7F" w:themeColor="text1" w:themeTint="80"/>
            </w:tcBorders>
            <w:shd w:val="clear" w:color="auto" w:fill="auto"/>
          </w:tcPr>
          <w:p w14:paraId="63562F40" w14:textId="2E678355" w:rsidR="00067460" w:rsidRPr="00E8518E" w:rsidRDefault="00067460">
            <w:pPr>
              <w:ind w:left="21" w:hanging="122"/>
              <w:jc w:val="left"/>
              <w:rPr>
                <w:rFonts w:eastAsia="Times New Roman" w:cs="Times New Roman"/>
                <w:bCs/>
                <w:iCs/>
                <w:color w:val="FF0000"/>
                <w:lang w:eastAsia="cs-CZ"/>
              </w:rPr>
            </w:pPr>
            <w:r w:rsidRPr="003F730C">
              <w:rPr>
                <w:rFonts w:eastAsia="Times New Roman" w:cs="Times New Roman"/>
                <w:bCs/>
                <w:iCs/>
                <w:lang w:eastAsia="cs-CZ"/>
              </w:rPr>
              <w:t xml:space="preserve">  úhrada ztráty ze závazku veřejné služby ve veřejné drážní osobní dopravě</w:t>
            </w:r>
          </w:p>
        </w:tc>
        <w:tc>
          <w:tcPr>
            <w:tcW w:w="749" w:type="pct"/>
            <w:tcBorders>
              <w:top w:val="single" w:sz="5" w:space="0" w:color="7F7F7F" w:themeColor="text1" w:themeTint="80"/>
            </w:tcBorders>
            <w:shd w:val="clear" w:color="auto" w:fill="auto"/>
            <w:vAlign w:val="center"/>
          </w:tcPr>
          <w:p w14:paraId="7C5F9A0A" w14:textId="542611C5"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5 182 504</w:t>
            </w:r>
          </w:p>
        </w:tc>
        <w:tc>
          <w:tcPr>
            <w:tcW w:w="719" w:type="pct"/>
            <w:tcBorders>
              <w:top w:val="single" w:sz="5" w:space="0" w:color="7F7F7F" w:themeColor="text1" w:themeTint="80"/>
            </w:tcBorders>
            <w:shd w:val="clear" w:color="auto" w:fill="auto"/>
            <w:vAlign w:val="center"/>
          </w:tcPr>
          <w:p w14:paraId="7AA57222" w14:textId="53848DC1"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5 592 460</w:t>
            </w:r>
          </w:p>
        </w:tc>
        <w:tc>
          <w:tcPr>
            <w:tcW w:w="654" w:type="pct"/>
            <w:tcBorders>
              <w:top w:val="single" w:sz="5" w:space="0" w:color="7F7F7F" w:themeColor="text1" w:themeTint="80"/>
            </w:tcBorders>
            <w:shd w:val="clear" w:color="auto" w:fill="auto"/>
            <w:vAlign w:val="center"/>
          </w:tcPr>
          <w:p w14:paraId="38186FF9" w14:textId="1F3F0121" w:rsidR="00067460" w:rsidRPr="00E8518E" w:rsidRDefault="00056392" w:rsidP="00067460">
            <w:pPr>
              <w:jc w:val="right"/>
              <w:rPr>
                <w:rFonts w:eastAsia="Times New Roman" w:cs="Times New Roman"/>
                <w:bCs/>
                <w:iCs/>
                <w:color w:val="FF0000"/>
                <w:lang w:eastAsia="cs-CZ"/>
              </w:rPr>
            </w:pPr>
            <w:r>
              <w:rPr>
                <w:rFonts w:eastAsia="Times New Roman" w:cs="Times New Roman"/>
                <w:bCs/>
                <w:iCs/>
                <w:lang w:eastAsia="cs-CZ"/>
              </w:rPr>
              <w:t>7 219 105</w:t>
            </w:r>
          </w:p>
        </w:tc>
        <w:tc>
          <w:tcPr>
            <w:tcW w:w="626" w:type="pct"/>
            <w:tcBorders>
              <w:top w:val="single" w:sz="5" w:space="0" w:color="7F7F7F" w:themeColor="text1" w:themeTint="80"/>
            </w:tcBorders>
            <w:shd w:val="clear" w:color="auto" w:fill="auto"/>
            <w:vAlign w:val="center"/>
          </w:tcPr>
          <w:p w14:paraId="1C8C7368" w14:textId="4F1B0490" w:rsidR="00067460" w:rsidRPr="00E8518E" w:rsidRDefault="00056392" w:rsidP="00067460">
            <w:pPr>
              <w:jc w:val="right"/>
              <w:rPr>
                <w:rFonts w:eastAsia="Times New Roman" w:cs="Times New Roman"/>
                <w:bCs/>
                <w:iCs/>
                <w:color w:val="FF0000"/>
                <w:lang w:eastAsia="cs-CZ"/>
              </w:rPr>
            </w:pPr>
            <w:r>
              <w:rPr>
                <w:rFonts w:eastAsia="Times New Roman" w:cs="Times New Roman"/>
                <w:bCs/>
                <w:iCs/>
                <w:lang w:eastAsia="cs-CZ"/>
              </w:rPr>
              <w:t>129,09</w:t>
            </w:r>
          </w:p>
        </w:tc>
      </w:tr>
      <w:tr w:rsidR="00067460" w:rsidRPr="00E8518E" w14:paraId="2A117E89" w14:textId="77777777" w:rsidTr="0088307E">
        <w:trPr>
          <w:trHeight w:val="547"/>
        </w:trPr>
        <w:tc>
          <w:tcPr>
            <w:tcW w:w="2252" w:type="pct"/>
            <w:shd w:val="clear" w:color="auto" w:fill="auto"/>
            <w:vAlign w:val="center"/>
          </w:tcPr>
          <w:p w14:paraId="14096FFB" w14:textId="2D284777" w:rsidR="00067460" w:rsidRPr="00E8518E" w:rsidRDefault="00067460" w:rsidP="00A851ED">
            <w:pPr>
              <w:ind w:left="21" w:hanging="122"/>
              <w:jc w:val="left"/>
              <w:rPr>
                <w:rFonts w:eastAsia="Times New Roman" w:cs="Times New Roman"/>
                <w:bCs/>
                <w:iCs/>
                <w:color w:val="FF0000"/>
                <w:lang w:eastAsia="cs-CZ"/>
              </w:rPr>
            </w:pPr>
            <w:r w:rsidRPr="003F730C">
              <w:rPr>
                <w:rFonts w:eastAsia="Times New Roman" w:cs="Times New Roman"/>
                <w:bCs/>
                <w:iCs/>
                <w:lang w:eastAsia="cs-CZ"/>
              </w:rPr>
              <w:t xml:space="preserve">   ROCET</w:t>
            </w:r>
            <w:r w:rsidR="00A705D0">
              <w:rPr>
                <w:rFonts w:eastAsia="Times New Roman" w:cs="Times New Roman"/>
                <w:bCs/>
                <w:iCs/>
                <w:lang w:eastAsia="cs-CZ"/>
              </w:rPr>
              <w:t xml:space="preserve"> – Podpora železničních nákladních dopravců v el. </w:t>
            </w:r>
            <w:proofErr w:type="gramStart"/>
            <w:r w:rsidR="00A705D0">
              <w:rPr>
                <w:rFonts w:eastAsia="Times New Roman" w:cs="Times New Roman"/>
                <w:bCs/>
                <w:iCs/>
                <w:lang w:eastAsia="cs-CZ"/>
              </w:rPr>
              <w:t>trakci</w:t>
            </w:r>
            <w:proofErr w:type="gramEnd"/>
          </w:p>
        </w:tc>
        <w:tc>
          <w:tcPr>
            <w:tcW w:w="749" w:type="pct"/>
            <w:shd w:val="clear" w:color="auto" w:fill="auto"/>
            <w:vAlign w:val="center"/>
          </w:tcPr>
          <w:p w14:paraId="4919B352" w14:textId="1C57EC40"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187 094</w:t>
            </w:r>
          </w:p>
        </w:tc>
        <w:tc>
          <w:tcPr>
            <w:tcW w:w="719" w:type="pct"/>
            <w:shd w:val="clear" w:color="auto" w:fill="auto"/>
            <w:vAlign w:val="center"/>
          </w:tcPr>
          <w:p w14:paraId="7A012109" w14:textId="740F0599"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0</w:t>
            </w:r>
          </w:p>
        </w:tc>
        <w:tc>
          <w:tcPr>
            <w:tcW w:w="654" w:type="pct"/>
            <w:shd w:val="clear" w:color="auto" w:fill="auto"/>
            <w:vAlign w:val="center"/>
          </w:tcPr>
          <w:p w14:paraId="185D44B7" w14:textId="7F56C12E"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0</w:t>
            </w:r>
          </w:p>
        </w:tc>
        <w:tc>
          <w:tcPr>
            <w:tcW w:w="626" w:type="pct"/>
            <w:shd w:val="clear" w:color="auto" w:fill="auto"/>
            <w:vAlign w:val="center"/>
          </w:tcPr>
          <w:p w14:paraId="4D21F06E" w14:textId="3E3DF2A1"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0,00</w:t>
            </w:r>
          </w:p>
        </w:tc>
      </w:tr>
      <w:tr w:rsidR="00067460" w:rsidRPr="00E8518E" w14:paraId="40E99A06" w14:textId="77777777" w:rsidTr="000817C4">
        <w:tc>
          <w:tcPr>
            <w:tcW w:w="2252" w:type="pct"/>
            <w:shd w:val="clear" w:color="auto" w:fill="auto"/>
          </w:tcPr>
          <w:p w14:paraId="7C3007B0" w14:textId="6991DA23" w:rsidR="00067460" w:rsidRPr="00E8518E" w:rsidRDefault="00067460">
            <w:pPr>
              <w:ind w:left="21" w:hanging="122"/>
              <w:rPr>
                <w:rFonts w:eastAsia="Times New Roman" w:cs="Times New Roman"/>
                <w:bCs/>
                <w:iCs/>
                <w:color w:val="FF0000"/>
                <w:lang w:eastAsia="cs-CZ"/>
              </w:rPr>
            </w:pPr>
            <w:r w:rsidRPr="003F730C">
              <w:rPr>
                <w:rFonts w:eastAsia="Times New Roman" w:cs="Times New Roman"/>
                <w:bCs/>
                <w:iCs/>
                <w:lang w:eastAsia="cs-CZ"/>
              </w:rPr>
              <w:t xml:space="preserve">  úhrada poplatků vybíraných za LPS </w:t>
            </w:r>
            <w:proofErr w:type="spellStart"/>
            <w:r w:rsidRPr="003F730C">
              <w:rPr>
                <w:rFonts w:eastAsia="Times New Roman" w:cs="Times New Roman"/>
                <w:bCs/>
                <w:iCs/>
                <w:lang w:eastAsia="cs-CZ"/>
              </w:rPr>
              <w:t>poskyt</w:t>
            </w:r>
            <w:proofErr w:type="spellEnd"/>
            <w:r w:rsidRPr="003F730C">
              <w:rPr>
                <w:rFonts w:eastAsia="Times New Roman" w:cs="Times New Roman"/>
                <w:bCs/>
                <w:iCs/>
                <w:lang w:eastAsia="cs-CZ"/>
              </w:rPr>
              <w:t xml:space="preserve">. </w:t>
            </w:r>
            <w:proofErr w:type="gramStart"/>
            <w:r w:rsidRPr="003F730C">
              <w:rPr>
                <w:rFonts w:eastAsia="Times New Roman" w:cs="Times New Roman"/>
                <w:bCs/>
                <w:iCs/>
                <w:lang w:eastAsia="cs-CZ"/>
              </w:rPr>
              <w:t>ve</w:t>
            </w:r>
            <w:proofErr w:type="gramEnd"/>
            <w:r w:rsidRPr="003F730C">
              <w:rPr>
                <w:rFonts w:eastAsia="Times New Roman" w:cs="Times New Roman"/>
                <w:bCs/>
                <w:iCs/>
                <w:lang w:eastAsia="cs-CZ"/>
              </w:rPr>
              <w:t xml:space="preserve"> vzdušném prostoru ČR</w:t>
            </w:r>
          </w:p>
        </w:tc>
        <w:tc>
          <w:tcPr>
            <w:tcW w:w="749" w:type="pct"/>
            <w:shd w:val="clear" w:color="auto" w:fill="auto"/>
            <w:vAlign w:val="center"/>
          </w:tcPr>
          <w:p w14:paraId="59A3D46F" w14:textId="1B6A4DC7"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58 750</w:t>
            </w:r>
          </w:p>
        </w:tc>
        <w:tc>
          <w:tcPr>
            <w:tcW w:w="719" w:type="pct"/>
            <w:shd w:val="clear" w:color="auto" w:fill="auto"/>
            <w:vAlign w:val="center"/>
          </w:tcPr>
          <w:p w14:paraId="7D199CEF" w14:textId="583695B2"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79 950</w:t>
            </w:r>
          </w:p>
        </w:tc>
        <w:tc>
          <w:tcPr>
            <w:tcW w:w="654" w:type="pct"/>
            <w:shd w:val="clear" w:color="auto" w:fill="auto"/>
            <w:vAlign w:val="center"/>
          </w:tcPr>
          <w:p w14:paraId="5AA66B44" w14:textId="125B1918"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82 450</w:t>
            </w:r>
          </w:p>
        </w:tc>
        <w:tc>
          <w:tcPr>
            <w:tcW w:w="626" w:type="pct"/>
            <w:shd w:val="clear" w:color="auto" w:fill="auto"/>
            <w:vAlign w:val="center"/>
          </w:tcPr>
          <w:p w14:paraId="3D6E0604" w14:textId="4BDE7B7E"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103,13</w:t>
            </w:r>
          </w:p>
        </w:tc>
      </w:tr>
      <w:tr w:rsidR="00031BDE" w:rsidRPr="00E8518E" w14:paraId="42CAE9AA" w14:textId="77777777" w:rsidTr="000817C4">
        <w:tc>
          <w:tcPr>
            <w:tcW w:w="2252" w:type="pct"/>
            <w:shd w:val="clear" w:color="auto" w:fill="auto"/>
          </w:tcPr>
          <w:p w14:paraId="5CC6B876" w14:textId="31347F72" w:rsidR="00031BDE" w:rsidRPr="00E8518E" w:rsidRDefault="00031BDE">
            <w:pPr>
              <w:ind w:left="21" w:hanging="122"/>
              <w:rPr>
                <w:rFonts w:eastAsia="Times New Roman" w:cs="Times New Roman"/>
                <w:bCs/>
                <w:iCs/>
                <w:color w:val="FF0000"/>
                <w:lang w:eastAsia="cs-CZ"/>
              </w:rPr>
            </w:pPr>
            <w:r w:rsidRPr="00E8518E">
              <w:rPr>
                <w:rFonts w:eastAsia="Times New Roman" w:cs="Times New Roman"/>
                <w:bCs/>
                <w:iCs/>
                <w:color w:val="FF0000"/>
                <w:lang w:eastAsia="cs-CZ"/>
              </w:rPr>
              <w:t xml:space="preserve">  </w:t>
            </w:r>
            <w:r w:rsidRPr="0088307E">
              <w:rPr>
                <w:rFonts w:eastAsia="Times New Roman" w:cs="Times New Roman"/>
                <w:bCs/>
                <w:iCs/>
                <w:lang w:eastAsia="cs-CZ"/>
              </w:rPr>
              <w:t xml:space="preserve">výdaje na programy </w:t>
            </w:r>
            <w:proofErr w:type="spellStart"/>
            <w:r w:rsidRPr="0088307E">
              <w:rPr>
                <w:rFonts w:eastAsia="Times New Roman" w:cs="Times New Roman"/>
                <w:bCs/>
                <w:iCs/>
                <w:lang w:eastAsia="cs-CZ"/>
              </w:rPr>
              <w:t>spolufin</w:t>
            </w:r>
            <w:proofErr w:type="spellEnd"/>
            <w:r w:rsidRPr="0088307E">
              <w:rPr>
                <w:rFonts w:eastAsia="Times New Roman" w:cs="Times New Roman"/>
                <w:bCs/>
                <w:iCs/>
                <w:lang w:eastAsia="cs-CZ"/>
              </w:rPr>
              <w:t xml:space="preserve"> z EU – CEF (C-ROADS)</w:t>
            </w:r>
          </w:p>
        </w:tc>
        <w:tc>
          <w:tcPr>
            <w:tcW w:w="749" w:type="pct"/>
            <w:shd w:val="clear" w:color="auto" w:fill="auto"/>
            <w:vAlign w:val="center"/>
          </w:tcPr>
          <w:p w14:paraId="4E9F705E" w14:textId="4609F6C1" w:rsidR="00031BDE" w:rsidRPr="00E8518E" w:rsidRDefault="00031BDE" w:rsidP="00031BDE">
            <w:pPr>
              <w:jc w:val="right"/>
              <w:rPr>
                <w:rFonts w:eastAsia="Times New Roman" w:cs="Times New Roman"/>
                <w:bCs/>
                <w:iCs/>
                <w:color w:val="FF0000"/>
                <w:lang w:eastAsia="cs-CZ"/>
              </w:rPr>
            </w:pPr>
            <w:r w:rsidRPr="003F730C">
              <w:rPr>
                <w:rFonts w:eastAsia="Times New Roman" w:cs="Times New Roman"/>
                <w:bCs/>
                <w:iCs/>
                <w:lang w:eastAsia="cs-CZ"/>
              </w:rPr>
              <w:t>20 841</w:t>
            </w:r>
          </w:p>
        </w:tc>
        <w:tc>
          <w:tcPr>
            <w:tcW w:w="719" w:type="pct"/>
            <w:shd w:val="clear" w:color="auto" w:fill="auto"/>
            <w:vAlign w:val="center"/>
          </w:tcPr>
          <w:p w14:paraId="55A69665" w14:textId="074C28C0" w:rsidR="00031BDE" w:rsidRPr="00E8518E" w:rsidRDefault="00031BDE" w:rsidP="00031BDE">
            <w:pPr>
              <w:jc w:val="right"/>
              <w:rPr>
                <w:rFonts w:eastAsia="Times New Roman" w:cs="Times New Roman"/>
                <w:bCs/>
                <w:iCs/>
                <w:color w:val="FF0000"/>
                <w:lang w:eastAsia="cs-CZ"/>
              </w:rPr>
            </w:pPr>
            <w:r w:rsidRPr="003F730C">
              <w:rPr>
                <w:rFonts w:eastAsia="Times New Roman" w:cs="Times New Roman"/>
                <w:bCs/>
                <w:iCs/>
                <w:lang w:eastAsia="cs-CZ"/>
              </w:rPr>
              <w:t>0</w:t>
            </w:r>
          </w:p>
        </w:tc>
        <w:tc>
          <w:tcPr>
            <w:tcW w:w="654" w:type="pct"/>
            <w:shd w:val="clear" w:color="auto" w:fill="auto"/>
            <w:vAlign w:val="center"/>
          </w:tcPr>
          <w:p w14:paraId="72E48F22" w14:textId="0FC4110A" w:rsidR="00031BDE" w:rsidRPr="00E8518E" w:rsidRDefault="00031BDE" w:rsidP="00031BDE">
            <w:pPr>
              <w:jc w:val="right"/>
              <w:rPr>
                <w:rFonts w:eastAsia="Times New Roman" w:cs="Times New Roman"/>
                <w:bCs/>
                <w:iCs/>
                <w:color w:val="FF0000"/>
                <w:lang w:eastAsia="cs-CZ"/>
              </w:rPr>
            </w:pPr>
            <w:r w:rsidRPr="003F730C">
              <w:rPr>
                <w:rFonts w:eastAsia="Times New Roman" w:cs="Times New Roman"/>
                <w:bCs/>
                <w:iCs/>
                <w:lang w:eastAsia="cs-CZ"/>
              </w:rPr>
              <w:t>0</w:t>
            </w:r>
          </w:p>
        </w:tc>
        <w:tc>
          <w:tcPr>
            <w:tcW w:w="626" w:type="pct"/>
            <w:shd w:val="clear" w:color="auto" w:fill="auto"/>
            <w:vAlign w:val="center"/>
          </w:tcPr>
          <w:p w14:paraId="45540183" w14:textId="6FCE6474" w:rsidR="00031BDE" w:rsidRPr="00E8518E" w:rsidRDefault="00031BDE" w:rsidP="00031BDE">
            <w:pPr>
              <w:jc w:val="right"/>
              <w:rPr>
                <w:rFonts w:eastAsia="Times New Roman" w:cs="Times New Roman"/>
                <w:bCs/>
                <w:iCs/>
                <w:color w:val="FF0000"/>
                <w:lang w:eastAsia="cs-CZ"/>
              </w:rPr>
            </w:pPr>
            <w:r w:rsidRPr="003F730C">
              <w:rPr>
                <w:rFonts w:eastAsia="Times New Roman" w:cs="Times New Roman"/>
                <w:bCs/>
                <w:iCs/>
                <w:lang w:eastAsia="cs-CZ"/>
              </w:rPr>
              <w:t>0,00</w:t>
            </w:r>
          </w:p>
        </w:tc>
      </w:tr>
      <w:tr w:rsidR="00067460" w:rsidRPr="00E8518E" w14:paraId="32927EB7" w14:textId="77777777" w:rsidTr="000817C4">
        <w:tc>
          <w:tcPr>
            <w:tcW w:w="2252" w:type="pct"/>
            <w:shd w:val="clear" w:color="auto" w:fill="auto"/>
          </w:tcPr>
          <w:p w14:paraId="7D72E7E2" w14:textId="5BF09C57" w:rsidR="00067460" w:rsidRPr="00CB58DE" w:rsidRDefault="00067460">
            <w:pPr>
              <w:ind w:left="21" w:hanging="6"/>
              <w:rPr>
                <w:rFonts w:eastAsia="Times New Roman" w:cs="Times New Roman"/>
                <w:bCs/>
                <w:iCs/>
                <w:color w:val="FF0000"/>
                <w:lang w:eastAsia="cs-CZ"/>
              </w:rPr>
            </w:pPr>
            <w:r w:rsidRPr="00CB58DE">
              <w:rPr>
                <w:rFonts w:eastAsia="Times New Roman" w:cs="Times New Roman"/>
                <w:bCs/>
                <w:iCs/>
                <w:lang w:eastAsia="cs-CZ"/>
              </w:rPr>
              <w:t xml:space="preserve">podpora obnovy </w:t>
            </w:r>
            <w:proofErr w:type="spellStart"/>
            <w:r w:rsidRPr="00CB58DE">
              <w:rPr>
                <w:rFonts w:eastAsia="Times New Roman" w:cs="Times New Roman"/>
                <w:bCs/>
                <w:iCs/>
                <w:lang w:eastAsia="cs-CZ"/>
              </w:rPr>
              <w:t>histor</w:t>
            </w:r>
            <w:proofErr w:type="spellEnd"/>
            <w:r w:rsidRPr="00CB58DE">
              <w:rPr>
                <w:rFonts w:eastAsia="Times New Roman" w:cs="Times New Roman"/>
                <w:bCs/>
                <w:iCs/>
                <w:lang w:eastAsia="cs-CZ"/>
              </w:rPr>
              <w:t>. železničních kolejových vozidel (127 66/127 67)</w:t>
            </w:r>
          </w:p>
        </w:tc>
        <w:tc>
          <w:tcPr>
            <w:tcW w:w="749" w:type="pct"/>
            <w:shd w:val="clear" w:color="auto" w:fill="auto"/>
            <w:vAlign w:val="center"/>
          </w:tcPr>
          <w:p w14:paraId="3C36D418" w14:textId="38AAAC84" w:rsidR="00067460" w:rsidRPr="00CB58DE" w:rsidRDefault="00067460" w:rsidP="00067460">
            <w:pPr>
              <w:jc w:val="right"/>
              <w:rPr>
                <w:rFonts w:eastAsia="Times New Roman" w:cs="Times New Roman"/>
                <w:bCs/>
                <w:iCs/>
                <w:color w:val="FF0000"/>
                <w:lang w:eastAsia="cs-CZ"/>
              </w:rPr>
            </w:pPr>
            <w:r w:rsidRPr="00CB58DE">
              <w:rPr>
                <w:rFonts w:eastAsia="Times New Roman" w:cs="Times New Roman"/>
                <w:bCs/>
                <w:iCs/>
                <w:lang w:eastAsia="cs-CZ"/>
              </w:rPr>
              <w:t>3 820</w:t>
            </w:r>
          </w:p>
        </w:tc>
        <w:tc>
          <w:tcPr>
            <w:tcW w:w="719" w:type="pct"/>
            <w:shd w:val="clear" w:color="auto" w:fill="auto"/>
            <w:vAlign w:val="center"/>
          </w:tcPr>
          <w:p w14:paraId="1E737476" w14:textId="06A927E9" w:rsidR="00067460" w:rsidRPr="00CB58DE" w:rsidRDefault="00067460" w:rsidP="00067460">
            <w:pPr>
              <w:jc w:val="right"/>
              <w:rPr>
                <w:rFonts w:eastAsia="Times New Roman" w:cs="Times New Roman"/>
                <w:bCs/>
                <w:iCs/>
                <w:color w:val="FF0000"/>
                <w:lang w:eastAsia="cs-CZ"/>
              </w:rPr>
            </w:pPr>
            <w:r w:rsidRPr="00CB58DE">
              <w:rPr>
                <w:rFonts w:eastAsia="Times New Roman" w:cs="Times New Roman"/>
                <w:bCs/>
                <w:iCs/>
                <w:lang w:eastAsia="cs-CZ"/>
              </w:rPr>
              <w:t>5 000</w:t>
            </w:r>
          </w:p>
        </w:tc>
        <w:tc>
          <w:tcPr>
            <w:tcW w:w="654" w:type="pct"/>
            <w:shd w:val="clear" w:color="auto" w:fill="auto"/>
            <w:vAlign w:val="center"/>
          </w:tcPr>
          <w:p w14:paraId="4E47A13E" w14:textId="226CD4F6" w:rsidR="00067460" w:rsidRPr="00CB58DE" w:rsidRDefault="00067460" w:rsidP="00067460">
            <w:pPr>
              <w:jc w:val="right"/>
              <w:rPr>
                <w:rFonts w:eastAsia="Times New Roman" w:cs="Times New Roman"/>
                <w:bCs/>
                <w:iCs/>
                <w:color w:val="FF0000"/>
                <w:lang w:eastAsia="cs-CZ"/>
              </w:rPr>
            </w:pPr>
            <w:r w:rsidRPr="00CB58DE">
              <w:rPr>
                <w:rFonts w:eastAsia="Times New Roman" w:cs="Times New Roman"/>
                <w:bCs/>
                <w:iCs/>
                <w:lang w:eastAsia="cs-CZ"/>
              </w:rPr>
              <w:t>5 000</w:t>
            </w:r>
          </w:p>
        </w:tc>
        <w:tc>
          <w:tcPr>
            <w:tcW w:w="626" w:type="pct"/>
            <w:shd w:val="clear" w:color="auto" w:fill="auto"/>
            <w:vAlign w:val="center"/>
          </w:tcPr>
          <w:p w14:paraId="2D01A137" w14:textId="4432A780" w:rsidR="00067460" w:rsidRPr="00CB58DE" w:rsidRDefault="00067460" w:rsidP="00067460">
            <w:pPr>
              <w:jc w:val="right"/>
              <w:rPr>
                <w:rFonts w:eastAsia="Times New Roman" w:cs="Times New Roman"/>
                <w:bCs/>
                <w:iCs/>
                <w:color w:val="FF0000"/>
                <w:lang w:eastAsia="cs-CZ"/>
              </w:rPr>
            </w:pPr>
            <w:r w:rsidRPr="00CB58DE">
              <w:rPr>
                <w:rFonts w:eastAsia="Times New Roman" w:cs="Times New Roman"/>
                <w:bCs/>
                <w:iCs/>
                <w:lang w:eastAsia="cs-CZ"/>
              </w:rPr>
              <w:t>100,00</w:t>
            </w:r>
          </w:p>
        </w:tc>
      </w:tr>
      <w:tr w:rsidR="00067460" w:rsidRPr="00E8518E" w14:paraId="093EC344" w14:textId="77777777" w:rsidTr="000817C4">
        <w:tc>
          <w:tcPr>
            <w:tcW w:w="2252" w:type="pct"/>
            <w:shd w:val="clear" w:color="auto" w:fill="auto"/>
          </w:tcPr>
          <w:p w14:paraId="3914141D" w14:textId="6650B3F0" w:rsidR="00067460" w:rsidRPr="00E8518E" w:rsidRDefault="00067460" w:rsidP="00AA0782">
            <w:pPr>
              <w:ind w:left="21" w:hanging="5"/>
              <w:rPr>
                <w:rFonts w:eastAsia="Times New Roman" w:cs="Times New Roman"/>
                <w:bCs/>
                <w:iCs/>
                <w:color w:val="FF0000"/>
                <w:lang w:eastAsia="cs-CZ"/>
              </w:rPr>
            </w:pPr>
            <w:r w:rsidRPr="003F730C">
              <w:rPr>
                <w:rFonts w:eastAsia="Times New Roman" w:cs="Times New Roman"/>
                <w:bCs/>
                <w:iCs/>
                <w:lang w:eastAsia="cs-CZ"/>
              </w:rPr>
              <w:t xml:space="preserve">U </w:t>
            </w:r>
            <w:proofErr w:type="spellStart"/>
            <w:r w:rsidRPr="003F730C">
              <w:rPr>
                <w:rFonts w:eastAsia="Times New Roman" w:cs="Times New Roman"/>
                <w:bCs/>
                <w:iCs/>
                <w:lang w:eastAsia="cs-CZ"/>
              </w:rPr>
              <w:t>Space</w:t>
            </w:r>
            <w:proofErr w:type="spellEnd"/>
            <w:r w:rsidRPr="003F730C">
              <w:rPr>
                <w:rFonts w:eastAsia="Times New Roman" w:cs="Times New Roman"/>
                <w:bCs/>
                <w:iCs/>
                <w:lang w:eastAsia="cs-CZ"/>
              </w:rPr>
              <w:t xml:space="preserve"> – ŘLP (</w:t>
            </w:r>
            <w:proofErr w:type="spellStart"/>
            <w:r w:rsidRPr="003F730C">
              <w:rPr>
                <w:rFonts w:eastAsia="Times New Roman" w:cs="Times New Roman"/>
                <w:bCs/>
                <w:iCs/>
                <w:lang w:eastAsia="cs-CZ"/>
              </w:rPr>
              <w:t>drony</w:t>
            </w:r>
            <w:proofErr w:type="spellEnd"/>
            <w:r w:rsidRPr="003F730C">
              <w:rPr>
                <w:rFonts w:eastAsia="Times New Roman" w:cs="Times New Roman"/>
                <w:bCs/>
                <w:iCs/>
                <w:lang w:eastAsia="cs-CZ"/>
              </w:rPr>
              <w:t>)</w:t>
            </w:r>
          </w:p>
        </w:tc>
        <w:tc>
          <w:tcPr>
            <w:tcW w:w="749" w:type="pct"/>
            <w:shd w:val="clear" w:color="auto" w:fill="auto"/>
            <w:vAlign w:val="center"/>
          </w:tcPr>
          <w:p w14:paraId="52546A03" w14:textId="4113E13E"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0</w:t>
            </w:r>
          </w:p>
        </w:tc>
        <w:tc>
          <w:tcPr>
            <w:tcW w:w="719" w:type="pct"/>
            <w:shd w:val="clear" w:color="auto" w:fill="auto"/>
            <w:vAlign w:val="center"/>
          </w:tcPr>
          <w:p w14:paraId="0B73C7E4" w14:textId="32B4E64F"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18 000</w:t>
            </w:r>
          </w:p>
        </w:tc>
        <w:tc>
          <w:tcPr>
            <w:tcW w:w="654" w:type="pct"/>
            <w:shd w:val="clear" w:color="auto" w:fill="auto"/>
            <w:vAlign w:val="center"/>
          </w:tcPr>
          <w:p w14:paraId="73C81E49" w14:textId="60F435EB"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24 500</w:t>
            </w:r>
          </w:p>
        </w:tc>
        <w:tc>
          <w:tcPr>
            <w:tcW w:w="626" w:type="pct"/>
            <w:shd w:val="clear" w:color="auto" w:fill="auto"/>
            <w:vAlign w:val="center"/>
          </w:tcPr>
          <w:p w14:paraId="5F3EDA04" w14:textId="13C574AE"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136,11</w:t>
            </w:r>
          </w:p>
        </w:tc>
      </w:tr>
      <w:tr w:rsidR="00067460" w:rsidRPr="00E8518E" w14:paraId="6DA15A5A" w14:textId="77777777" w:rsidTr="000817C4">
        <w:tc>
          <w:tcPr>
            <w:tcW w:w="2252" w:type="pct"/>
            <w:shd w:val="clear" w:color="auto" w:fill="auto"/>
          </w:tcPr>
          <w:p w14:paraId="47D5CC30" w14:textId="1919F7CD" w:rsidR="00067460" w:rsidRPr="00E8518E" w:rsidRDefault="00067460" w:rsidP="00067460">
            <w:pPr>
              <w:ind w:left="21" w:hanging="6"/>
              <w:rPr>
                <w:rFonts w:eastAsia="Times New Roman" w:cs="Times New Roman"/>
                <w:bCs/>
                <w:iCs/>
                <w:color w:val="FF0000"/>
                <w:lang w:eastAsia="cs-CZ"/>
              </w:rPr>
            </w:pPr>
            <w:r w:rsidRPr="003F730C">
              <w:rPr>
                <w:rFonts w:eastAsia="Times New Roman" w:cs="Times New Roman"/>
                <w:bCs/>
                <w:iCs/>
                <w:lang w:eastAsia="cs-CZ"/>
              </w:rPr>
              <w:t xml:space="preserve">podpora COVID </w:t>
            </w:r>
          </w:p>
        </w:tc>
        <w:tc>
          <w:tcPr>
            <w:tcW w:w="749" w:type="pct"/>
            <w:shd w:val="clear" w:color="auto" w:fill="auto"/>
            <w:vAlign w:val="center"/>
          </w:tcPr>
          <w:p w14:paraId="70072806" w14:textId="14443CFB"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1 193 616</w:t>
            </w:r>
          </w:p>
        </w:tc>
        <w:tc>
          <w:tcPr>
            <w:tcW w:w="719" w:type="pct"/>
            <w:shd w:val="clear" w:color="auto" w:fill="auto"/>
            <w:vAlign w:val="center"/>
          </w:tcPr>
          <w:p w14:paraId="5D975F2C" w14:textId="18E423EE"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0</w:t>
            </w:r>
          </w:p>
        </w:tc>
        <w:tc>
          <w:tcPr>
            <w:tcW w:w="654" w:type="pct"/>
            <w:shd w:val="clear" w:color="auto" w:fill="auto"/>
            <w:vAlign w:val="center"/>
          </w:tcPr>
          <w:p w14:paraId="132AF188" w14:textId="03432487"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0</w:t>
            </w:r>
          </w:p>
        </w:tc>
        <w:tc>
          <w:tcPr>
            <w:tcW w:w="626" w:type="pct"/>
            <w:shd w:val="clear" w:color="auto" w:fill="auto"/>
            <w:vAlign w:val="center"/>
          </w:tcPr>
          <w:p w14:paraId="71809A03" w14:textId="41DCF1F6" w:rsidR="00067460" w:rsidRPr="00E8518E" w:rsidRDefault="00067460" w:rsidP="00067460">
            <w:pPr>
              <w:jc w:val="right"/>
              <w:rPr>
                <w:rFonts w:eastAsia="Times New Roman" w:cs="Times New Roman"/>
                <w:bCs/>
                <w:iCs/>
                <w:color w:val="FF0000"/>
                <w:lang w:eastAsia="cs-CZ"/>
              </w:rPr>
            </w:pPr>
            <w:r w:rsidRPr="003F730C">
              <w:rPr>
                <w:rFonts w:eastAsia="Times New Roman" w:cs="Times New Roman"/>
                <w:bCs/>
                <w:iCs/>
                <w:lang w:eastAsia="cs-CZ"/>
              </w:rPr>
              <w:t>0,00</w:t>
            </w:r>
          </w:p>
        </w:tc>
      </w:tr>
      <w:tr w:rsidR="00FF616A" w:rsidRPr="00E8518E" w14:paraId="22CADD4A" w14:textId="77777777" w:rsidTr="000817C4">
        <w:tc>
          <w:tcPr>
            <w:tcW w:w="2252" w:type="pct"/>
            <w:shd w:val="clear" w:color="auto" w:fill="auto"/>
          </w:tcPr>
          <w:p w14:paraId="52716878" w14:textId="7CBBE44A" w:rsidR="00FF616A" w:rsidRPr="0088307E" w:rsidRDefault="0099386D">
            <w:pPr>
              <w:ind w:left="21" w:hanging="6"/>
            </w:pPr>
            <w:r w:rsidRPr="00D13E78">
              <w:t xml:space="preserve">BAR – rezerva na vyrovnání s důsledky </w:t>
            </w:r>
            <w:proofErr w:type="spellStart"/>
            <w:r w:rsidRPr="00D13E78">
              <w:t>Brexitu</w:t>
            </w:r>
            <w:proofErr w:type="spellEnd"/>
          </w:p>
        </w:tc>
        <w:tc>
          <w:tcPr>
            <w:tcW w:w="749" w:type="pct"/>
            <w:shd w:val="clear" w:color="auto" w:fill="auto"/>
            <w:vAlign w:val="center"/>
          </w:tcPr>
          <w:p w14:paraId="63C1A72C" w14:textId="7D736CAB" w:rsidR="00FF616A" w:rsidRPr="003F730C" w:rsidRDefault="00FF616A" w:rsidP="00067460">
            <w:pPr>
              <w:jc w:val="right"/>
              <w:rPr>
                <w:rFonts w:eastAsia="Times New Roman" w:cs="Times New Roman"/>
                <w:bCs/>
                <w:iCs/>
                <w:lang w:eastAsia="cs-CZ"/>
              </w:rPr>
            </w:pPr>
            <w:r>
              <w:rPr>
                <w:rFonts w:eastAsia="Times New Roman" w:cs="Times New Roman"/>
                <w:bCs/>
                <w:iCs/>
                <w:lang w:eastAsia="cs-CZ"/>
              </w:rPr>
              <w:t>0</w:t>
            </w:r>
          </w:p>
        </w:tc>
        <w:tc>
          <w:tcPr>
            <w:tcW w:w="719" w:type="pct"/>
            <w:shd w:val="clear" w:color="auto" w:fill="auto"/>
            <w:vAlign w:val="center"/>
          </w:tcPr>
          <w:p w14:paraId="17372C30" w14:textId="33C55A17" w:rsidR="00FF616A" w:rsidRPr="003F730C" w:rsidRDefault="00FF616A" w:rsidP="00067460">
            <w:pPr>
              <w:jc w:val="right"/>
              <w:rPr>
                <w:rFonts w:eastAsia="Times New Roman" w:cs="Times New Roman"/>
                <w:bCs/>
                <w:iCs/>
                <w:lang w:eastAsia="cs-CZ"/>
              </w:rPr>
            </w:pPr>
            <w:r>
              <w:rPr>
                <w:rFonts w:eastAsia="Times New Roman" w:cs="Times New Roman"/>
                <w:bCs/>
                <w:iCs/>
                <w:lang w:eastAsia="cs-CZ"/>
              </w:rPr>
              <w:t>0</w:t>
            </w:r>
          </w:p>
        </w:tc>
        <w:tc>
          <w:tcPr>
            <w:tcW w:w="654" w:type="pct"/>
            <w:shd w:val="clear" w:color="auto" w:fill="auto"/>
            <w:vAlign w:val="center"/>
          </w:tcPr>
          <w:p w14:paraId="3AA6E1D0" w14:textId="794A75ED" w:rsidR="00FF616A" w:rsidRPr="003F730C" w:rsidRDefault="00FF616A" w:rsidP="00067460">
            <w:pPr>
              <w:jc w:val="right"/>
              <w:rPr>
                <w:rFonts w:eastAsia="Times New Roman" w:cs="Times New Roman"/>
                <w:bCs/>
                <w:iCs/>
                <w:lang w:eastAsia="cs-CZ"/>
              </w:rPr>
            </w:pPr>
            <w:r>
              <w:rPr>
                <w:rFonts w:eastAsia="Times New Roman" w:cs="Times New Roman"/>
                <w:bCs/>
                <w:iCs/>
                <w:lang w:eastAsia="cs-CZ"/>
              </w:rPr>
              <w:t>517 510</w:t>
            </w:r>
          </w:p>
        </w:tc>
        <w:tc>
          <w:tcPr>
            <w:tcW w:w="626" w:type="pct"/>
            <w:shd w:val="clear" w:color="auto" w:fill="auto"/>
            <w:vAlign w:val="center"/>
          </w:tcPr>
          <w:p w14:paraId="2F31C121" w14:textId="5ACCC37A" w:rsidR="00FF616A" w:rsidRPr="003F730C" w:rsidRDefault="00FF616A" w:rsidP="00067460">
            <w:pPr>
              <w:jc w:val="right"/>
              <w:rPr>
                <w:rFonts w:eastAsia="Times New Roman" w:cs="Times New Roman"/>
                <w:bCs/>
                <w:iCs/>
                <w:lang w:eastAsia="cs-CZ"/>
              </w:rPr>
            </w:pPr>
            <w:r>
              <w:rPr>
                <w:rFonts w:eastAsia="Times New Roman" w:cs="Times New Roman"/>
                <w:bCs/>
                <w:iCs/>
                <w:lang w:eastAsia="cs-CZ"/>
              </w:rPr>
              <w:t>x</w:t>
            </w:r>
          </w:p>
        </w:tc>
      </w:tr>
    </w:tbl>
    <w:p w14:paraId="27C5B211" w14:textId="77777777" w:rsidR="00871AD3" w:rsidRPr="003F730C" w:rsidRDefault="00871AD3">
      <w:pPr>
        <w:pStyle w:val="Nadpis4"/>
      </w:pPr>
      <w:r w:rsidRPr="003F730C">
        <w:t>Úhrada ztráty ze závazku veřejné služby ve veřejné drážní osobní dopravě</w:t>
      </w:r>
    </w:p>
    <w:p w14:paraId="664CF171" w14:textId="77777777" w:rsidR="00871AD3" w:rsidRPr="003F730C" w:rsidRDefault="00871AD3" w:rsidP="00871AD3">
      <w:pPr>
        <w:pStyle w:val="Styl1"/>
      </w:pPr>
      <w:r w:rsidRPr="003F730C">
        <w:t xml:space="preserve">Zákon č. 194/2010 Sb., o veřejných službách v přepravě cestujících a o změně dalších zákonů, definuje dopravní obslužnost, kterou zajišťuje stát prostřednictvím Ministerstva dopravy. Z definice dopravní obslužnosti státu vyplývají výkony, které je nutno uplatňovat </w:t>
      </w:r>
      <w:r w:rsidRPr="003F730C">
        <w:br/>
        <w:t xml:space="preserve">ze strany státu vůči dopravcům, kteří je budou zajišťovat. </w:t>
      </w:r>
    </w:p>
    <w:p w14:paraId="30D76FE4" w14:textId="77777777" w:rsidR="00871AD3" w:rsidRPr="003F730C" w:rsidRDefault="00871AD3" w:rsidP="00871AD3">
      <w:pPr>
        <w:pStyle w:val="Styl1"/>
      </w:pPr>
      <w:r w:rsidRPr="003F730C">
        <w:t xml:space="preserve">V souvislosti s účinností nařízení Evropského parlamentu a Rady č. 1370/2007 ze dne </w:t>
      </w:r>
      <w:r w:rsidRPr="003F730C">
        <w:br/>
        <w:t xml:space="preserve">23. října 2007 o službách v přepravě cestujících po železnici a silnici a o zrušení nařízení Rady (EHS) č. 1191/69 a č. 1107/70 od roku 2010 jsou u dopravců zajišťujících závazek veřejné služby v rámci kompenzací za tyto služby hrazeny i ztráty vznikající v důsledku slev jízdného stanovených státem nebo objednatelem. </w:t>
      </w:r>
    </w:p>
    <w:p w14:paraId="53EC509F" w14:textId="69BD9D56" w:rsidR="00871AD3" w:rsidRPr="003F730C" w:rsidRDefault="00871AD3" w:rsidP="00871AD3">
      <w:pPr>
        <w:pStyle w:val="Styl1"/>
      </w:pPr>
      <w:r w:rsidRPr="003F730C">
        <w:t xml:space="preserve">Výdaje na úhradu ztráty ze závazku veřejné služby ve veřejné drážní osobní dopravě jsou </w:t>
      </w:r>
      <w:r w:rsidRPr="003F730C">
        <w:br/>
        <w:t>na ro</w:t>
      </w:r>
      <w:r w:rsidR="003505CC">
        <w:t>k 2023 rozpočtovány v částce 7 219 105 tis. Kč, tj. o 1 626 645</w:t>
      </w:r>
      <w:r w:rsidRPr="003F730C">
        <w:t xml:space="preserve"> tis. Kč více oproti schválenému rozpočtu roku 2022. </w:t>
      </w:r>
    </w:p>
    <w:p w14:paraId="2BDDD8F3" w14:textId="77777777" w:rsidR="00871AD3" w:rsidRPr="003F730C" w:rsidRDefault="00871AD3" w:rsidP="00871AD3">
      <w:pPr>
        <w:pStyle w:val="Nadpis4"/>
      </w:pPr>
      <w:r w:rsidRPr="003F730C">
        <w:t xml:space="preserve">Úhrada poplatků vybíraných za LNS poskytované ve vzdušném prostoru ČR </w:t>
      </w:r>
    </w:p>
    <w:p w14:paraId="78D8BF69" w14:textId="77777777" w:rsidR="00871AD3" w:rsidRPr="003F730C" w:rsidRDefault="00871AD3" w:rsidP="00871AD3">
      <w:pPr>
        <w:pStyle w:val="Styl1"/>
      </w:pPr>
      <w:r w:rsidRPr="003F730C">
        <w:t xml:space="preserve">V souladu s usnesením vlády ze dne 2. </w:t>
      </w:r>
      <w:proofErr w:type="gramStart"/>
      <w:r w:rsidRPr="003F730C">
        <w:t>11 .2005</w:t>
      </w:r>
      <w:proofErr w:type="gramEnd"/>
      <w:r w:rsidRPr="003F730C">
        <w:t xml:space="preserve"> č. 1404, k úhradě poplatků vybíraných </w:t>
      </w:r>
      <w:r w:rsidRPr="003F730C">
        <w:br/>
        <w:t xml:space="preserve">za letové provozní služby poskytované ve vzdušném prostoru České republiky a prováděcího nařízením Komise (EU) 2019/317 ze dne 11. února 2019, kterým se stanoví systém sledování výkonnosti a systém poplatků v jednotném evropském nebi a kterým se ruší prováděcí nařízení (EU) č. 390/2013 a (EU) č. 391/2013, stát od roku 2008 hradí státnímu podniku Řízení letového provozu ČR náklady související s poskytováním letových navigačních služeb letům </w:t>
      </w:r>
      <w:r w:rsidRPr="003F730C">
        <w:br/>
        <w:t xml:space="preserve">ve vzdušném prostoru České republiky osvobozeným od zpoplatnění. </w:t>
      </w:r>
    </w:p>
    <w:p w14:paraId="2E3416E2" w14:textId="77777777" w:rsidR="00871AD3" w:rsidRPr="003F730C" w:rsidRDefault="00871AD3" w:rsidP="00871AD3">
      <w:pPr>
        <w:pStyle w:val="Styl1"/>
      </w:pPr>
      <w:r w:rsidRPr="003F730C">
        <w:t xml:space="preserve">Oproti schválenému rozpočtu na rok 2022 je úhrada poplatků za LNS rozpočtována pro </w:t>
      </w:r>
      <w:r w:rsidRPr="003F730C">
        <w:br/>
        <w:t>rok 2022 v částce o 2 500 tis. Kč vyšší, tj. 82 450 tis. Kč. Tato částka bude kompenzovat očekávané náklady vynaložené ŘLP ČR, s. p., na poskytování  letových navigačních služeb letům osvobozeným od poplatků v roce 2023, a to v souladu s prováděcím nařízením Komise (EU) 2019/317.</w:t>
      </w:r>
    </w:p>
    <w:p w14:paraId="1F5E99C5" w14:textId="77777777" w:rsidR="00871AD3" w:rsidRPr="003F730C" w:rsidRDefault="00871AD3" w:rsidP="00871AD3">
      <w:pPr>
        <w:pStyle w:val="Nadpis4"/>
      </w:pPr>
      <w:r w:rsidRPr="003F730C">
        <w:t>Programové financování EDS/SMVS</w:t>
      </w:r>
    </w:p>
    <w:p w14:paraId="0B3DE0DA" w14:textId="77777777" w:rsidR="00871AD3" w:rsidRPr="003F730C" w:rsidRDefault="00871AD3" w:rsidP="00871AD3">
      <w:pPr>
        <w:pStyle w:val="Styl1"/>
      </w:pPr>
      <w:r w:rsidRPr="003F730C">
        <w:t xml:space="preserve">V rámci neinvestičních dotací je realizován program č 127 67 „Podpory obnovy historických železničních kolejových vozidel v období 2021 - 2023“. Pro rok 2023 jsou pro tento titul navrženy prostředky ve výši 5 000 tis. Kč, tj. ve stejné výši jako v roce 2022. </w:t>
      </w:r>
    </w:p>
    <w:p w14:paraId="5FE7CD35" w14:textId="77777777" w:rsidR="00871AD3" w:rsidRPr="003F730C" w:rsidRDefault="00871AD3" w:rsidP="00871AD3">
      <w:pPr>
        <w:pStyle w:val="Nadpis4"/>
      </w:pPr>
      <w:r w:rsidRPr="003F730C">
        <w:t>Úhrada provozních nákladů spojených se zaváděním U-</w:t>
      </w:r>
      <w:proofErr w:type="spellStart"/>
      <w:r w:rsidRPr="003F730C">
        <w:t>Space</w:t>
      </w:r>
      <w:proofErr w:type="spellEnd"/>
      <w:r w:rsidRPr="003F730C">
        <w:t xml:space="preserve"> v ČR</w:t>
      </w:r>
    </w:p>
    <w:p w14:paraId="5AB84511" w14:textId="0AE9EBBD" w:rsidR="00871AD3" w:rsidRPr="009142E8" w:rsidRDefault="00871AD3" w:rsidP="00871AD3">
      <w:pPr>
        <w:pStyle w:val="Styl1"/>
      </w:pPr>
      <w:r w:rsidRPr="009142E8">
        <w:t>V návaznosti na dynamický rozvoj a rostoucí potenciál sektoru bezpilotních letadel (</w:t>
      </w:r>
      <w:proofErr w:type="spellStart"/>
      <w:r w:rsidRPr="009142E8">
        <w:t>dronů</w:t>
      </w:r>
      <w:proofErr w:type="spellEnd"/>
      <w:r w:rsidRPr="009142E8">
        <w:t>) vznikla nová koncepce EU pro bezpilotní letadla (</w:t>
      </w:r>
      <w:proofErr w:type="spellStart"/>
      <w:r w:rsidRPr="009142E8">
        <w:t>drony</w:t>
      </w:r>
      <w:proofErr w:type="spellEnd"/>
      <w:r w:rsidRPr="009142E8">
        <w:t>) a U-</w:t>
      </w:r>
      <w:proofErr w:type="spellStart"/>
      <w:r w:rsidRPr="009142E8">
        <w:t>Space</w:t>
      </w:r>
      <w:proofErr w:type="spellEnd"/>
      <w:r w:rsidRPr="009142E8">
        <w:t xml:space="preserve"> (Centrálního pr</w:t>
      </w:r>
      <w:r w:rsidRPr="004736AB">
        <w:t xml:space="preserve">vku </w:t>
      </w:r>
      <w:r w:rsidRPr="004736AB">
        <w:br/>
      </w:r>
      <w:r w:rsidRPr="009142E8">
        <w:t>U-</w:t>
      </w:r>
      <w:proofErr w:type="spellStart"/>
      <w:r w:rsidRPr="009142E8">
        <w:t>Space</w:t>
      </w:r>
      <w:proofErr w:type="spellEnd"/>
      <w:r w:rsidRPr="009142E8">
        <w:t xml:space="preserve"> pro předávání klíčových validovaných informací a rozhraní pro zapojení) a interakci dalších aktérů, kterou ČR postupně implementuje. Předpokladem bezpečného a integrovaného provozu </w:t>
      </w:r>
      <w:proofErr w:type="spellStart"/>
      <w:r w:rsidRPr="009142E8">
        <w:t>dronů</w:t>
      </w:r>
      <w:proofErr w:type="spellEnd"/>
      <w:r w:rsidRPr="009142E8">
        <w:t xml:space="preserve">, plného využití jejich potenciálu a souvisejících služeb a ve svém důsledku </w:t>
      </w:r>
      <w:r w:rsidRPr="009142E8">
        <w:br/>
        <w:t>i zajištění konkurenceschopnosti ČR je přitom faktické zavedení U-</w:t>
      </w:r>
      <w:proofErr w:type="spellStart"/>
      <w:r w:rsidRPr="009142E8">
        <w:t>Space</w:t>
      </w:r>
      <w:proofErr w:type="spellEnd"/>
      <w:r w:rsidRPr="009142E8">
        <w:t xml:space="preserve"> v ČR. To je zohledněno i v koncepčních materiálech vlády zaměřených na rozvoj ČR a inovace (viz </w:t>
      </w:r>
      <w:r w:rsidRPr="009142E8">
        <w:br/>
        <w:t xml:space="preserve">tzv. Smart </w:t>
      </w:r>
      <w:proofErr w:type="spellStart"/>
      <w:r w:rsidRPr="009142E8">
        <w:t>Sky</w:t>
      </w:r>
      <w:proofErr w:type="spellEnd"/>
      <w:r w:rsidRPr="009142E8">
        <w:t>). Podmínkou pro zavedení U-</w:t>
      </w:r>
      <w:proofErr w:type="spellStart"/>
      <w:r w:rsidRPr="009142E8">
        <w:t>Space</w:t>
      </w:r>
      <w:proofErr w:type="spellEnd"/>
      <w:r w:rsidRPr="009142E8">
        <w:t xml:space="preserve"> je zejména určení subjektu – poskytovatele centrální služby „CIS“ (centrálního prvku U-</w:t>
      </w:r>
      <w:proofErr w:type="spellStart"/>
      <w:r w:rsidRPr="009142E8">
        <w:t>Space</w:t>
      </w:r>
      <w:proofErr w:type="spellEnd"/>
      <w:r w:rsidRPr="009142E8">
        <w:t xml:space="preserve"> pro předávání klíčových validovaných informací a rozhraní pro zapojení) a interakci dalších aktérů).  </w:t>
      </w:r>
    </w:p>
    <w:p w14:paraId="6A3E7CB5" w14:textId="77777777" w:rsidR="00871AD3" w:rsidRPr="009142E8" w:rsidRDefault="00871AD3" w:rsidP="00871AD3">
      <w:pPr>
        <w:pStyle w:val="Styl1"/>
      </w:pPr>
      <w:r w:rsidRPr="009142E8">
        <w:t>Provozní náklady související s U-</w:t>
      </w:r>
      <w:proofErr w:type="spellStart"/>
      <w:r w:rsidRPr="009142E8">
        <w:t>Space</w:t>
      </w:r>
      <w:proofErr w:type="spellEnd"/>
      <w:r w:rsidRPr="009142E8">
        <w:t xml:space="preserve"> budou hrazený z kapitoly 327 Ministerstvo dopravy. Náklady související s pořízením a  rozvojem příslušných IT systémů představují infrastrukturu řízení, které budou hrazeny z prostředků Státního fondu dopravní infrastruktury.</w:t>
      </w:r>
    </w:p>
    <w:p w14:paraId="03D6602D" w14:textId="77777777" w:rsidR="005D0C75" w:rsidRDefault="00871AD3" w:rsidP="000817C4">
      <w:pPr>
        <w:pStyle w:val="Styl1"/>
      </w:pPr>
      <w:r w:rsidRPr="009142E8">
        <w:t>Pro rok 2023 jsou rozpočtovány provozní náklady související s U-</w:t>
      </w:r>
      <w:proofErr w:type="spellStart"/>
      <w:r w:rsidRPr="009142E8">
        <w:t>Space</w:t>
      </w:r>
      <w:proofErr w:type="spellEnd"/>
      <w:r w:rsidRPr="009142E8">
        <w:t xml:space="preserve"> ve výši 24 500 tis. Kč</w:t>
      </w:r>
      <w:r w:rsidRPr="003F730C">
        <w:t>.</w:t>
      </w:r>
    </w:p>
    <w:p w14:paraId="504263C7" w14:textId="77777777" w:rsidR="0099386D" w:rsidRDefault="0099386D" w:rsidP="0088307E">
      <w:pPr>
        <w:pStyle w:val="Nadpis4"/>
      </w:pPr>
      <w:r w:rsidRPr="00D13E78">
        <w:t xml:space="preserve">BAR – rezerva na vyrovnání s důsledky </w:t>
      </w:r>
      <w:proofErr w:type="spellStart"/>
      <w:r w:rsidRPr="00D13E78">
        <w:t>Brexitu</w:t>
      </w:r>
      <w:proofErr w:type="spellEnd"/>
      <w:r>
        <w:t xml:space="preserve"> </w:t>
      </w:r>
    </w:p>
    <w:p w14:paraId="238D1BC8" w14:textId="2324A7B4" w:rsidR="005D0C75" w:rsidRPr="005D0C75" w:rsidRDefault="005D0C75">
      <w:pPr>
        <w:pStyle w:val="Styl1"/>
      </w:pPr>
      <w:r>
        <w:t xml:space="preserve">Evropský parlament a Rada (EU) rozhodla unijním nařízením 2021/1755 ze dne 6. října 2021 o vytvoření rezervy na vyrovnání se s důsledky </w:t>
      </w:r>
      <w:proofErr w:type="spellStart"/>
      <w:r w:rsidR="00772E80">
        <w:t>B</w:t>
      </w:r>
      <w:r>
        <w:t>rexitu</w:t>
      </w:r>
      <w:proofErr w:type="spellEnd"/>
      <w:r w:rsidR="00772E80">
        <w:t xml:space="preserve">. Pro rok 2023 jsou v rámci kapitoly 327 Ministerstva dopravy pro podporu podnikatelských subjektů rozpočtovány prostředky ve výši 517 510 tis. Kč. Realizace financování bude zajištěná 100 % z prostředků EU. Viz </w:t>
      </w:r>
      <w:r w:rsidR="00772E80">
        <w:br/>
        <w:t xml:space="preserve">oddíl 3. 5. 7. BAR – rezerva na vyrovnání s důsledky </w:t>
      </w:r>
      <w:proofErr w:type="spellStart"/>
      <w:r w:rsidR="00772E80">
        <w:t>Brexitu</w:t>
      </w:r>
      <w:proofErr w:type="spellEnd"/>
      <w:r w:rsidR="00772E80">
        <w:t>.</w:t>
      </w:r>
    </w:p>
    <w:p w14:paraId="01D64944" w14:textId="654C20E6" w:rsidR="00F23ED8" w:rsidRPr="0088307E" w:rsidRDefault="00F23ED8">
      <w:pPr>
        <w:pStyle w:val="Titulek"/>
      </w:pPr>
      <w:bookmarkStart w:id="180" w:name="_Toc115788014"/>
      <w:r w:rsidRPr="0088307E">
        <w:t xml:space="preserve">Graf č. </w:t>
      </w:r>
      <w:fldSimple w:instr=" SEQ Graf_č. \* ARABIC ">
        <w:r w:rsidR="00F80947">
          <w:rPr>
            <w:noProof/>
          </w:rPr>
          <w:t>6</w:t>
        </w:r>
      </w:fldSimple>
      <w:r w:rsidRPr="0088307E">
        <w:t xml:space="preserve">: </w:t>
      </w:r>
      <w:bookmarkEnd w:id="177"/>
      <w:bookmarkEnd w:id="178"/>
      <w:r w:rsidRPr="0088307E">
        <w:t>Neinvestiční transfery podnikatelským subjektům</w:t>
      </w:r>
      <w:bookmarkEnd w:id="179"/>
      <w:bookmarkEnd w:id="180"/>
    </w:p>
    <w:p w14:paraId="14C5594C" w14:textId="7370CD34" w:rsidR="00F23ED8" w:rsidRPr="00E8518E" w:rsidRDefault="00E710A9" w:rsidP="00F23ED8">
      <w:pPr>
        <w:spacing w:after="80"/>
        <w:rPr>
          <w:rFonts w:eastAsia="Times New Roman" w:cs="Times New Roman"/>
          <w:noProof/>
          <w:color w:val="FF0000"/>
          <w:szCs w:val="24"/>
          <w:lang w:eastAsia="cs-CZ"/>
        </w:rPr>
      </w:pPr>
      <w:r w:rsidRPr="00B2170F">
        <w:rPr>
          <w:rFonts w:eastAsia="Times New Roman" w:cs="Times New Roman"/>
          <w:noProof/>
          <w:color w:val="FF0000"/>
          <w:szCs w:val="24"/>
          <w:highlight w:val="yellow"/>
          <w:lang w:eastAsia="cs-CZ"/>
        </w:rPr>
        <w:drawing>
          <wp:inline distT="0" distB="0" distL="0" distR="0" wp14:anchorId="3DC3EAF2" wp14:editId="736DFFBB">
            <wp:extent cx="5760085" cy="3292747"/>
            <wp:effectExtent l="0" t="0" r="12065" b="3175"/>
            <wp:docPr id="13" name="Graf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71FF76CD" w14:textId="77777777" w:rsidR="008A1F72" w:rsidRPr="0088307E" w:rsidRDefault="008A1F72" w:rsidP="007B2F4B">
      <w:pPr>
        <w:pStyle w:val="Nadpis3"/>
      </w:pPr>
      <w:bookmarkStart w:id="181" w:name="_Toc115787796"/>
      <w:r w:rsidRPr="0088307E">
        <w:t>Neinvestiční transfery veřejným rozpočtům územní úrovně</w:t>
      </w:r>
      <w:bookmarkEnd w:id="175"/>
      <w:bookmarkEnd w:id="181"/>
    </w:p>
    <w:p w14:paraId="707D7E2C" w14:textId="65F4E04E" w:rsidR="00F23ED8" w:rsidRPr="0088307E" w:rsidRDefault="00F23ED8" w:rsidP="00F23ED8">
      <w:pPr>
        <w:pStyle w:val="Titulek"/>
        <w:rPr>
          <w:noProof/>
        </w:rPr>
      </w:pPr>
      <w:bookmarkStart w:id="182" w:name="_Toc462314397"/>
      <w:bookmarkStart w:id="183" w:name="_Toc489274103"/>
      <w:bookmarkEnd w:id="176"/>
      <w:r w:rsidRPr="0088307E">
        <w:t xml:space="preserve">Tabulka č. </w:t>
      </w:r>
      <w:fldSimple w:instr=" SEQ Tabulka \* ARABIC ">
        <w:r w:rsidR="00F80947">
          <w:rPr>
            <w:noProof/>
          </w:rPr>
          <w:t>21</w:t>
        </w:r>
      </w:fldSimple>
      <w:r w:rsidRPr="0088307E">
        <w:rPr>
          <w:noProof/>
        </w:rPr>
        <w:t xml:space="preserve"> Neinvestiční transfery veřejným výzkumným institucím (v tis. Kč)</w:t>
      </w:r>
    </w:p>
    <w:tbl>
      <w:tblPr>
        <w:tblStyle w:val="Svtltabulkasmkou1zvraznn5"/>
        <w:tblW w:w="498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39"/>
        <w:gridCol w:w="1361"/>
        <w:gridCol w:w="1260"/>
        <w:gridCol w:w="1246"/>
        <w:gridCol w:w="1020"/>
      </w:tblGrid>
      <w:tr w:rsidR="00676795" w:rsidRPr="00E8518E" w14:paraId="5BC33E4E" w14:textId="77777777" w:rsidTr="007D47E8">
        <w:trPr>
          <w:tblHeader/>
        </w:trPr>
        <w:tc>
          <w:tcPr>
            <w:tcW w:w="229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95E46D0" w14:textId="497D47D7" w:rsidR="00676795" w:rsidRPr="00E8518E" w:rsidRDefault="00676795" w:rsidP="00676795">
            <w:pPr>
              <w:jc w:val="center"/>
              <w:rPr>
                <w:rFonts w:eastAsia="Times New Roman" w:cs="Times New Roman"/>
                <w:b/>
                <w:color w:val="FF0000"/>
                <w:szCs w:val="24"/>
                <w:lang w:eastAsia="cs-CZ"/>
              </w:rPr>
            </w:pPr>
            <w:bookmarkStart w:id="184" w:name="_Toc488937063"/>
            <w:r w:rsidRPr="003F730C">
              <w:rPr>
                <w:rFonts w:eastAsia="Times New Roman" w:cs="Times New Roman"/>
                <w:b/>
                <w:szCs w:val="24"/>
                <w:lang w:eastAsia="cs-CZ"/>
              </w:rPr>
              <w:t>Ukazatel</w:t>
            </w:r>
          </w:p>
        </w:tc>
        <w:tc>
          <w:tcPr>
            <w:tcW w:w="75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B918AAF" w14:textId="77777777" w:rsidR="00676795" w:rsidRPr="003F730C" w:rsidRDefault="00676795" w:rsidP="00676795">
            <w:pPr>
              <w:jc w:val="center"/>
              <w:rPr>
                <w:rFonts w:eastAsia="Times New Roman" w:cs="Times New Roman"/>
                <w:b/>
                <w:szCs w:val="24"/>
                <w:lang w:eastAsia="cs-CZ"/>
              </w:rPr>
            </w:pPr>
            <w:r w:rsidRPr="003F730C">
              <w:rPr>
                <w:rFonts w:eastAsia="Times New Roman" w:cs="Times New Roman"/>
                <w:b/>
                <w:szCs w:val="24"/>
                <w:lang w:eastAsia="cs-CZ"/>
              </w:rPr>
              <w:t>Skutečnost</w:t>
            </w:r>
          </w:p>
          <w:p w14:paraId="3C77C28C" w14:textId="6F3F8810" w:rsidR="00676795" w:rsidRPr="00E8518E" w:rsidRDefault="00676795" w:rsidP="00676795">
            <w:pPr>
              <w:jc w:val="center"/>
              <w:rPr>
                <w:rFonts w:eastAsia="Times New Roman" w:cs="Times New Roman"/>
                <w:b/>
                <w:color w:val="FF0000"/>
                <w:szCs w:val="24"/>
                <w:lang w:eastAsia="cs-CZ"/>
              </w:rPr>
            </w:pPr>
            <w:r w:rsidRPr="003F730C">
              <w:rPr>
                <w:rFonts w:eastAsia="Times New Roman" w:cs="Times New Roman"/>
                <w:b/>
                <w:szCs w:val="24"/>
                <w:lang w:eastAsia="cs-CZ"/>
              </w:rPr>
              <w:t>2021</w:t>
            </w:r>
          </w:p>
        </w:tc>
        <w:tc>
          <w:tcPr>
            <w:tcW w:w="6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82C06E2" w14:textId="77777777" w:rsidR="00676795" w:rsidRPr="003F730C" w:rsidRDefault="00676795" w:rsidP="00676795">
            <w:pPr>
              <w:jc w:val="center"/>
              <w:rPr>
                <w:rFonts w:eastAsia="Times New Roman" w:cs="Times New Roman"/>
                <w:b/>
                <w:szCs w:val="24"/>
                <w:lang w:eastAsia="cs-CZ"/>
              </w:rPr>
            </w:pPr>
            <w:r w:rsidRPr="003F730C">
              <w:rPr>
                <w:rFonts w:eastAsia="Times New Roman" w:cs="Times New Roman"/>
                <w:b/>
                <w:szCs w:val="24"/>
                <w:lang w:eastAsia="cs-CZ"/>
              </w:rPr>
              <w:t>Schválený</w:t>
            </w:r>
          </w:p>
          <w:p w14:paraId="1C10D3F6" w14:textId="77777777" w:rsidR="00676795" w:rsidRPr="003F730C" w:rsidRDefault="00676795" w:rsidP="00676795">
            <w:pPr>
              <w:jc w:val="center"/>
              <w:rPr>
                <w:rFonts w:eastAsia="Times New Roman" w:cs="Times New Roman"/>
                <w:b/>
                <w:szCs w:val="24"/>
                <w:lang w:eastAsia="cs-CZ"/>
              </w:rPr>
            </w:pPr>
            <w:r w:rsidRPr="003F730C">
              <w:rPr>
                <w:rFonts w:eastAsia="Times New Roman" w:cs="Times New Roman"/>
                <w:b/>
                <w:szCs w:val="24"/>
                <w:lang w:eastAsia="cs-CZ"/>
              </w:rPr>
              <w:t>rozpočet</w:t>
            </w:r>
          </w:p>
          <w:p w14:paraId="2583B401" w14:textId="6939AC06" w:rsidR="00676795" w:rsidRPr="00E8518E" w:rsidRDefault="00676795" w:rsidP="00676795">
            <w:pPr>
              <w:jc w:val="center"/>
              <w:rPr>
                <w:rFonts w:eastAsia="Times New Roman" w:cs="Times New Roman"/>
                <w:b/>
                <w:color w:val="FF0000"/>
                <w:szCs w:val="24"/>
                <w:lang w:eastAsia="cs-CZ"/>
              </w:rPr>
            </w:pPr>
            <w:r w:rsidRPr="003F730C">
              <w:rPr>
                <w:rFonts w:eastAsia="Times New Roman" w:cs="Times New Roman"/>
                <w:b/>
                <w:szCs w:val="24"/>
                <w:lang w:eastAsia="cs-CZ"/>
              </w:rPr>
              <w:t>2022</w:t>
            </w:r>
          </w:p>
        </w:tc>
        <w:tc>
          <w:tcPr>
            <w:tcW w:w="69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66801E7" w14:textId="77777777" w:rsidR="00676795" w:rsidRPr="003F730C" w:rsidRDefault="00676795" w:rsidP="00676795">
            <w:pPr>
              <w:jc w:val="center"/>
              <w:rPr>
                <w:rFonts w:eastAsia="Times New Roman" w:cs="Times New Roman"/>
                <w:b/>
                <w:szCs w:val="24"/>
                <w:lang w:eastAsia="cs-CZ"/>
              </w:rPr>
            </w:pPr>
            <w:r w:rsidRPr="003F730C">
              <w:rPr>
                <w:rFonts w:eastAsia="Times New Roman" w:cs="Times New Roman"/>
                <w:b/>
                <w:szCs w:val="24"/>
                <w:lang w:eastAsia="cs-CZ"/>
              </w:rPr>
              <w:t>Návrh</w:t>
            </w:r>
          </w:p>
          <w:p w14:paraId="0F1DEA27" w14:textId="77777777" w:rsidR="00676795" w:rsidRPr="003F730C" w:rsidRDefault="00676795" w:rsidP="00676795">
            <w:pPr>
              <w:jc w:val="center"/>
              <w:rPr>
                <w:rFonts w:eastAsia="Times New Roman" w:cs="Times New Roman"/>
                <w:b/>
                <w:szCs w:val="24"/>
                <w:lang w:eastAsia="cs-CZ"/>
              </w:rPr>
            </w:pPr>
            <w:r w:rsidRPr="003F730C">
              <w:rPr>
                <w:rFonts w:eastAsia="Times New Roman" w:cs="Times New Roman"/>
                <w:b/>
                <w:szCs w:val="24"/>
                <w:lang w:eastAsia="cs-CZ"/>
              </w:rPr>
              <w:t>rozpočtu</w:t>
            </w:r>
          </w:p>
          <w:p w14:paraId="2A641C9D" w14:textId="348D65CD" w:rsidR="00676795" w:rsidRPr="00E8518E" w:rsidRDefault="00676795" w:rsidP="00676795">
            <w:pPr>
              <w:jc w:val="center"/>
              <w:rPr>
                <w:rFonts w:eastAsia="Times New Roman" w:cs="Times New Roman"/>
                <w:b/>
                <w:color w:val="FF0000"/>
                <w:szCs w:val="24"/>
                <w:lang w:eastAsia="cs-CZ"/>
              </w:rPr>
            </w:pPr>
            <w:r w:rsidRPr="003F730C">
              <w:rPr>
                <w:rFonts w:eastAsia="Times New Roman" w:cs="Times New Roman"/>
                <w:b/>
                <w:szCs w:val="24"/>
                <w:lang w:eastAsia="cs-CZ"/>
              </w:rPr>
              <w:t>2023</w:t>
            </w:r>
          </w:p>
        </w:tc>
        <w:tc>
          <w:tcPr>
            <w:tcW w:w="56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A114572" w14:textId="77777777" w:rsidR="00676795" w:rsidRPr="003F730C" w:rsidRDefault="00676795" w:rsidP="00676795">
            <w:pPr>
              <w:jc w:val="center"/>
              <w:rPr>
                <w:rFonts w:eastAsia="Times New Roman" w:cs="Times New Roman"/>
                <w:b/>
                <w:szCs w:val="24"/>
                <w:lang w:eastAsia="cs-CZ"/>
              </w:rPr>
            </w:pPr>
            <w:r w:rsidRPr="003F730C">
              <w:rPr>
                <w:rFonts w:eastAsia="Times New Roman" w:cs="Times New Roman"/>
                <w:b/>
                <w:szCs w:val="24"/>
                <w:lang w:eastAsia="cs-CZ"/>
              </w:rPr>
              <w:t>Index</w:t>
            </w:r>
          </w:p>
          <w:p w14:paraId="7186CF15" w14:textId="71E669D3" w:rsidR="00676795" w:rsidRPr="00E8518E" w:rsidRDefault="00676795" w:rsidP="00676795">
            <w:pPr>
              <w:jc w:val="center"/>
              <w:rPr>
                <w:rFonts w:eastAsia="Times New Roman" w:cs="Times New Roman"/>
                <w:b/>
                <w:color w:val="FF0000"/>
                <w:szCs w:val="24"/>
                <w:lang w:eastAsia="cs-CZ"/>
              </w:rPr>
            </w:pPr>
            <w:r w:rsidRPr="003F730C">
              <w:rPr>
                <w:rFonts w:eastAsia="Times New Roman" w:cs="Times New Roman"/>
                <w:b/>
                <w:szCs w:val="24"/>
                <w:lang w:eastAsia="cs-CZ"/>
              </w:rPr>
              <w:t>2023/</w:t>
            </w:r>
            <w:r w:rsidRPr="003F730C">
              <w:rPr>
                <w:rFonts w:eastAsia="Times New Roman" w:cs="Times New Roman"/>
                <w:b/>
                <w:szCs w:val="24"/>
                <w:lang w:eastAsia="cs-CZ"/>
              </w:rPr>
              <w:br/>
              <w:t xml:space="preserve">2022 </w:t>
            </w:r>
            <w:r w:rsidRPr="003F730C">
              <w:rPr>
                <w:rFonts w:eastAsia="Times New Roman" w:cs="Times New Roman"/>
                <w:b/>
                <w:szCs w:val="24"/>
                <w:lang w:eastAsia="cs-CZ"/>
              </w:rPr>
              <w:br/>
              <w:t>(v %)</w:t>
            </w:r>
          </w:p>
        </w:tc>
      </w:tr>
      <w:tr w:rsidR="00676795" w:rsidRPr="00E8518E" w14:paraId="52715159" w14:textId="77777777" w:rsidTr="007D47E8">
        <w:trPr>
          <w:tblHeader/>
        </w:trPr>
        <w:tc>
          <w:tcPr>
            <w:tcW w:w="2293" w:type="pct"/>
            <w:tcBorders>
              <w:top w:val="single" w:sz="4" w:space="0" w:color="7F7F7F" w:themeColor="text1" w:themeTint="80"/>
              <w:bottom w:val="single" w:sz="8" w:space="0" w:color="7F7F7F" w:themeColor="text1" w:themeTint="80"/>
            </w:tcBorders>
            <w:shd w:val="clear" w:color="auto" w:fill="auto"/>
          </w:tcPr>
          <w:p w14:paraId="6C3A22E8" w14:textId="2F76C85A" w:rsidR="00676795" w:rsidRPr="00E8518E" w:rsidRDefault="00676795" w:rsidP="00676795">
            <w:pPr>
              <w:jc w:val="center"/>
              <w:rPr>
                <w:rFonts w:eastAsia="Times New Roman" w:cs="Times New Roman"/>
                <w:color w:val="FF0000"/>
                <w:szCs w:val="24"/>
                <w:lang w:eastAsia="cs-CZ"/>
              </w:rPr>
            </w:pPr>
            <w:r w:rsidRPr="003F730C">
              <w:rPr>
                <w:rFonts w:eastAsia="Times New Roman" w:cs="Times New Roman"/>
                <w:szCs w:val="24"/>
                <w:lang w:eastAsia="cs-CZ"/>
              </w:rPr>
              <w:t>a</w:t>
            </w:r>
          </w:p>
        </w:tc>
        <w:tc>
          <w:tcPr>
            <w:tcW w:w="754" w:type="pct"/>
            <w:tcBorders>
              <w:top w:val="single" w:sz="4" w:space="0" w:color="7F7F7F" w:themeColor="text1" w:themeTint="80"/>
              <w:bottom w:val="single" w:sz="8" w:space="0" w:color="7F7F7F" w:themeColor="text1" w:themeTint="80"/>
            </w:tcBorders>
            <w:shd w:val="clear" w:color="auto" w:fill="auto"/>
          </w:tcPr>
          <w:p w14:paraId="0D59FFB1" w14:textId="7AF0F28B" w:rsidR="00676795" w:rsidRPr="00E8518E" w:rsidRDefault="00676795" w:rsidP="00676795">
            <w:pPr>
              <w:jc w:val="center"/>
              <w:rPr>
                <w:rFonts w:eastAsia="Times New Roman" w:cs="Times New Roman"/>
                <w:color w:val="FF0000"/>
                <w:szCs w:val="24"/>
                <w:lang w:eastAsia="cs-CZ"/>
              </w:rPr>
            </w:pPr>
            <w:r w:rsidRPr="003F730C">
              <w:rPr>
                <w:rFonts w:eastAsia="Times New Roman" w:cs="Times New Roman"/>
                <w:szCs w:val="24"/>
                <w:lang w:eastAsia="cs-CZ"/>
              </w:rPr>
              <w:t>1</w:t>
            </w:r>
          </w:p>
        </w:tc>
        <w:tc>
          <w:tcPr>
            <w:tcW w:w="698" w:type="pct"/>
            <w:tcBorders>
              <w:top w:val="single" w:sz="4" w:space="0" w:color="7F7F7F" w:themeColor="text1" w:themeTint="80"/>
              <w:bottom w:val="single" w:sz="8" w:space="0" w:color="7F7F7F" w:themeColor="text1" w:themeTint="80"/>
            </w:tcBorders>
            <w:shd w:val="clear" w:color="auto" w:fill="auto"/>
          </w:tcPr>
          <w:p w14:paraId="50B2E1DF" w14:textId="0895B423" w:rsidR="00676795" w:rsidRPr="00E8518E" w:rsidRDefault="00676795" w:rsidP="00676795">
            <w:pPr>
              <w:jc w:val="center"/>
              <w:rPr>
                <w:rFonts w:eastAsia="Times New Roman" w:cs="Times New Roman"/>
                <w:color w:val="FF0000"/>
                <w:szCs w:val="24"/>
                <w:lang w:eastAsia="cs-CZ"/>
              </w:rPr>
            </w:pPr>
            <w:r w:rsidRPr="003F730C">
              <w:rPr>
                <w:rFonts w:eastAsia="Times New Roman" w:cs="Times New Roman"/>
                <w:szCs w:val="24"/>
                <w:lang w:eastAsia="cs-CZ"/>
              </w:rPr>
              <w:t>2</w:t>
            </w:r>
          </w:p>
        </w:tc>
        <w:tc>
          <w:tcPr>
            <w:tcW w:w="690" w:type="pct"/>
            <w:tcBorders>
              <w:top w:val="single" w:sz="4" w:space="0" w:color="7F7F7F" w:themeColor="text1" w:themeTint="80"/>
              <w:bottom w:val="single" w:sz="8" w:space="0" w:color="7F7F7F" w:themeColor="text1" w:themeTint="80"/>
            </w:tcBorders>
            <w:shd w:val="clear" w:color="auto" w:fill="auto"/>
          </w:tcPr>
          <w:p w14:paraId="7990072B" w14:textId="722C5D15" w:rsidR="00676795" w:rsidRPr="00E8518E" w:rsidRDefault="00676795" w:rsidP="00676795">
            <w:pPr>
              <w:jc w:val="center"/>
              <w:rPr>
                <w:rFonts w:eastAsia="Times New Roman" w:cs="Times New Roman"/>
                <w:color w:val="FF0000"/>
                <w:szCs w:val="24"/>
                <w:lang w:eastAsia="cs-CZ"/>
              </w:rPr>
            </w:pPr>
            <w:r w:rsidRPr="003F730C">
              <w:rPr>
                <w:rFonts w:eastAsia="Times New Roman" w:cs="Times New Roman"/>
                <w:szCs w:val="24"/>
                <w:lang w:eastAsia="cs-CZ"/>
              </w:rPr>
              <w:t>3</w:t>
            </w:r>
          </w:p>
        </w:tc>
        <w:tc>
          <w:tcPr>
            <w:tcW w:w="565" w:type="pct"/>
            <w:tcBorders>
              <w:top w:val="single" w:sz="4" w:space="0" w:color="7F7F7F" w:themeColor="text1" w:themeTint="80"/>
              <w:bottom w:val="single" w:sz="8" w:space="0" w:color="7F7F7F" w:themeColor="text1" w:themeTint="80"/>
            </w:tcBorders>
            <w:shd w:val="clear" w:color="auto" w:fill="auto"/>
          </w:tcPr>
          <w:p w14:paraId="256FF0B0" w14:textId="2AFBDB94" w:rsidR="00676795" w:rsidRPr="00E8518E" w:rsidRDefault="00676795" w:rsidP="00676795">
            <w:pPr>
              <w:jc w:val="center"/>
              <w:rPr>
                <w:rFonts w:eastAsia="Times New Roman" w:cs="Times New Roman"/>
                <w:color w:val="FF0000"/>
                <w:szCs w:val="24"/>
                <w:lang w:eastAsia="cs-CZ"/>
              </w:rPr>
            </w:pPr>
            <w:r w:rsidRPr="003F730C">
              <w:rPr>
                <w:rFonts w:eastAsia="Times New Roman" w:cs="Times New Roman"/>
                <w:szCs w:val="24"/>
                <w:lang w:eastAsia="cs-CZ"/>
              </w:rPr>
              <w:t>4</w:t>
            </w:r>
          </w:p>
        </w:tc>
      </w:tr>
      <w:tr w:rsidR="00676795" w:rsidRPr="00E8518E" w14:paraId="496C0ECC" w14:textId="77777777" w:rsidTr="007D47E8">
        <w:trPr>
          <w:tblHeader/>
        </w:trPr>
        <w:tc>
          <w:tcPr>
            <w:tcW w:w="2293" w:type="pct"/>
            <w:tcBorders>
              <w:top w:val="single" w:sz="8" w:space="0" w:color="7F7F7F" w:themeColor="text1" w:themeTint="80"/>
              <w:bottom w:val="single" w:sz="8" w:space="0" w:color="7F7F7F" w:themeColor="text1" w:themeTint="80"/>
            </w:tcBorders>
            <w:shd w:val="clear" w:color="auto" w:fill="auto"/>
          </w:tcPr>
          <w:p w14:paraId="1D96A3FB" w14:textId="77777777" w:rsidR="00676795" w:rsidRPr="003F730C" w:rsidRDefault="00676795" w:rsidP="00676795">
            <w:pPr>
              <w:rPr>
                <w:rFonts w:eastAsia="Times New Roman" w:cs="Times New Roman"/>
                <w:b/>
                <w:lang w:eastAsia="cs-CZ"/>
              </w:rPr>
            </w:pPr>
            <w:r w:rsidRPr="003F730C">
              <w:rPr>
                <w:rFonts w:eastAsia="Times New Roman" w:cs="Times New Roman"/>
                <w:b/>
                <w:lang w:eastAsia="cs-CZ"/>
              </w:rPr>
              <w:t xml:space="preserve">Veřejné rozpočty územní úrovně </w:t>
            </w:r>
          </w:p>
          <w:p w14:paraId="2CC6ACC4" w14:textId="745AFFFA" w:rsidR="00676795" w:rsidRPr="00E8518E" w:rsidRDefault="00676795" w:rsidP="00676795">
            <w:pPr>
              <w:rPr>
                <w:rFonts w:eastAsia="Times New Roman" w:cs="Times New Roman"/>
                <w:color w:val="FF0000"/>
                <w:lang w:eastAsia="cs-CZ"/>
              </w:rPr>
            </w:pPr>
            <w:r w:rsidRPr="003F730C">
              <w:rPr>
                <w:rFonts w:eastAsia="Times New Roman" w:cs="Times New Roman"/>
                <w:b/>
                <w:lang w:eastAsia="cs-CZ"/>
              </w:rPr>
              <w:t>v tom:</w:t>
            </w:r>
          </w:p>
        </w:tc>
        <w:tc>
          <w:tcPr>
            <w:tcW w:w="754" w:type="pct"/>
            <w:tcBorders>
              <w:top w:val="single" w:sz="8" w:space="0" w:color="7F7F7F" w:themeColor="text1" w:themeTint="80"/>
              <w:bottom w:val="single" w:sz="8" w:space="0" w:color="7F7F7F" w:themeColor="text1" w:themeTint="80"/>
            </w:tcBorders>
            <w:shd w:val="clear" w:color="auto" w:fill="auto"/>
            <w:vAlign w:val="center"/>
          </w:tcPr>
          <w:p w14:paraId="5CDEA262" w14:textId="621B0929" w:rsidR="00676795" w:rsidRPr="00E8518E" w:rsidRDefault="00676795" w:rsidP="00676795">
            <w:pPr>
              <w:jc w:val="right"/>
              <w:rPr>
                <w:rFonts w:eastAsia="Times New Roman" w:cs="Times New Roman"/>
                <w:b/>
                <w:color w:val="FF0000"/>
                <w:lang w:eastAsia="cs-CZ"/>
              </w:rPr>
            </w:pPr>
            <w:r w:rsidRPr="003F730C">
              <w:rPr>
                <w:rFonts w:eastAsia="Times New Roman" w:cs="Times New Roman"/>
                <w:b/>
                <w:lang w:eastAsia="cs-CZ"/>
              </w:rPr>
              <w:t>3 405 751</w:t>
            </w:r>
          </w:p>
        </w:tc>
        <w:tc>
          <w:tcPr>
            <w:tcW w:w="698" w:type="pct"/>
            <w:tcBorders>
              <w:top w:val="single" w:sz="8" w:space="0" w:color="7F7F7F" w:themeColor="text1" w:themeTint="80"/>
              <w:bottom w:val="single" w:sz="8" w:space="0" w:color="7F7F7F" w:themeColor="text1" w:themeTint="80"/>
            </w:tcBorders>
            <w:shd w:val="clear" w:color="auto" w:fill="auto"/>
            <w:vAlign w:val="center"/>
          </w:tcPr>
          <w:p w14:paraId="640878DE" w14:textId="423B671A" w:rsidR="00676795" w:rsidRPr="00E8518E" w:rsidRDefault="00676795" w:rsidP="00676795">
            <w:pPr>
              <w:jc w:val="right"/>
              <w:rPr>
                <w:rFonts w:eastAsia="Times New Roman" w:cs="Times New Roman"/>
                <w:b/>
                <w:color w:val="FF0000"/>
                <w:lang w:eastAsia="cs-CZ"/>
              </w:rPr>
            </w:pPr>
            <w:r w:rsidRPr="003F730C">
              <w:rPr>
                <w:rFonts w:eastAsia="Times New Roman" w:cs="Times New Roman"/>
                <w:b/>
                <w:lang w:eastAsia="cs-CZ"/>
              </w:rPr>
              <w:t>3 484 211</w:t>
            </w:r>
          </w:p>
        </w:tc>
        <w:tc>
          <w:tcPr>
            <w:tcW w:w="690" w:type="pct"/>
            <w:tcBorders>
              <w:top w:val="single" w:sz="8" w:space="0" w:color="7F7F7F" w:themeColor="text1" w:themeTint="80"/>
              <w:bottom w:val="single" w:sz="8" w:space="0" w:color="7F7F7F" w:themeColor="text1" w:themeTint="80"/>
            </w:tcBorders>
            <w:shd w:val="clear" w:color="auto" w:fill="auto"/>
            <w:vAlign w:val="center"/>
          </w:tcPr>
          <w:p w14:paraId="3411D2BD" w14:textId="7BEF17EC" w:rsidR="00676795" w:rsidRPr="00E8518E" w:rsidRDefault="00676795" w:rsidP="00676795">
            <w:pPr>
              <w:jc w:val="right"/>
              <w:rPr>
                <w:rFonts w:eastAsia="Times New Roman" w:cs="Times New Roman"/>
                <w:b/>
                <w:color w:val="FF0000"/>
                <w:lang w:eastAsia="cs-CZ"/>
              </w:rPr>
            </w:pPr>
            <w:r w:rsidRPr="003F730C">
              <w:rPr>
                <w:rFonts w:eastAsia="Times New Roman" w:cs="Times New Roman"/>
                <w:b/>
                <w:lang w:eastAsia="cs-CZ"/>
              </w:rPr>
              <w:t>3 608 251</w:t>
            </w:r>
          </w:p>
        </w:tc>
        <w:tc>
          <w:tcPr>
            <w:tcW w:w="565" w:type="pct"/>
            <w:tcBorders>
              <w:top w:val="single" w:sz="8" w:space="0" w:color="7F7F7F" w:themeColor="text1" w:themeTint="80"/>
              <w:bottom w:val="single" w:sz="8" w:space="0" w:color="7F7F7F" w:themeColor="text1" w:themeTint="80"/>
            </w:tcBorders>
            <w:shd w:val="clear" w:color="auto" w:fill="auto"/>
            <w:vAlign w:val="center"/>
          </w:tcPr>
          <w:p w14:paraId="2ACE5A54" w14:textId="1E75C3E1" w:rsidR="00676795" w:rsidRPr="00E8518E" w:rsidRDefault="00676795" w:rsidP="00676795">
            <w:pPr>
              <w:jc w:val="right"/>
              <w:rPr>
                <w:rFonts w:eastAsia="Times New Roman" w:cs="Times New Roman"/>
                <w:b/>
                <w:color w:val="FF0000"/>
                <w:lang w:eastAsia="cs-CZ"/>
              </w:rPr>
            </w:pPr>
            <w:r w:rsidRPr="003F730C">
              <w:rPr>
                <w:rFonts w:eastAsia="Times New Roman" w:cs="Times New Roman"/>
                <w:b/>
                <w:lang w:eastAsia="cs-CZ"/>
              </w:rPr>
              <w:t>103,56</w:t>
            </w:r>
          </w:p>
        </w:tc>
      </w:tr>
      <w:tr w:rsidR="00676795" w:rsidRPr="00E8518E" w14:paraId="14712A90" w14:textId="77777777" w:rsidTr="007D47E8">
        <w:trPr>
          <w:tblHeader/>
        </w:trPr>
        <w:tc>
          <w:tcPr>
            <w:tcW w:w="2293" w:type="pct"/>
            <w:tcBorders>
              <w:top w:val="single" w:sz="8" w:space="0" w:color="7F7F7F" w:themeColor="text1" w:themeTint="80"/>
            </w:tcBorders>
            <w:shd w:val="clear" w:color="auto" w:fill="auto"/>
          </w:tcPr>
          <w:p w14:paraId="5180907C" w14:textId="26E84E0E" w:rsidR="00676795" w:rsidRPr="00E8518E" w:rsidRDefault="00676795" w:rsidP="00676795">
            <w:pPr>
              <w:rPr>
                <w:rFonts w:eastAsia="Times New Roman" w:cs="Times New Roman"/>
                <w:color w:val="FF0000"/>
                <w:lang w:eastAsia="cs-CZ"/>
              </w:rPr>
            </w:pPr>
            <w:r w:rsidRPr="003F730C">
              <w:rPr>
                <w:rFonts w:eastAsia="Times New Roman" w:cs="Times New Roman"/>
                <w:lang w:eastAsia="cs-CZ"/>
              </w:rPr>
              <w:t xml:space="preserve">Obce  </w:t>
            </w:r>
          </w:p>
        </w:tc>
        <w:tc>
          <w:tcPr>
            <w:tcW w:w="754" w:type="pct"/>
            <w:tcBorders>
              <w:top w:val="single" w:sz="8" w:space="0" w:color="7F7F7F" w:themeColor="text1" w:themeTint="80"/>
            </w:tcBorders>
            <w:shd w:val="clear" w:color="auto" w:fill="auto"/>
            <w:vAlign w:val="center"/>
          </w:tcPr>
          <w:p w14:paraId="4C33BFDC" w14:textId="39073538"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289 083</w:t>
            </w:r>
          </w:p>
        </w:tc>
        <w:tc>
          <w:tcPr>
            <w:tcW w:w="698" w:type="pct"/>
            <w:tcBorders>
              <w:top w:val="single" w:sz="8" w:space="0" w:color="7F7F7F" w:themeColor="text1" w:themeTint="80"/>
            </w:tcBorders>
            <w:shd w:val="clear" w:color="auto" w:fill="auto"/>
            <w:vAlign w:val="center"/>
          </w:tcPr>
          <w:p w14:paraId="78543A74" w14:textId="64917FC8"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299 335</w:t>
            </w:r>
          </w:p>
        </w:tc>
        <w:tc>
          <w:tcPr>
            <w:tcW w:w="690" w:type="pct"/>
            <w:tcBorders>
              <w:top w:val="single" w:sz="8" w:space="0" w:color="7F7F7F" w:themeColor="text1" w:themeTint="80"/>
            </w:tcBorders>
            <w:shd w:val="clear" w:color="auto" w:fill="auto"/>
            <w:vAlign w:val="center"/>
          </w:tcPr>
          <w:p w14:paraId="525364AF" w14:textId="3CDFFEB6"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309 950</w:t>
            </w:r>
          </w:p>
        </w:tc>
        <w:tc>
          <w:tcPr>
            <w:tcW w:w="565" w:type="pct"/>
            <w:tcBorders>
              <w:top w:val="single" w:sz="8" w:space="0" w:color="7F7F7F" w:themeColor="text1" w:themeTint="80"/>
            </w:tcBorders>
            <w:shd w:val="clear" w:color="auto" w:fill="auto"/>
            <w:vAlign w:val="center"/>
          </w:tcPr>
          <w:p w14:paraId="644A60D1" w14:textId="783B6AE6"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103,55</w:t>
            </w:r>
          </w:p>
        </w:tc>
      </w:tr>
      <w:tr w:rsidR="00676795" w:rsidRPr="00E8518E" w14:paraId="59D757C2" w14:textId="77777777" w:rsidTr="007D47E8">
        <w:trPr>
          <w:tblHeader/>
        </w:trPr>
        <w:tc>
          <w:tcPr>
            <w:tcW w:w="2293" w:type="pct"/>
            <w:shd w:val="clear" w:color="auto" w:fill="auto"/>
          </w:tcPr>
          <w:p w14:paraId="547A9AB9" w14:textId="1A80F125" w:rsidR="00676795" w:rsidRPr="00E8518E" w:rsidRDefault="00676795" w:rsidP="00676795">
            <w:pPr>
              <w:rPr>
                <w:rFonts w:eastAsia="Times New Roman" w:cs="Times New Roman"/>
                <w:color w:val="FF0000"/>
                <w:lang w:eastAsia="cs-CZ"/>
              </w:rPr>
            </w:pPr>
            <w:r w:rsidRPr="003F730C">
              <w:rPr>
                <w:rFonts w:eastAsia="Times New Roman" w:cs="Times New Roman"/>
                <w:lang w:eastAsia="cs-CZ"/>
              </w:rPr>
              <w:t xml:space="preserve">Kraje </w:t>
            </w:r>
          </w:p>
        </w:tc>
        <w:tc>
          <w:tcPr>
            <w:tcW w:w="754" w:type="pct"/>
            <w:shd w:val="clear" w:color="auto" w:fill="auto"/>
            <w:vAlign w:val="center"/>
          </w:tcPr>
          <w:p w14:paraId="7E8E7ED3" w14:textId="5FAFC805"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3 116 668</w:t>
            </w:r>
          </w:p>
        </w:tc>
        <w:tc>
          <w:tcPr>
            <w:tcW w:w="698" w:type="pct"/>
            <w:shd w:val="clear" w:color="auto" w:fill="auto"/>
            <w:vAlign w:val="center"/>
          </w:tcPr>
          <w:p w14:paraId="3BA459C4" w14:textId="75994EC4"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3 184 876</w:t>
            </w:r>
          </w:p>
        </w:tc>
        <w:tc>
          <w:tcPr>
            <w:tcW w:w="690" w:type="pct"/>
            <w:shd w:val="clear" w:color="auto" w:fill="auto"/>
            <w:vAlign w:val="center"/>
          </w:tcPr>
          <w:p w14:paraId="2B148A72" w14:textId="156FA513"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3 298 301</w:t>
            </w:r>
          </w:p>
        </w:tc>
        <w:tc>
          <w:tcPr>
            <w:tcW w:w="565" w:type="pct"/>
            <w:shd w:val="clear" w:color="auto" w:fill="auto"/>
            <w:vAlign w:val="center"/>
          </w:tcPr>
          <w:p w14:paraId="4E1013E0" w14:textId="771C84B8" w:rsidR="00676795" w:rsidRPr="00E8518E" w:rsidRDefault="00676795" w:rsidP="00676795">
            <w:pPr>
              <w:jc w:val="right"/>
              <w:rPr>
                <w:rFonts w:eastAsia="Times New Roman" w:cs="Times New Roman"/>
                <w:color w:val="FF0000"/>
                <w:lang w:eastAsia="cs-CZ"/>
              </w:rPr>
            </w:pPr>
            <w:r w:rsidRPr="003F730C">
              <w:rPr>
                <w:rFonts w:eastAsia="Times New Roman" w:cs="Times New Roman"/>
                <w:lang w:eastAsia="cs-CZ"/>
              </w:rPr>
              <w:t>103,56</w:t>
            </w:r>
          </w:p>
        </w:tc>
      </w:tr>
    </w:tbl>
    <w:p w14:paraId="53BCD6F5" w14:textId="234580BF" w:rsidR="00E358B0" w:rsidRPr="003F730C" w:rsidRDefault="00E358B0" w:rsidP="00E358B0">
      <w:pPr>
        <w:pStyle w:val="Styl1"/>
      </w:pPr>
      <w:bookmarkStart w:id="185" w:name="_Toc463338098"/>
      <w:bookmarkStart w:id="186" w:name="_Toc15293393"/>
      <w:bookmarkEnd w:id="184"/>
      <w:r w:rsidRPr="003F730C">
        <w:t xml:space="preserve">V návrhu rozpočtu kapitoly 327 Ministerstvo dopravy pro rok 2023 jsou zařazeny neinvestiční transfery krajům a obcím. Tyto neinvestiční transfery jsou určeny k doplnění finančních zdrojů krajů a hl. m. Prahy na úhradu ztráty ze závazku veřejné služby ve veřejné drážní osobní dopravě ve výši 3 608 251 tis. Kč.  </w:t>
      </w:r>
    </w:p>
    <w:p w14:paraId="0E8F5238" w14:textId="77777777" w:rsidR="00E358B0" w:rsidRPr="003F730C" w:rsidRDefault="00E358B0" w:rsidP="0088307E">
      <w:pPr>
        <w:pStyle w:val="Styl1"/>
        <w:spacing w:before="160" w:after="160"/>
      </w:pPr>
      <w:r w:rsidRPr="003F730C">
        <w:t xml:space="preserve">Dne 9. 3. 2016 vláda projednala a schválila usnesením č. 191 způsob financování regionální železniční dopravy po roce 2019. Zároveň uložila ministru dopravy připravit návrh právního zajištění spolufinancování regionální železniční dopravy. V návaznosti na tento úkol byl Ministerstvem dopravy předložen na schůzi vlády dne 20. července 2016 návrh Smlouvy o zajištění stabilního financování regionální železniční osobní dopravy, který byl schválen usnesením vlády č. 645/2016. </w:t>
      </w:r>
    </w:p>
    <w:p w14:paraId="2B51E053" w14:textId="0104F483" w:rsidR="00E358B0" w:rsidRPr="003F730C" w:rsidRDefault="00E358B0" w:rsidP="0088307E">
      <w:pPr>
        <w:pStyle w:val="Styl1"/>
        <w:spacing w:before="120" w:after="120"/>
      </w:pPr>
      <w:r w:rsidRPr="003F730C">
        <w:t xml:space="preserve">Změna způsobu financování (podílu) </w:t>
      </w:r>
      <w:r w:rsidR="005016A4">
        <w:t>regionální železniční dopravy měla</w:t>
      </w:r>
      <w:r w:rsidRPr="003F730C">
        <w:t xml:space="preserve"> dopad i na změnu poměru financování krajů a obcí (Praha).</w:t>
      </w:r>
    </w:p>
    <w:p w14:paraId="7F17898B" w14:textId="77777777" w:rsidR="00E358B0" w:rsidRPr="003F730C" w:rsidRDefault="00E358B0" w:rsidP="0088307E">
      <w:pPr>
        <w:pStyle w:val="Styl1"/>
        <w:spacing w:before="160" w:after="160"/>
      </w:pPr>
      <w:r w:rsidRPr="003F730C">
        <w:t xml:space="preserve">Neinvestiční transfery krajům a obcím jsou pro rok 2023 rozpočtovány v částce </w:t>
      </w:r>
      <w:r w:rsidRPr="003F730C">
        <w:br/>
        <w:t xml:space="preserve">3 608 251 tis. Kč, tj. navýšení o 124 040 tis. Kč oproti schválenému rozpočtu na rok 2022. Navržená výše prostředků odpovídá výdajům dohodnutým ve Smlouvě o zajištění stabilního financování regionální železniční osobní dopravy. </w:t>
      </w:r>
    </w:p>
    <w:p w14:paraId="1010CFE9" w14:textId="518D062F" w:rsidR="00F23ED8" w:rsidRPr="0088307E" w:rsidRDefault="00F23ED8">
      <w:pPr>
        <w:pStyle w:val="Titulek"/>
      </w:pPr>
      <w:bookmarkStart w:id="187" w:name="_Toc115788015"/>
      <w:r w:rsidRPr="0088307E">
        <w:t xml:space="preserve">Graf č. </w:t>
      </w:r>
      <w:fldSimple w:instr=" SEQ Graf_č. \* ARABIC ">
        <w:r w:rsidR="00F80947">
          <w:rPr>
            <w:noProof/>
          </w:rPr>
          <w:t>7</w:t>
        </w:r>
      </w:fldSimple>
      <w:r w:rsidRPr="0088307E">
        <w:t>: Neinvestiční transfery veřejným rozpočtům územní úrovně (v tis. Kč)</w:t>
      </w:r>
      <w:bookmarkEnd w:id="185"/>
      <w:bookmarkEnd w:id="186"/>
      <w:bookmarkEnd w:id="187"/>
    </w:p>
    <w:p w14:paraId="7004CCFF" w14:textId="508531EF" w:rsidR="00C617CF" w:rsidRDefault="00BF4634" w:rsidP="00E01950">
      <w:pPr>
        <w:pStyle w:val="Styl1"/>
        <w:rPr>
          <w:color w:val="FF0000"/>
        </w:rPr>
      </w:pPr>
      <w:r w:rsidRPr="00B2170F">
        <w:rPr>
          <w:noProof/>
          <w:color w:val="FF0000"/>
        </w:rPr>
        <w:drawing>
          <wp:inline distT="0" distB="0" distL="0" distR="0" wp14:anchorId="1610EED9" wp14:editId="0AC3BC1A">
            <wp:extent cx="5676900" cy="2695575"/>
            <wp:effectExtent l="0" t="0" r="0" b="9525"/>
            <wp:docPr id="6" name="Graf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67D507A" w14:textId="5FDEF904" w:rsidR="00F23ED8" w:rsidRPr="00C617CF" w:rsidRDefault="00C617CF" w:rsidP="00C617CF">
      <w:pPr>
        <w:spacing w:after="160"/>
        <w:jc w:val="left"/>
        <w:rPr>
          <w:rFonts w:eastAsia="Times New Roman" w:cs="Times New Roman"/>
          <w:iCs/>
          <w:color w:val="FF0000"/>
          <w:szCs w:val="24"/>
          <w:lang w:eastAsia="cs-CZ"/>
        </w:rPr>
      </w:pPr>
      <w:r>
        <w:rPr>
          <w:color w:val="FF0000"/>
        </w:rPr>
        <w:br w:type="page"/>
      </w:r>
    </w:p>
    <w:p w14:paraId="03394B0D" w14:textId="77777777" w:rsidR="0057450B" w:rsidRPr="0088307E" w:rsidRDefault="0057450B" w:rsidP="00F23ED8">
      <w:pPr>
        <w:pStyle w:val="Nadpis3"/>
      </w:pPr>
      <w:bookmarkStart w:id="188" w:name="_Toc115787797"/>
      <w:r w:rsidRPr="0088307E">
        <w:t>Neinvestiční transfery neziskovým a podobným organizacím</w:t>
      </w:r>
      <w:bookmarkEnd w:id="182"/>
      <w:bookmarkEnd w:id="183"/>
      <w:bookmarkEnd w:id="188"/>
      <w:r w:rsidRPr="0088307E">
        <w:t xml:space="preserve"> </w:t>
      </w:r>
    </w:p>
    <w:p w14:paraId="4800E14D" w14:textId="5E1B95EE" w:rsidR="00F252D5" w:rsidRPr="0088307E" w:rsidRDefault="00F252D5" w:rsidP="00A4652C">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22</w:t>
      </w:r>
      <w:r w:rsidRPr="0088307E">
        <w:rPr>
          <w:noProof/>
        </w:rPr>
        <w:fldChar w:fldCharType="end"/>
      </w:r>
      <w:r w:rsidRPr="0088307E">
        <w:rPr>
          <w:noProof/>
        </w:rPr>
        <w:t xml:space="preserve"> </w:t>
      </w:r>
      <w:r w:rsidRPr="0088307E">
        <w:t>Neinvestiční</w:t>
      </w:r>
      <w:r w:rsidRPr="0088307E">
        <w:rPr>
          <w:noProof/>
        </w:rPr>
        <w:t xml:space="preserve"> transfery neziskovým a podobným organizacím (v tis. Kč)</w:t>
      </w:r>
    </w:p>
    <w:tbl>
      <w:tblPr>
        <w:tblStyle w:val="Svtltabulkasmkou1zvraznn5"/>
        <w:tblW w:w="4817"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680"/>
        <w:gridCol w:w="1360"/>
        <w:gridCol w:w="1275"/>
        <w:gridCol w:w="1275"/>
        <w:gridCol w:w="1130"/>
      </w:tblGrid>
      <w:tr w:rsidR="0088307E" w:rsidRPr="00E8518E" w14:paraId="1EE27EB7" w14:textId="77777777" w:rsidTr="0088307E">
        <w:tc>
          <w:tcPr>
            <w:tcW w:w="211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4D02DED" w14:textId="15C5A9F9" w:rsidR="00470796" w:rsidRPr="00E8518E" w:rsidRDefault="00470796" w:rsidP="00470796">
            <w:pPr>
              <w:jc w:val="center"/>
              <w:rPr>
                <w:rFonts w:eastAsia="Times New Roman" w:cs="Times New Roman"/>
                <w:b/>
                <w:color w:val="FF0000"/>
                <w:szCs w:val="24"/>
                <w:lang w:eastAsia="cs-CZ"/>
              </w:rPr>
            </w:pPr>
            <w:r w:rsidRPr="003F730C">
              <w:rPr>
                <w:rFonts w:eastAsia="Times New Roman" w:cs="Times New Roman"/>
                <w:b/>
                <w:szCs w:val="24"/>
                <w:lang w:eastAsia="cs-CZ"/>
              </w:rPr>
              <w:t>Ukazatel</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64A21AD" w14:textId="77777777" w:rsidR="00470796" w:rsidRPr="003F730C" w:rsidRDefault="00470796" w:rsidP="00470796">
            <w:pPr>
              <w:jc w:val="center"/>
              <w:rPr>
                <w:rFonts w:eastAsia="Times New Roman" w:cs="Times New Roman"/>
                <w:b/>
                <w:szCs w:val="24"/>
                <w:lang w:eastAsia="cs-CZ"/>
              </w:rPr>
            </w:pPr>
            <w:r w:rsidRPr="003F730C">
              <w:rPr>
                <w:rFonts w:eastAsia="Times New Roman" w:cs="Times New Roman"/>
                <w:b/>
                <w:szCs w:val="24"/>
                <w:lang w:eastAsia="cs-CZ"/>
              </w:rPr>
              <w:t>Skutečnost</w:t>
            </w:r>
          </w:p>
          <w:p w14:paraId="163CBB5A" w14:textId="7114DD46" w:rsidR="00470796" w:rsidRPr="00E8518E" w:rsidRDefault="00470796" w:rsidP="00470796">
            <w:pPr>
              <w:jc w:val="center"/>
              <w:rPr>
                <w:rFonts w:eastAsia="Times New Roman" w:cs="Times New Roman"/>
                <w:b/>
                <w:color w:val="FF0000"/>
                <w:szCs w:val="24"/>
                <w:lang w:eastAsia="cs-CZ"/>
              </w:rPr>
            </w:pPr>
            <w:r w:rsidRPr="003F730C">
              <w:rPr>
                <w:rFonts w:eastAsia="Times New Roman" w:cs="Times New Roman"/>
                <w:b/>
                <w:szCs w:val="24"/>
                <w:lang w:eastAsia="cs-CZ"/>
              </w:rPr>
              <w:t>2021</w:t>
            </w:r>
          </w:p>
        </w:tc>
        <w:tc>
          <w:tcPr>
            <w:tcW w:w="73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15D82AE" w14:textId="77777777" w:rsidR="00470796" w:rsidRPr="003F730C" w:rsidRDefault="00470796" w:rsidP="00470796">
            <w:pPr>
              <w:jc w:val="center"/>
              <w:rPr>
                <w:rFonts w:eastAsia="Times New Roman" w:cs="Times New Roman"/>
                <w:b/>
                <w:szCs w:val="24"/>
                <w:lang w:eastAsia="cs-CZ"/>
              </w:rPr>
            </w:pPr>
            <w:r w:rsidRPr="003F730C">
              <w:rPr>
                <w:rFonts w:eastAsia="Times New Roman" w:cs="Times New Roman"/>
                <w:b/>
                <w:szCs w:val="24"/>
                <w:lang w:eastAsia="cs-CZ"/>
              </w:rPr>
              <w:t>Schválený</w:t>
            </w:r>
          </w:p>
          <w:p w14:paraId="1B6AFFCA" w14:textId="77777777" w:rsidR="00470796" w:rsidRPr="003F730C" w:rsidRDefault="00470796" w:rsidP="00470796">
            <w:pPr>
              <w:jc w:val="center"/>
              <w:rPr>
                <w:rFonts w:eastAsia="Times New Roman" w:cs="Times New Roman"/>
                <w:b/>
                <w:szCs w:val="24"/>
                <w:lang w:eastAsia="cs-CZ"/>
              </w:rPr>
            </w:pPr>
            <w:r w:rsidRPr="003F730C">
              <w:rPr>
                <w:rFonts w:eastAsia="Times New Roman" w:cs="Times New Roman"/>
                <w:b/>
                <w:szCs w:val="24"/>
                <w:lang w:eastAsia="cs-CZ"/>
              </w:rPr>
              <w:t>rozpočet</w:t>
            </w:r>
          </w:p>
          <w:p w14:paraId="184D187B" w14:textId="3CB1BAC5" w:rsidR="00470796" w:rsidRPr="00E8518E" w:rsidRDefault="00470796" w:rsidP="00470796">
            <w:pPr>
              <w:jc w:val="center"/>
              <w:rPr>
                <w:rFonts w:eastAsia="Times New Roman" w:cs="Times New Roman"/>
                <w:b/>
                <w:color w:val="FF0000"/>
                <w:szCs w:val="24"/>
                <w:lang w:eastAsia="cs-CZ"/>
              </w:rPr>
            </w:pPr>
            <w:r w:rsidRPr="003F730C">
              <w:rPr>
                <w:rFonts w:eastAsia="Times New Roman" w:cs="Times New Roman"/>
                <w:b/>
                <w:szCs w:val="24"/>
                <w:lang w:eastAsia="cs-CZ"/>
              </w:rPr>
              <w:t>2022</w:t>
            </w:r>
          </w:p>
        </w:tc>
        <w:tc>
          <w:tcPr>
            <w:tcW w:w="73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5081EF6" w14:textId="77777777" w:rsidR="00470796" w:rsidRPr="003F730C" w:rsidRDefault="00470796" w:rsidP="00470796">
            <w:pPr>
              <w:jc w:val="center"/>
              <w:rPr>
                <w:rFonts w:eastAsia="Times New Roman" w:cs="Times New Roman"/>
                <w:b/>
                <w:szCs w:val="24"/>
                <w:lang w:eastAsia="cs-CZ"/>
              </w:rPr>
            </w:pPr>
            <w:r w:rsidRPr="003F730C">
              <w:rPr>
                <w:rFonts w:eastAsia="Times New Roman" w:cs="Times New Roman"/>
                <w:b/>
                <w:szCs w:val="24"/>
                <w:lang w:eastAsia="cs-CZ"/>
              </w:rPr>
              <w:t>Návrh</w:t>
            </w:r>
          </w:p>
          <w:p w14:paraId="239867C9" w14:textId="77777777" w:rsidR="00470796" w:rsidRPr="003F730C" w:rsidRDefault="00470796" w:rsidP="00470796">
            <w:pPr>
              <w:jc w:val="center"/>
              <w:rPr>
                <w:rFonts w:eastAsia="Times New Roman" w:cs="Times New Roman"/>
                <w:b/>
                <w:szCs w:val="24"/>
                <w:lang w:eastAsia="cs-CZ"/>
              </w:rPr>
            </w:pPr>
            <w:r w:rsidRPr="003F730C">
              <w:rPr>
                <w:rFonts w:eastAsia="Times New Roman" w:cs="Times New Roman"/>
                <w:b/>
                <w:szCs w:val="24"/>
                <w:lang w:eastAsia="cs-CZ"/>
              </w:rPr>
              <w:t>rozpočtu</w:t>
            </w:r>
          </w:p>
          <w:p w14:paraId="343C5D40" w14:textId="47AF891F" w:rsidR="00470796" w:rsidRPr="00E8518E" w:rsidRDefault="00470796" w:rsidP="00470796">
            <w:pPr>
              <w:jc w:val="center"/>
              <w:rPr>
                <w:rFonts w:eastAsia="Times New Roman" w:cs="Times New Roman"/>
                <w:b/>
                <w:color w:val="FF0000"/>
                <w:szCs w:val="24"/>
                <w:lang w:eastAsia="cs-CZ"/>
              </w:rPr>
            </w:pPr>
            <w:r w:rsidRPr="003F730C">
              <w:rPr>
                <w:rFonts w:eastAsia="Times New Roman" w:cs="Times New Roman"/>
                <w:b/>
                <w:szCs w:val="24"/>
                <w:lang w:eastAsia="cs-CZ"/>
              </w:rPr>
              <w:t>2023</w:t>
            </w:r>
          </w:p>
        </w:tc>
        <w:tc>
          <w:tcPr>
            <w:tcW w:w="6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5523DF" w14:textId="77777777" w:rsidR="00470796" w:rsidRPr="003F730C" w:rsidRDefault="00470796" w:rsidP="00470796">
            <w:pPr>
              <w:jc w:val="center"/>
              <w:rPr>
                <w:rFonts w:eastAsia="Times New Roman" w:cs="Times New Roman"/>
                <w:b/>
                <w:szCs w:val="24"/>
                <w:lang w:eastAsia="cs-CZ"/>
              </w:rPr>
            </w:pPr>
            <w:r w:rsidRPr="003F730C">
              <w:rPr>
                <w:rFonts w:eastAsia="Times New Roman" w:cs="Times New Roman"/>
                <w:b/>
                <w:szCs w:val="24"/>
                <w:lang w:eastAsia="cs-CZ"/>
              </w:rPr>
              <w:t>Index</w:t>
            </w:r>
          </w:p>
          <w:p w14:paraId="3D591E0C" w14:textId="4D346D63" w:rsidR="00470796" w:rsidRPr="00E8518E" w:rsidRDefault="00470796" w:rsidP="00470796">
            <w:pPr>
              <w:jc w:val="center"/>
              <w:rPr>
                <w:rFonts w:eastAsia="Times New Roman" w:cs="Times New Roman"/>
                <w:b/>
                <w:color w:val="FF0000"/>
                <w:szCs w:val="24"/>
                <w:lang w:eastAsia="cs-CZ"/>
              </w:rPr>
            </w:pPr>
            <w:r w:rsidRPr="003F730C">
              <w:rPr>
                <w:rFonts w:eastAsia="Times New Roman" w:cs="Times New Roman"/>
                <w:b/>
                <w:szCs w:val="24"/>
                <w:lang w:eastAsia="cs-CZ"/>
              </w:rPr>
              <w:t>2023/</w:t>
            </w:r>
            <w:r w:rsidRPr="003F730C">
              <w:rPr>
                <w:rFonts w:eastAsia="Times New Roman" w:cs="Times New Roman"/>
                <w:b/>
                <w:szCs w:val="24"/>
                <w:lang w:eastAsia="cs-CZ"/>
              </w:rPr>
              <w:br/>
              <w:t xml:space="preserve">2022 </w:t>
            </w:r>
            <w:r w:rsidRPr="003F730C">
              <w:rPr>
                <w:rFonts w:eastAsia="Times New Roman" w:cs="Times New Roman"/>
                <w:b/>
                <w:szCs w:val="24"/>
                <w:lang w:eastAsia="cs-CZ"/>
              </w:rPr>
              <w:br/>
              <w:t>(v %)</w:t>
            </w:r>
          </w:p>
        </w:tc>
      </w:tr>
      <w:tr w:rsidR="0088307E" w:rsidRPr="00E8518E" w14:paraId="35105DA1" w14:textId="77777777" w:rsidTr="0088307E">
        <w:tc>
          <w:tcPr>
            <w:tcW w:w="2110" w:type="pct"/>
            <w:tcBorders>
              <w:top w:val="single" w:sz="4" w:space="0" w:color="7F7F7F" w:themeColor="text1" w:themeTint="80"/>
              <w:bottom w:val="single" w:sz="8" w:space="0" w:color="7F7F7F" w:themeColor="text1" w:themeTint="80"/>
            </w:tcBorders>
            <w:shd w:val="clear" w:color="auto" w:fill="auto"/>
          </w:tcPr>
          <w:p w14:paraId="7223E97A"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a</w:t>
            </w:r>
          </w:p>
        </w:tc>
        <w:tc>
          <w:tcPr>
            <w:tcW w:w="780" w:type="pct"/>
            <w:tcBorders>
              <w:top w:val="single" w:sz="4" w:space="0" w:color="7F7F7F" w:themeColor="text1" w:themeTint="80"/>
              <w:bottom w:val="single" w:sz="8" w:space="0" w:color="7F7F7F" w:themeColor="text1" w:themeTint="80"/>
            </w:tcBorders>
            <w:shd w:val="clear" w:color="auto" w:fill="auto"/>
          </w:tcPr>
          <w:p w14:paraId="66C0D398"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1</w:t>
            </w:r>
          </w:p>
        </w:tc>
        <w:tc>
          <w:tcPr>
            <w:tcW w:w="731" w:type="pct"/>
            <w:tcBorders>
              <w:top w:val="single" w:sz="4" w:space="0" w:color="7F7F7F" w:themeColor="text1" w:themeTint="80"/>
              <w:bottom w:val="single" w:sz="8" w:space="0" w:color="7F7F7F" w:themeColor="text1" w:themeTint="80"/>
            </w:tcBorders>
            <w:shd w:val="clear" w:color="auto" w:fill="auto"/>
          </w:tcPr>
          <w:p w14:paraId="0E826C2D"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2</w:t>
            </w:r>
          </w:p>
        </w:tc>
        <w:tc>
          <w:tcPr>
            <w:tcW w:w="731" w:type="pct"/>
            <w:tcBorders>
              <w:top w:val="single" w:sz="4" w:space="0" w:color="7F7F7F" w:themeColor="text1" w:themeTint="80"/>
              <w:bottom w:val="single" w:sz="8" w:space="0" w:color="7F7F7F" w:themeColor="text1" w:themeTint="80"/>
            </w:tcBorders>
            <w:shd w:val="clear" w:color="auto" w:fill="auto"/>
          </w:tcPr>
          <w:p w14:paraId="3C7CBAC9"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3</w:t>
            </w:r>
          </w:p>
        </w:tc>
        <w:tc>
          <w:tcPr>
            <w:tcW w:w="648" w:type="pct"/>
            <w:tcBorders>
              <w:top w:val="single" w:sz="4" w:space="0" w:color="7F7F7F" w:themeColor="text1" w:themeTint="80"/>
              <w:bottom w:val="single" w:sz="8" w:space="0" w:color="7F7F7F" w:themeColor="text1" w:themeTint="80"/>
            </w:tcBorders>
            <w:shd w:val="clear" w:color="auto" w:fill="auto"/>
          </w:tcPr>
          <w:p w14:paraId="181692F4"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4</w:t>
            </w:r>
          </w:p>
        </w:tc>
      </w:tr>
      <w:tr w:rsidR="0088307E" w:rsidRPr="00E8518E" w14:paraId="1D406927" w14:textId="77777777" w:rsidTr="0088307E">
        <w:tc>
          <w:tcPr>
            <w:tcW w:w="2110" w:type="pct"/>
            <w:tcBorders>
              <w:top w:val="single" w:sz="8" w:space="0" w:color="7F7F7F" w:themeColor="text1" w:themeTint="80"/>
              <w:bottom w:val="single" w:sz="8" w:space="0" w:color="7F7F7F" w:themeColor="text1" w:themeTint="80"/>
            </w:tcBorders>
            <w:shd w:val="clear" w:color="auto" w:fill="auto"/>
          </w:tcPr>
          <w:p w14:paraId="4FE4ABCD" w14:textId="369D2F96" w:rsidR="00470796" w:rsidRPr="00E8518E" w:rsidRDefault="00470796" w:rsidP="00470796">
            <w:pPr>
              <w:rPr>
                <w:rFonts w:eastAsia="Times New Roman" w:cs="Times New Roman"/>
                <w:b/>
                <w:color w:val="FF0000"/>
                <w:lang w:eastAsia="cs-CZ"/>
              </w:rPr>
            </w:pPr>
            <w:r w:rsidRPr="003F730C">
              <w:rPr>
                <w:rFonts w:eastAsia="Times New Roman" w:cs="Times New Roman"/>
                <w:b/>
                <w:lang w:eastAsia="cs-CZ"/>
              </w:rPr>
              <w:t xml:space="preserve">Neziskové a podobné organizace </w:t>
            </w:r>
            <w:r w:rsidRPr="003F730C">
              <w:rPr>
                <w:rFonts w:eastAsia="Times New Roman" w:cs="Times New Roman"/>
                <w:lang w:eastAsia="cs-CZ"/>
              </w:rPr>
              <w:t>v tom:</w:t>
            </w:r>
          </w:p>
        </w:tc>
        <w:tc>
          <w:tcPr>
            <w:tcW w:w="780" w:type="pct"/>
            <w:tcBorders>
              <w:top w:val="single" w:sz="8" w:space="0" w:color="7F7F7F" w:themeColor="text1" w:themeTint="80"/>
              <w:bottom w:val="single" w:sz="8" w:space="0" w:color="7F7F7F" w:themeColor="text1" w:themeTint="80"/>
            </w:tcBorders>
            <w:shd w:val="clear" w:color="auto" w:fill="auto"/>
            <w:vAlign w:val="center"/>
          </w:tcPr>
          <w:p w14:paraId="129FA7CD" w14:textId="47375726" w:rsidR="00470796" w:rsidRPr="00E8518E" w:rsidRDefault="00470796" w:rsidP="00470796">
            <w:pPr>
              <w:jc w:val="right"/>
              <w:rPr>
                <w:rFonts w:eastAsia="Times New Roman" w:cs="Times New Roman"/>
                <w:b/>
                <w:color w:val="FF0000"/>
                <w:lang w:eastAsia="cs-CZ"/>
              </w:rPr>
            </w:pPr>
            <w:r w:rsidRPr="003F730C">
              <w:rPr>
                <w:rFonts w:eastAsia="Times New Roman" w:cs="Times New Roman"/>
                <w:b/>
                <w:lang w:eastAsia="cs-CZ"/>
              </w:rPr>
              <w:t>10 533</w:t>
            </w:r>
          </w:p>
        </w:tc>
        <w:tc>
          <w:tcPr>
            <w:tcW w:w="731" w:type="pct"/>
            <w:tcBorders>
              <w:top w:val="single" w:sz="8" w:space="0" w:color="7F7F7F" w:themeColor="text1" w:themeTint="80"/>
              <w:bottom w:val="single" w:sz="8" w:space="0" w:color="7F7F7F" w:themeColor="text1" w:themeTint="80"/>
            </w:tcBorders>
            <w:shd w:val="clear" w:color="auto" w:fill="auto"/>
            <w:vAlign w:val="center"/>
          </w:tcPr>
          <w:p w14:paraId="11F50C29" w14:textId="3117157D" w:rsidR="00470796" w:rsidRPr="00E8518E" w:rsidRDefault="00470796" w:rsidP="00470796">
            <w:pPr>
              <w:jc w:val="right"/>
              <w:rPr>
                <w:rFonts w:eastAsia="Times New Roman" w:cs="Times New Roman"/>
                <w:b/>
                <w:color w:val="FF0000"/>
                <w:lang w:eastAsia="cs-CZ"/>
              </w:rPr>
            </w:pPr>
            <w:r w:rsidRPr="003F730C">
              <w:rPr>
                <w:rFonts w:eastAsia="Times New Roman" w:cs="Times New Roman"/>
                <w:b/>
                <w:lang w:eastAsia="cs-CZ"/>
              </w:rPr>
              <w:t>10 460</w:t>
            </w:r>
          </w:p>
        </w:tc>
        <w:tc>
          <w:tcPr>
            <w:tcW w:w="731" w:type="pct"/>
            <w:tcBorders>
              <w:top w:val="single" w:sz="8" w:space="0" w:color="7F7F7F" w:themeColor="text1" w:themeTint="80"/>
              <w:bottom w:val="single" w:sz="8" w:space="0" w:color="7F7F7F" w:themeColor="text1" w:themeTint="80"/>
            </w:tcBorders>
            <w:shd w:val="clear" w:color="auto" w:fill="auto"/>
            <w:vAlign w:val="center"/>
          </w:tcPr>
          <w:p w14:paraId="00E04C94" w14:textId="5DA0173A" w:rsidR="00470796" w:rsidRPr="00E8518E" w:rsidRDefault="00470796" w:rsidP="00470796">
            <w:pPr>
              <w:jc w:val="right"/>
              <w:rPr>
                <w:rFonts w:eastAsia="Times New Roman" w:cs="Times New Roman"/>
                <w:b/>
                <w:color w:val="FF0000"/>
                <w:lang w:eastAsia="cs-CZ"/>
              </w:rPr>
            </w:pPr>
            <w:r w:rsidRPr="003F730C">
              <w:rPr>
                <w:rFonts w:eastAsia="Times New Roman" w:cs="Times New Roman"/>
                <w:b/>
                <w:lang w:eastAsia="cs-CZ"/>
              </w:rPr>
              <w:t>10 933</w:t>
            </w:r>
          </w:p>
        </w:tc>
        <w:tc>
          <w:tcPr>
            <w:tcW w:w="648" w:type="pct"/>
            <w:tcBorders>
              <w:top w:val="single" w:sz="8" w:space="0" w:color="7F7F7F" w:themeColor="text1" w:themeTint="80"/>
              <w:bottom w:val="single" w:sz="8" w:space="0" w:color="7F7F7F" w:themeColor="text1" w:themeTint="80"/>
            </w:tcBorders>
            <w:shd w:val="clear" w:color="auto" w:fill="auto"/>
            <w:vAlign w:val="center"/>
          </w:tcPr>
          <w:p w14:paraId="37E6686A" w14:textId="61A7FC76" w:rsidR="00470796" w:rsidRPr="00E8518E" w:rsidRDefault="00470796" w:rsidP="00470796">
            <w:pPr>
              <w:jc w:val="right"/>
              <w:rPr>
                <w:rFonts w:eastAsia="Times New Roman" w:cs="Times New Roman"/>
                <w:b/>
                <w:color w:val="FF0000"/>
                <w:lang w:eastAsia="cs-CZ"/>
              </w:rPr>
            </w:pPr>
            <w:r w:rsidRPr="003F730C">
              <w:rPr>
                <w:rFonts w:eastAsia="Times New Roman" w:cs="Times New Roman"/>
                <w:b/>
                <w:lang w:eastAsia="cs-CZ"/>
              </w:rPr>
              <w:t>104,52</w:t>
            </w:r>
          </w:p>
        </w:tc>
      </w:tr>
      <w:tr w:rsidR="0088307E" w:rsidRPr="00E8518E" w14:paraId="5F96C98E" w14:textId="77777777" w:rsidTr="0088307E">
        <w:tc>
          <w:tcPr>
            <w:tcW w:w="2110" w:type="pct"/>
            <w:tcBorders>
              <w:top w:val="single" w:sz="8" w:space="0" w:color="7F7F7F" w:themeColor="text1" w:themeTint="80"/>
              <w:bottom w:val="nil"/>
            </w:tcBorders>
            <w:shd w:val="clear" w:color="auto" w:fill="auto"/>
          </w:tcPr>
          <w:p w14:paraId="4B0EB66A" w14:textId="048D2665" w:rsidR="00470796" w:rsidRPr="00E8518E" w:rsidRDefault="00470796" w:rsidP="00470796">
            <w:pPr>
              <w:rPr>
                <w:rFonts w:eastAsia="Times New Roman" w:cs="Times New Roman"/>
                <w:color w:val="FF0000"/>
                <w:lang w:eastAsia="cs-CZ"/>
              </w:rPr>
            </w:pPr>
            <w:r w:rsidRPr="003F730C">
              <w:rPr>
                <w:rFonts w:eastAsia="Times New Roman" w:cs="Times New Roman"/>
                <w:lang w:eastAsia="cs-CZ"/>
              </w:rPr>
              <w:t>Spolky</w:t>
            </w:r>
          </w:p>
        </w:tc>
        <w:tc>
          <w:tcPr>
            <w:tcW w:w="780" w:type="pct"/>
            <w:tcBorders>
              <w:top w:val="single" w:sz="8" w:space="0" w:color="7F7F7F" w:themeColor="text1" w:themeTint="80"/>
              <w:bottom w:val="nil"/>
            </w:tcBorders>
            <w:shd w:val="clear" w:color="auto" w:fill="auto"/>
            <w:vAlign w:val="center"/>
          </w:tcPr>
          <w:p w14:paraId="0E78D1A9" w14:textId="360696E8"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9 893</w:t>
            </w:r>
          </w:p>
        </w:tc>
        <w:tc>
          <w:tcPr>
            <w:tcW w:w="731" w:type="pct"/>
            <w:tcBorders>
              <w:top w:val="single" w:sz="8" w:space="0" w:color="7F7F7F" w:themeColor="text1" w:themeTint="80"/>
              <w:bottom w:val="nil"/>
            </w:tcBorders>
            <w:shd w:val="clear" w:color="auto" w:fill="auto"/>
            <w:vAlign w:val="center"/>
          </w:tcPr>
          <w:p w14:paraId="4C0FE901" w14:textId="35D80E2F"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10 460</w:t>
            </w:r>
          </w:p>
        </w:tc>
        <w:tc>
          <w:tcPr>
            <w:tcW w:w="731" w:type="pct"/>
            <w:tcBorders>
              <w:top w:val="single" w:sz="8" w:space="0" w:color="7F7F7F" w:themeColor="text1" w:themeTint="80"/>
              <w:bottom w:val="nil"/>
            </w:tcBorders>
            <w:shd w:val="clear" w:color="auto" w:fill="auto"/>
            <w:vAlign w:val="center"/>
          </w:tcPr>
          <w:p w14:paraId="196AB670" w14:textId="3CA4FAFD"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10 933</w:t>
            </w:r>
          </w:p>
        </w:tc>
        <w:tc>
          <w:tcPr>
            <w:tcW w:w="648" w:type="pct"/>
            <w:tcBorders>
              <w:top w:val="single" w:sz="8" w:space="0" w:color="7F7F7F" w:themeColor="text1" w:themeTint="80"/>
              <w:bottom w:val="nil"/>
            </w:tcBorders>
            <w:shd w:val="clear" w:color="auto" w:fill="auto"/>
            <w:vAlign w:val="center"/>
          </w:tcPr>
          <w:p w14:paraId="2DE5AFD2" w14:textId="203D948D"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104,52</w:t>
            </w:r>
          </w:p>
        </w:tc>
      </w:tr>
      <w:tr w:rsidR="0088307E" w:rsidRPr="00E8518E" w14:paraId="040AFFA2" w14:textId="77777777" w:rsidTr="0088307E">
        <w:tc>
          <w:tcPr>
            <w:tcW w:w="2110" w:type="pct"/>
            <w:tcBorders>
              <w:top w:val="nil"/>
              <w:bottom w:val="nil"/>
            </w:tcBorders>
            <w:shd w:val="clear" w:color="auto" w:fill="auto"/>
          </w:tcPr>
          <w:p w14:paraId="36BF2441" w14:textId="7578BA7D" w:rsidR="00470796" w:rsidRPr="00E8518E" w:rsidRDefault="00470796" w:rsidP="00470796">
            <w:pPr>
              <w:spacing w:before="13" w:after="13"/>
              <w:jc w:val="left"/>
              <w:rPr>
                <w:rFonts w:eastAsia="Times New Roman" w:cs="Times New Roman"/>
                <w:i/>
                <w:color w:val="FF0000"/>
                <w:lang w:eastAsia="cs-CZ"/>
              </w:rPr>
            </w:pPr>
            <w:r w:rsidRPr="003F730C">
              <w:rPr>
                <w:rFonts w:eastAsia="Times New Roman" w:cs="Times New Roman"/>
                <w:i/>
                <w:lang w:eastAsia="cs-CZ"/>
              </w:rPr>
              <w:t xml:space="preserve">z toho: programové financování </w:t>
            </w:r>
            <w:r w:rsidRPr="003F730C">
              <w:rPr>
                <w:rFonts w:eastAsia="Times New Roman" w:cs="Times New Roman"/>
                <w:i/>
                <w:lang w:eastAsia="cs-CZ"/>
              </w:rPr>
              <w:tab/>
              <w:t>(EDS/SMVS)</w:t>
            </w:r>
          </w:p>
        </w:tc>
        <w:tc>
          <w:tcPr>
            <w:tcW w:w="780" w:type="pct"/>
            <w:tcBorders>
              <w:top w:val="nil"/>
              <w:bottom w:val="nil"/>
            </w:tcBorders>
            <w:shd w:val="clear" w:color="auto" w:fill="auto"/>
            <w:vAlign w:val="center"/>
          </w:tcPr>
          <w:p w14:paraId="5DDE9905" w14:textId="33974260"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652</w:t>
            </w:r>
          </w:p>
        </w:tc>
        <w:tc>
          <w:tcPr>
            <w:tcW w:w="731" w:type="pct"/>
            <w:tcBorders>
              <w:top w:val="nil"/>
              <w:bottom w:val="nil"/>
            </w:tcBorders>
            <w:shd w:val="clear" w:color="auto" w:fill="auto"/>
            <w:vAlign w:val="center"/>
          </w:tcPr>
          <w:p w14:paraId="3FA132A1" w14:textId="4CDA252E"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0</w:t>
            </w:r>
          </w:p>
        </w:tc>
        <w:tc>
          <w:tcPr>
            <w:tcW w:w="731" w:type="pct"/>
            <w:tcBorders>
              <w:top w:val="nil"/>
              <w:bottom w:val="nil"/>
            </w:tcBorders>
            <w:shd w:val="clear" w:color="auto" w:fill="auto"/>
            <w:vAlign w:val="center"/>
          </w:tcPr>
          <w:p w14:paraId="26200DDA" w14:textId="67D13A6A"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0</w:t>
            </w:r>
          </w:p>
        </w:tc>
        <w:tc>
          <w:tcPr>
            <w:tcW w:w="648" w:type="pct"/>
            <w:tcBorders>
              <w:top w:val="nil"/>
              <w:bottom w:val="nil"/>
            </w:tcBorders>
            <w:shd w:val="clear" w:color="auto" w:fill="auto"/>
            <w:vAlign w:val="center"/>
          </w:tcPr>
          <w:p w14:paraId="36C022FC" w14:textId="60BAD324"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x</w:t>
            </w:r>
          </w:p>
        </w:tc>
      </w:tr>
      <w:tr w:rsidR="0088307E" w:rsidRPr="00E8518E" w14:paraId="23CEE58F" w14:textId="77777777" w:rsidTr="0088307E">
        <w:tc>
          <w:tcPr>
            <w:tcW w:w="2110" w:type="pct"/>
            <w:tcBorders>
              <w:top w:val="nil"/>
              <w:bottom w:val="single" w:sz="4" w:space="0" w:color="7F7F7F" w:themeColor="text1" w:themeTint="80"/>
            </w:tcBorders>
            <w:shd w:val="clear" w:color="auto" w:fill="auto"/>
          </w:tcPr>
          <w:p w14:paraId="34FD9469" w14:textId="7A42F5B9" w:rsidR="00470796" w:rsidRPr="00E8518E" w:rsidRDefault="00470796" w:rsidP="00470796">
            <w:pPr>
              <w:spacing w:before="13" w:after="13"/>
              <w:rPr>
                <w:rFonts w:eastAsia="Times New Roman" w:cs="Times New Roman"/>
                <w:color w:val="FF0000"/>
                <w:lang w:eastAsia="cs-CZ"/>
              </w:rPr>
            </w:pPr>
            <w:r w:rsidRPr="003F730C">
              <w:rPr>
                <w:rFonts w:eastAsia="Times New Roman" w:cs="Times New Roman"/>
                <w:i/>
                <w:lang w:eastAsia="cs-CZ"/>
              </w:rPr>
              <w:tab/>
              <w:t>Podpora COVID-BUS</w:t>
            </w:r>
          </w:p>
        </w:tc>
        <w:tc>
          <w:tcPr>
            <w:tcW w:w="780" w:type="pct"/>
            <w:tcBorders>
              <w:top w:val="nil"/>
              <w:bottom w:val="single" w:sz="4" w:space="0" w:color="7F7F7F" w:themeColor="text1" w:themeTint="80"/>
            </w:tcBorders>
            <w:shd w:val="clear" w:color="auto" w:fill="auto"/>
            <w:vAlign w:val="center"/>
          </w:tcPr>
          <w:p w14:paraId="7F336093" w14:textId="75D9BEC1"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341</w:t>
            </w:r>
          </w:p>
        </w:tc>
        <w:tc>
          <w:tcPr>
            <w:tcW w:w="731" w:type="pct"/>
            <w:tcBorders>
              <w:top w:val="nil"/>
              <w:bottom w:val="single" w:sz="4" w:space="0" w:color="7F7F7F" w:themeColor="text1" w:themeTint="80"/>
            </w:tcBorders>
            <w:shd w:val="clear" w:color="auto" w:fill="auto"/>
            <w:vAlign w:val="center"/>
          </w:tcPr>
          <w:p w14:paraId="710CDED6" w14:textId="3D77D864"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0</w:t>
            </w:r>
          </w:p>
        </w:tc>
        <w:tc>
          <w:tcPr>
            <w:tcW w:w="731" w:type="pct"/>
            <w:tcBorders>
              <w:top w:val="nil"/>
              <w:bottom w:val="single" w:sz="4" w:space="0" w:color="7F7F7F" w:themeColor="text1" w:themeTint="80"/>
            </w:tcBorders>
            <w:shd w:val="clear" w:color="auto" w:fill="auto"/>
            <w:vAlign w:val="center"/>
          </w:tcPr>
          <w:p w14:paraId="15CDA644" w14:textId="39B54BEC"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0</w:t>
            </w:r>
          </w:p>
        </w:tc>
        <w:tc>
          <w:tcPr>
            <w:tcW w:w="648" w:type="pct"/>
            <w:tcBorders>
              <w:top w:val="nil"/>
              <w:bottom w:val="single" w:sz="4" w:space="0" w:color="7F7F7F" w:themeColor="text1" w:themeTint="80"/>
            </w:tcBorders>
            <w:shd w:val="clear" w:color="auto" w:fill="auto"/>
            <w:vAlign w:val="center"/>
          </w:tcPr>
          <w:p w14:paraId="0D702F2F" w14:textId="7B2E5D2B"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x</w:t>
            </w:r>
          </w:p>
        </w:tc>
      </w:tr>
      <w:tr w:rsidR="0088307E" w:rsidRPr="00E8518E" w14:paraId="4E2D7841" w14:textId="77777777" w:rsidTr="0088307E">
        <w:tc>
          <w:tcPr>
            <w:tcW w:w="2110" w:type="pct"/>
            <w:tcBorders>
              <w:top w:val="single" w:sz="4" w:space="0" w:color="7F7F7F" w:themeColor="text1" w:themeTint="80"/>
              <w:bottom w:val="nil"/>
            </w:tcBorders>
            <w:shd w:val="clear" w:color="auto" w:fill="auto"/>
          </w:tcPr>
          <w:p w14:paraId="53495D5D" w14:textId="3CB942EB" w:rsidR="00470796" w:rsidRPr="00E8518E" w:rsidRDefault="00470796" w:rsidP="00470796">
            <w:pPr>
              <w:spacing w:before="13" w:after="13"/>
              <w:rPr>
                <w:rFonts w:eastAsia="Times New Roman" w:cs="Times New Roman"/>
                <w:color w:val="FF0000"/>
                <w:lang w:eastAsia="cs-CZ"/>
              </w:rPr>
            </w:pPr>
            <w:r w:rsidRPr="003F730C">
              <w:rPr>
                <w:rFonts w:eastAsia="Times New Roman" w:cs="Times New Roman"/>
                <w:lang w:eastAsia="cs-CZ"/>
              </w:rPr>
              <w:t>Obecně prospěšné společnosti</w:t>
            </w:r>
          </w:p>
        </w:tc>
        <w:tc>
          <w:tcPr>
            <w:tcW w:w="780" w:type="pct"/>
            <w:tcBorders>
              <w:top w:val="single" w:sz="4" w:space="0" w:color="7F7F7F" w:themeColor="text1" w:themeTint="80"/>
              <w:bottom w:val="nil"/>
            </w:tcBorders>
            <w:shd w:val="clear" w:color="auto" w:fill="auto"/>
            <w:vAlign w:val="center"/>
          </w:tcPr>
          <w:p w14:paraId="408F9E63" w14:textId="2A48F46F"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592</w:t>
            </w:r>
          </w:p>
        </w:tc>
        <w:tc>
          <w:tcPr>
            <w:tcW w:w="731" w:type="pct"/>
            <w:tcBorders>
              <w:top w:val="single" w:sz="4" w:space="0" w:color="7F7F7F" w:themeColor="text1" w:themeTint="80"/>
              <w:bottom w:val="nil"/>
            </w:tcBorders>
            <w:shd w:val="clear" w:color="auto" w:fill="auto"/>
            <w:vAlign w:val="center"/>
          </w:tcPr>
          <w:p w14:paraId="60BC217E" w14:textId="4BD60F9B"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0</w:t>
            </w:r>
          </w:p>
        </w:tc>
        <w:tc>
          <w:tcPr>
            <w:tcW w:w="731" w:type="pct"/>
            <w:tcBorders>
              <w:top w:val="single" w:sz="4" w:space="0" w:color="7F7F7F" w:themeColor="text1" w:themeTint="80"/>
              <w:bottom w:val="nil"/>
            </w:tcBorders>
            <w:shd w:val="clear" w:color="auto" w:fill="auto"/>
            <w:vAlign w:val="center"/>
          </w:tcPr>
          <w:p w14:paraId="2C5DBD56" w14:textId="6E217982"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0</w:t>
            </w:r>
          </w:p>
        </w:tc>
        <w:tc>
          <w:tcPr>
            <w:tcW w:w="648" w:type="pct"/>
            <w:tcBorders>
              <w:top w:val="single" w:sz="4" w:space="0" w:color="7F7F7F" w:themeColor="text1" w:themeTint="80"/>
              <w:bottom w:val="nil"/>
            </w:tcBorders>
            <w:shd w:val="clear" w:color="auto" w:fill="auto"/>
            <w:vAlign w:val="center"/>
          </w:tcPr>
          <w:p w14:paraId="23354890" w14:textId="153F6604"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x</w:t>
            </w:r>
          </w:p>
        </w:tc>
      </w:tr>
      <w:tr w:rsidR="0088307E" w:rsidRPr="00E8518E" w14:paraId="71BE9E08" w14:textId="77777777" w:rsidTr="0088307E">
        <w:tc>
          <w:tcPr>
            <w:tcW w:w="2110" w:type="pct"/>
            <w:tcBorders>
              <w:top w:val="single" w:sz="4" w:space="0" w:color="auto"/>
              <w:bottom w:val="nil"/>
            </w:tcBorders>
            <w:shd w:val="clear" w:color="auto" w:fill="auto"/>
          </w:tcPr>
          <w:p w14:paraId="2A17E329" w14:textId="59C04F93" w:rsidR="00470796" w:rsidRPr="00E8518E" w:rsidRDefault="00470796" w:rsidP="00470796">
            <w:pPr>
              <w:spacing w:before="13" w:after="13"/>
              <w:rPr>
                <w:rFonts w:eastAsia="Times New Roman" w:cs="Times New Roman"/>
                <w:color w:val="FF0000"/>
                <w:lang w:eastAsia="cs-CZ"/>
              </w:rPr>
            </w:pPr>
            <w:r w:rsidRPr="003F730C">
              <w:rPr>
                <w:rFonts w:eastAsia="Times New Roman" w:cs="Times New Roman"/>
                <w:lang w:eastAsia="cs-CZ"/>
              </w:rPr>
              <w:t>Církve a náboženské společnosti</w:t>
            </w:r>
          </w:p>
        </w:tc>
        <w:tc>
          <w:tcPr>
            <w:tcW w:w="780" w:type="pct"/>
            <w:tcBorders>
              <w:top w:val="single" w:sz="4" w:space="0" w:color="auto"/>
              <w:bottom w:val="nil"/>
            </w:tcBorders>
            <w:shd w:val="clear" w:color="auto" w:fill="auto"/>
            <w:vAlign w:val="center"/>
          </w:tcPr>
          <w:p w14:paraId="71725B82" w14:textId="41B99943"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48</w:t>
            </w:r>
          </w:p>
        </w:tc>
        <w:tc>
          <w:tcPr>
            <w:tcW w:w="731" w:type="pct"/>
            <w:tcBorders>
              <w:top w:val="single" w:sz="4" w:space="0" w:color="auto"/>
              <w:bottom w:val="nil"/>
            </w:tcBorders>
            <w:shd w:val="clear" w:color="auto" w:fill="auto"/>
            <w:vAlign w:val="center"/>
          </w:tcPr>
          <w:p w14:paraId="4B2D6C3B" w14:textId="08397789"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0</w:t>
            </w:r>
          </w:p>
        </w:tc>
        <w:tc>
          <w:tcPr>
            <w:tcW w:w="731" w:type="pct"/>
            <w:tcBorders>
              <w:top w:val="single" w:sz="4" w:space="0" w:color="auto"/>
              <w:bottom w:val="nil"/>
            </w:tcBorders>
            <w:shd w:val="clear" w:color="auto" w:fill="auto"/>
            <w:vAlign w:val="center"/>
          </w:tcPr>
          <w:p w14:paraId="289E03C1" w14:textId="1FAB6E3B"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0</w:t>
            </w:r>
          </w:p>
        </w:tc>
        <w:tc>
          <w:tcPr>
            <w:tcW w:w="648" w:type="pct"/>
            <w:tcBorders>
              <w:top w:val="single" w:sz="4" w:space="0" w:color="auto"/>
              <w:bottom w:val="nil"/>
            </w:tcBorders>
            <w:shd w:val="clear" w:color="auto" w:fill="auto"/>
            <w:vAlign w:val="center"/>
          </w:tcPr>
          <w:p w14:paraId="5102C14E" w14:textId="0EB08E66" w:rsidR="00470796" w:rsidRPr="00E8518E" w:rsidRDefault="00470796" w:rsidP="00470796">
            <w:pPr>
              <w:jc w:val="right"/>
              <w:rPr>
                <w:rFonts w:eastAsia="Times New Roman" w:cs="Times New Roman"/>
                <w:color w:val="FF0000"/>
                <w:lang w:eastAsia="cs-CZ"/>
              </w:rPr>
            </w:pPr>
            <w:r w:rsidRPr="003F730C">
              <w:rPr>
                <w:rFonts w:eastAsia="Times New Roman" w:cs="Times New Roman"/>
                <w:lang w:eastAsia="cs-CZ"/>
              </w:rPr>
              <w:t>x</w:t>
            </w:r>
          </w:p>
        </w:tc>
      </w:tr>
      <w:tr w:rsidR="0088307E" w:rsidRPr="00E8518E" w14:paraId="1A502C95" w14:textId="77777777" w:rsidTr="0088307E">
        <w:tc>
          <w:tcPr>
            <w:tcW w:w="2110" w:type="pct"/>
            <w:tcBorders>
              <w:top w:val="nil"/>
              <w:bottom w:val="single" w:sz="8" w:space="0" w:color="7F7F7F" w:themeColor="text1" w:themeTint="80"/>
            </w:tcBorders>
            <w:shd w:val="clear" w:color="auto" w:fill="auto"/>
          </w:tcPr>
          <w:p w14:paraId="38C18ACC" w14:textId="2653A50A" w:rsidR="00470796" w:rsidRPr="00E8518E" w:rsidRDefault="00470796" w:rsidP="00470796">
            <w:pPr>
              <w:spacing w:before="13" w:after="13"/>
              <w:rPr>
                <w:rFonts w:eastAsia="Times New Roman" w:cs="Times New Roman"/>
                <w:i/>
                <w:color w:val="FF0000"/>
                <w:lang w:eastAsia="cs-CZ"/>
              </w:rPr>
            </w:pPr>
            <w:r w:rsidRPr="003F730C">
              <w:rPr>
                <w:rFonts w:eastAsia="Times New Roman" w:cs="Times New Roman"/>
                <w:i/>
                <w:lang w:eastAsia="cs-CZ"/>
              </w:rPr>
              <w:t>z toho: Podpora COVID-BUS</w:t>
            </w:r>
          </w:p>
        </w:tc>
        <w:tc>
          <w:tcPr>
            <w:tcW w:w="780" w:type="pct"/>
            <w:tcBorders>
              <w:top w:val="nil"/>
              <w:bottom w:val="single" w:sz="8" w:space="0" w:color="7F7F7F" w:themeColor="text1" w:themeTint="80"/>
            </w:tcBorders>
            <w:shd w:val="clear" w:color="auto" w:fill="auto"/>
            <w:vAlign w:val="center"/>
          </w:tcPr>
          <w:p w14:paraId="73F6918B" w14:textId="71EF3D22"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48</w:t>
            </w:r>
          </w:p>
        </w:tc>
        <w:tc>
          <w:tcPr>
            <w:tcW w:w="731" w:type="pct"/>
            <w:tcBorders>
              <w:top w:val="nil"/>
              <w:bottom w:val="single" w:sz="8" w:space="0" w:color="7F7F7F" w:themeColor="text1" w:themeTint="80"/>
            </w:tcBorders>
            <w:shd w:val="clear" w:color="auto" w:fill="auto"/>
            <w:vAlign w:val="center"/>
          </w:tcPr>
          <w:p w14:paraId="553A6EBE" w14:textId="02092CA7"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0</w:t>
            </w:r>
          </w:p>
        </w:tc>
        <w:tc>
          <w:tcPr>
            <w:tcW w:w="731" w:type="pct"/>
            <w:tcBorders>
              <w:top w:val="nil"/>
              <w:bottom w:val="single" w:sz="8" w:space="0" w:color="7F7F7F" w:themeColor="text1" w:themeTint="80"/>
            </w:tcBorders>
            <w:shd w:val="clear" w:color="auto" w:fill="auto"/>
            <w:vAlign w:val="center"/>
          </w:tcPr>
          <w:p w14:paraId="3DB74292" w14:textId="3502BA57"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0</w:t>
            </w:r>
          </w:p>
        </w:tc>
        <w:tc>
          <w:tcPr>
            <w:tcW w:w="648" w:type="pct"/>
            <w:tcBorders>
              <w:top w:val="nil"/>
              <w:bottom w:val="single" w:sz="8" w:space="0" w:color="7F7F7F" w:themeColor="text1" w:themeTint="80"/>
            </w:tcBorders>
            <w:shd w:val="clear" w:color="auto" w:fill="auto"/>
            <w:vAlign w:val="center"/>
          </w:tcPr>
          <w:p w14:paraId="3A81A2D2" w14:textId="44B373E0" w:rsidR="00470796" w:rsidRPr="00E8518E" w:rsidRDefault="00470796" w:rsidP="00470796">
            <w:pPr>
              <w:jc w:val="right"/>
              <w:rPr>
                <w:rFonts w:eastAsia="Times New Roman" w:cs="Times New Roman"/>
                <w:i/>
                <w:color w:val="FF0000"/>
                <w:lang w:eastAsia="cs-CZ"/>
              </w:rPr>
            </w:pPr>
            <w:r w:rsidRPr="003F730C">
              <w:rPr>
                <w:rFonts w:eastAsia="Times New Roman" w:cs="Times New Roman"/>
                <w:i/>
                <w:lang w:eastAsia="cs-CZ"/>
              </w:rPr>
              <w:t>x</w:t>
            </w:r>
          </w:p>
        </w:tc>
      </w:tr>
    </w:tbl>
    <w:p w14:paraId="1CBDFF0D" w14:textId="77777777" w:rsidR="00676795" w:rsidRPr="00B2170F" w:rsidRDefault="00676795" w:rsidP="00676795">
      <w:pPr>
        <w:pStyle w:val="Styl1"/>
        <w:rPr>
          <w:color w:val="FF0000"/>
        </w:rPr>
      </w:pPr>
      <w:bookmarkStart w:id="189" w:name="_Toc462314398"/>
      <w:bookmarkStart w:id="190" w:name="_Toc489274104"/>
      <w:r w:rsidRPr="003F730C">
        <w:t xml:space="preserve">V rámci návrhu rozpočtu na rok 2023 je zapracována dotace spolkům ve výši 10 933 tis. Kč, </w:t>
      </w:r>
      <w:r w:rsidRPr="003F730C">
        <w:br/>
        <w:t>tj. zvýšení oproti předchozímu roku 2022 o 473 tis. Kč.</w:t>
      </w:r>
    </w:p>
    <w:p w14:paraId="3FEE6260" w14:textId="77777777" w:rsidR="00676795" w:rsidRPr="003F730C" w:rsidRDefault="00676795" w:rsidP="00676795">
      <w:pPr>
        <w:pStyle w:val="Styl1"/>
      </w:pPr>
      <w:r w:rsidRPr="003F730C">
        <w:t>Dotace ve výši 9 400 tis. Kč je určena pro spolek Letecká amatérská asociace ČR, který zajišťuje přenesený výkon státní správy ve specifických oblastech civilního letectví (sportovní létající zařízení) a šetří některé incidenty a letecké nehody sportovních létajících zařízení dle zákona č. 49/1997 Sb., o civilním letectví, ve znění pozdějších předpisů.</w:t>
      </w:r>
    </w:p>
    <w:p w14:paraId="7B34C175" w14:textId="1C06B38A" w:rsidR="00A34DBA" w:rsidRPr="00E8518E" w:rsidRDefault="00676795" w:rsidP="005B5118">
      <w:pPr>
        <w:pStyle w:val="Styl1"/>
        <w:rPr>
          <w:color w:val="FF0000"/>
        </w:rPr>
      </w:pPr>
      <w:r w:rsidRPr="003F730C">
        <w:t xml:space="preserve">Prostředky ve výši 1 533 tis. Kč jsou určeny k financování pokračování projektu </w:t>
      </w:r>
      <w:proofErr w:type="spellStart"/>
      <w:r w:rsidRPr="003F730C">
        <w:t>Legiovlak</w:t>
      </w:r>
      <w:proofErr w:type="spellEnd"/>
      <w:r w:rsidRPr="003F730C">
        <w:t>, což je tzv. pojistné muzeum československých legií, a to pro rok</w:t>
      </w:r>
      <w:r w:rsidR="000B53C0">
        <w:t>y</w:t>
      </w:r>
      <w:r w:rsidRPr="003F730C">
        <w:t xml:space="preserve"> 2022-2026. Jedná se o projekt realizovaný a financovaný ve spolupráci s Ministerstvem obrany, Ministerstvem kultury </w:t>
      </w:r>
      <w:r w:rsidRPr="003F730C">
        <w:br/>
        <w:t>a Ministerstvem zahraničních věcí.</w:t>
      </w:r>
    </w:p>
    <w:p w14:paraId="31EEA8DB" w14:textId="77777777" w:rsidR="0057450B" w:rsidRPr="0088307E" w:rsidRDefault="0057450B" w:rsidP="007B2F4B">
      <w:pPr>
        <w:pStyle w:val="Nadpis3"/>
      </w:pPr>
      <w:bookmarkStart w:id="191" w:name="_Toc115787798"/>
      <w:r w:rsidRPr="0088307E">
        <w:t>Neinvestiční transfery do zahraničí</w:t>
      </w:r>
      <w:bookmarkEnd w:id="189"/>
      <w:bookmarkEnd w:id="190"/>
      <w:bookmarkEnd w:id="191"/>
    </w:p>
    <w:p w14:paraId="2BD09D12" w14:textId="03841E25" w:rsidR="0057450B" w:rsidRPr="0088307E" w:rsidRDefault="0057450B" w:rsidP="0057450B">
      <w:pPr>
        <w:pStyle w:val="Titulek"/>
        <w:rPr>
          <w:noProof/>
        </w:rPr>
      </w:pPr>
      <w:r w:rsidRPr="0088307E">
        <w:t xml:space="preserve">Tabulka č. </w:t>
      </w:r>
      <w:r w:rsidR="0001421C" w:rsidRPr="0088307E">
        <w:rPr>
          <w:noProof/>
        </w:rPr>
        <w:fldChar w:fldCharType="begin"/>
      </w:r>
      <w:r w:rsidR="0001421C" w:rsidRPr="0088307E">
        <w:rPr>
          <w:noProof/>
        </w:rPr>
        <w:instrText xml:space="preserve"> SEQ Tabulka \* ARABIC </w:instrText>
      </w:r>
      <w:r w:rsidR="0001421C" w:rsidRPr="0088307E">
        <w:rPr>
          <w:noProof/>
        </w:rPr>
        <w:fldChar w:fldCharType="separate"/>
      </w:r>
      <w:r w:rsidR="00F80947">
        <w:rPr>
          <w:noProof/>
        </w:rPr>
        <w:t>23</w:t>
      </w:r>
      <w:r w:rsidR="0001421C" w:rsidRPr="0088307E">
        <w:rPr>
          <w:noProof/>
        </w:rPr>
        <w:fldChar w:fldCharType="end"/>
      </w:r>
      <w:r w:rsidRPr="0088307E">
        <w:rPr>
          <w:noProof/>
        </w:rPr>
        <w:t xml:space="preserve"> Nei</w:t>
      </w:r>
      <w:r w:rsidR="009431FD" w:rsidRPr="0088307E">
        <w:rPr>
          <w:noProof/>
        </w:rPr>
        <w:t>n</w:t>
      </w:r>
      <w:r w:rsidRPr="0088307E">
        <w:rPr>
          <w:noProof/>
        </w:rPr>
        <w:t>vestiční transfery do zahraničí (v tis. Kč)</w:t>
      </w:r>
    </w:p>
    <w:tbl>
      <w:tblPr>
        <w:tblStyle w:val="Svtltabulkasmkou1zvraznn5"/>
        <w:tblW w:w="9346"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385"/>
        <w:gridCol w:w="1275"/>
        <w:gridCol w:w="1276"/>
        <w:gridCol w:w="1276"/>
        <w:gridCol w:w="1134"/>
      </w:tblGrid>
      <w:tr w:rsidR="00237DB4" w:rsidRPr="00E8518E" w14:paraId="35A60353" w14:textId="77777777" w:rsidTr="002F47D3">
        <w:tc>
          <w:tcPr>
            <w:tcW w:w="438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D268843" w14:textId="4AF4F458" w:rsidR="00237DB4" w:rsidRPr="00E8518E" w:rsidRDefault="00237DB4" w:rsidP="00237DB4">
            <w:pPr>
              <w:jc w:val="center"/>
              <w:rPr>
                <w:rFonts w:eastAsia="Times New Roman" w:cs="Times New Roman"/>
                <w:b/>
                <w:color w:val="FF0000"/>
                <w:szCs w:val="24"/>
                <w:lang w:eastAsia="cs-CZ"/>
              </w:rPr>
            </w:pPr>
            <w:r w:rsidRPr="003F730C">
              <w:rPr>
                <w:rFonts w:eastAsia="Times New Roman" w:cs="Times New Roman"/>
                <w:b/>
                <w:szCs w:val="24"/>
                <w:lang w:eastAsia="cs-CZ"/>
              </w:rPr>
              <w:t>Ukazatel</w:t>
            </w:r>
          </w:p>
        </w:tc>
        <w:tc>
          <w:tcPr>
            <w:tcW w:w="127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F066D8C" w14:textId="77777777" w:rsidR="00237DB4" w:rsidRPr="003F730C" w:rsidRDefault="00237DB4" w:rsidP="00237DB4">
            <w:pPr>
              <w:ind w:left="-76" w:right="-74"/>
              <w:jc w:val="center"/>
              <w:rPr>
                <w:rFonts w:eastAsia="Times New Roman" w:cs="Times New Roman"/>
                <w:b/>
                <w:szCs w:val="24"/>
                <w:lang w:eastAsia="cs-CZ"/>
              </w:rPr>
            </w:pPr>
            <w:r w:rsidRPr="003F730C">
              <w:rPr>
                <w:rFonts w:eastAsia="Times New Roman" w:cs="Times New Roman"/>
                <w:b/>
                <w:szCs w:val="24"/>
                <w:lang w:eastAsia="cs-CZ"/>
              </w:rPr>
              <w:t>Skutečnost</w:t>
            </w:r>
          </w:p>
          <w:p w14:paraId="0BA5103F" w14:textId="4A3CB705" w:rsidR="00237DB4" w:rsidRPr="00E8518E" w:rsidRDefault="00237DB4" w:rsidP="00237DB4">
            <w:pPr>
              <w:jc w:val="center"/>
              <w:rPr>
                <w:rFonts w:eastAsia="Times New Roman" w:cs="Times New Roman"/>
                <w:b/>
                <w:color w:val="FF0000"/>
                <w:szCs w:val="24"/>
                <w:lang w:eastAsia="cs-CZ"/>
              </w:rPr>
            </w:pPr>
            <w:r w:rsidRPr="003F730C">
              <w:rPr>
                <w:rFonts w:eastAsia="Times New Roman" w:cs="Times New Roman"/>
                <w:b/>
                <w:szCs w:val="24"/>
                <w:lang w:eastAsia="cs-CZ"/>
              </w:rPr>
              <w:t>2021</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BE8D0A8" w14:textId="77777777" w:rsidR="00237DB4" w:rsidRPr="003F730C" w:rsidRDefault="00237DB4" w:rsidP="00237DB4">
            <w:pPr>
              <w:jc w:val="center"/>
              <w:rPr>
                <w:rFonts w:eastAsia="Times New Roman" w:cs="Times New Roman"/>
                <w:b/>
                <w:szCs w:val="24"/>
                <w:lang w:eastAsia="cs-CZ"/>
              </w:rPr>
            </w:pPr>
            <w:r w:rsidRPr="003F730C">
              <w:rPr>
                <w:rFonts w:eastAsia="Times New Roman" w:cs="Times New Roman"/>
                <w:b/>
                <w:szCs w:val="24"/>
                <w:lang w:eastAsia="cs-CZ"/>
              </w:rPr>
              <w:t>Schválený</w:t>
            </w:r>
          </w:p>
          <w:p w14:paraId="5D99A4A8" w14:textId="77777777" w:rsidR="00237DB4" w:rsidRPr="003F730C" w:rsidRDefault="00237DB4" w:rsidP="00237DB4">
            <w:pPr>
              <w:jc w:val="center"/>
              <w:rPr>
                <w:rFonts w:eastAsia="Times New Roman" w:cs="Times New Roman"/>
                <w:b/>
                <w:szCs w:val="24"/>
                <w:lang w:eastAsia="cs-CZ"/>
              </w:rPr>
            </w:pPr>
            <w:r w:rsidRPr="003F730C">
              <w:rPr>
                <w:rFonts w:eastAsia="Times New Roman" w:cs="Times New Roman"/>
                <w:b/>
                <w:szCs w:val="24"/>
                <w:lang w:eastAsia="cs-CZ"/>
              </w:rPr>
              <w:t>rozpočet</w:t>
            </w:r>
          </w:p>
          <w:p w14:paraId="3E1A0F62" w14:textId="601F041D" w:rsidR="00237DB4" w:rsidRPr="00E8518E" w:rsidRDefault="00237DB4" w:rsidP="00237DB4">
            <w:pPr>
              <w:jc w:val="center"/>
              <w:rPr>
                <w:rFonts w:eastAsia="Times New Roman" w:cs="Times New Roman"/>
                <w:b/>
                <w:color w:val="FF0000"/>
                <w:szCs w:val="24"/>
                <w:lang w:eastAsia="cs-CZ"/>
              </w:rPr>
            </w:pPr>
            <w:r w:rsidRPr="003F730C">
              <w:rPr>
                <w:rFonts w:eastAsia="Times New Roman" w:cs="Times New Roman"/>
                <w:b/>
                <w:szCs w:val="24"/>
                <w:lang w:eastAsia="cs-CZ"/>
              </w:rPr>
              <w:t>2022</w:t>
            </w:r>
          </w:p>
        </w:tc>
        <w:tc>
          <w:tcPr>
            <w:tcW w:w="127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A0B539D" w14:textId="77777777" w:rsidR="00237DB4" w:rsidRPr="003F730C" w:rsidRDefault="00237DB4" w:rsidP="00237DB4">
            <w:pPr>
              <w:jc w:val="center"/>
              <w:rPr>
                <w:rFonts w:eastAsia="Times New Roman" w:cs="Times New Roman"/>
                <w:b/>
                <w:szCs w:val="24"/>
                <w:lang w:eastAsia="cs-CZ"/>
              </w:rPr>
            </w:pPr>
            <w:r w:rsidRPr="003F730C">
              <w:rPr>
                <w:rFonts w:eastAsia="Times New Roman" w:cs="Times New Roman"/>
                <w:b/>
                <w:szCs w:val="24"/>
                <w:lang w:eastAsia="cs-CZ"/>
              </w:rPr>
              <w:t>Návrh</w:t>
            </w:r>
          </w:p>
          <w:p w14:paraId="6F935359" w14:textId="77777777" w:rsidR="00237DB4" w:rsidRPr="003F730C" w:rsidRDefault="00237DB4" w:rsidP="00237DB4">
            <w:pPr>
              <w:ind w:left="26"/>
              <w:jc w:val="center"/>
              <w:rPr>
                <w:rFonts w:eastAsia="Times New Roman" w:cs="Times New Roman"/>
                <w:b/>
                <w:szCs w:val="24"/>
                <w:lang w:eastAsia="cs-CZ"/>
              </w:rPr>
            </w:pPr>
            <w:r w:rsidRPr="003F730C">
              <w:rPr>
                <w:rFonts w:eastAsia="Times New Roman" w:cs="Times New Roman"/>
                <w:b/>
                <w:szCs w:val="24"/>
                <w:lang w:eastAsia="cs-CZ"/>
              </w:rPr>
              <w:t>rozpočtu</w:t>
            </w:r>
          </w:p>
          <w:p w14:paraId="32A537F7" w14:textId="5C163140" w:rsidR="00237DB4" w:rsidRPr="00E8518E" w:rsidRDefault="00237DB4" w:rsidP="00237DB4">
            <w:pPr>
              <w:jc w:val="center"/>
              <w:rPr>
                <w:rFonts w:eastAsia="Times New Roman" w:cs="Times New Roman"/>
                <w:b/>
                <w:color w:val="FF0000"/>
                <w:szCs w:val="24"/>
                <w:lang w:eastAsia="cs-CZ"/>
              </w:rPr>
            </w:pPr>
            <w:r w:rsidRPr="003F730C">
              <w:rPr>
                <w:rFonts w:eastAsia="Times New Roman" w:cs="Times New Roman"/>
                <w:b/>
                <w:szCs w:val="24"/>
                <w:lang w:eastAsia="cs-CZ"/>
              </w:rPr>
              <w:t>2023</w:t>
            </w:r>
          </w:p>
        </w:tc>
        <w:tc>
          <w:tcPr>
            <w:tcW w:w="113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1B2D278" w14:textId="77777777" w:rsidR="00237DB4" w:rsidRPr="003F730C" w:rsidRDefault="00237DB4" w:rsidP="00237DB4">
            <w:pPr>
              <w:jc w:val="center"/>
              <w:rPr>
                <w:rFonts w:eastAsia="Times New Roman" w:cs="Times New Roman"/>
                <w:b/>
                <w:szCs w:val="24"/>
                <w:lang w:eastAsia="cs-CZ"/>
              </w:rPr>
            </w:pPr>
            <w:r w:rsidRPr="003F730C">
              <w:rPr>
                <w:rFonts w:eastAsia="Times New Roman" w:cs="Times New Roman"/>
                <w:b/>
                <w:szCs w:val="24"/>
                <w:lang w:eastAsia="cs-CZ"/>
              </w:rPr>
              <w:t>Index</w:t>
            </w:r>
          </w:p>
          <w:p w14:paraId="261CB059" w14:textId="68F086C1" w:rsidR="00237DB4" w:rsidRPr="00E8518E" w:rsidRDefault="00237DB4" w:rsidP="00237DB4">
            <w:pPr>
              <w:jc w:val="center"/>
              <w:rPr>
                <w:rFonts w:eastAsia="Times New Roman" w:cs="Times New Roman"/>
                <w:b/>
                <w:color w:val="FF0000"/>
                <w:szCs w:val="24"/>
                <w:lang w:eastAsia="cs-CZ"/>
              </w:rPr>
            </w:pPr>
            <w:r w:rsidRPr="003F730C">
              <w:rPr>
                <w:rFonts w:eastAsia="Times New Roman" w:cs="Times New Roman"/>
                <w:b/>
                <w:szCs w:val="24"/>
                <w:lang w:eastAsia="cs-CZ"/>
              </w:rPr>
              <w:t>2023/</w:t>
            </w:r>
            <w:r w:rsidRPr="003F730C">
              <w:rPr>
                <w:rFonts w:eastAsia="Times New Roman" w:cs="Times New Roman"/>
                <w:b/>
                <w:szCs w:val="24"/>
                <w:lang w:eastAsia="cs-CZ"/>
              </w:rPr>
              <w:br/>
              <w:t>2022</w:t>
            </w:r>
            <w:r w:rsidRPr="003F730C">
              <w:rPr>
                <w:rFonts w:eastAsia="Times New Roman" w:cs="Times New Roman"/>
                <w:b/>
                <w:szCs w:val="24"/>
                <w:lang w:eastAsia="cs-CZ"/>
              </w:rPr>
              <w:br/>
              <w:t>(v %)</w:t>
            </w:r>
          </w:p>
        </w:tc>
      </w:tr>
      <w:tr w:rsidR="00E8518E" w:rsidRPr="00E8518E" w14:paraId="0FD6F114" w14:textId="77777777" w:rsidTr="002F47D3">
        <w:tc>
          <w:tcPr>
            <w:tcW w:w="4385" w:type="dxa"/>
            <w:tcBorders>
              <w:top w:val="single" w:sz="4" w:space="0" w:color="7F7F7F" w:themeColor="text1" w:themeTint="80"/>
              <w:bottom w:val="single" w:sz="8" w:space="0" w:color="7F7F7F" w:themeColor="text1" w:themeTint="80"/>
            </w:tcBorders>
            <w:shd w:val="clear" w:color="auto" w:fill="auto"/>
          </w:tcPr>
          <w:p w14:paraId="3CDA5B72"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a</w:t>
            </w:r>
          </w:p>
        </w:tc>
        <w:tc>
          <w:tcPr>
            <w:tcW w:w="1275" w:type="dxa"/>
            <w:tcBorders>
              <w:top w:val="single" w:sz="4" w:space="0" w:color="7F7F7F" w:themeColor="text1" w:themeTint="80"/>
              <w:bottom w:val="single" w:sz="8" w:space="0" w:color="7F7F7F" w:themeColor="text1" w:themeTint="80"/>
            </w:tcBorders>
            <w:shd w:val="clear" w:color="auto" w:fill="auto"/>
          </w:tcPr>
          <w:p w14:paraId="1FF30B85"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1</w:t>
            </w:r>
          </w:p>
        </w:tc>
        <w:tc>
          <w:tcPr>
            <w:tcW w:w="1276" w:type="dxa"/>
            <w:tcBorders>
              <w:top w:val="single" w:sz="4" w:space="0" w:color="7F7F7F" w:themeColor="text1" w:themeTint="80"/>
              <w:bottom w:val="single" w:sz="8" w:space="0" w:color="7F7F7F" w:themeColor="text1" w:themeTint="80"/>
            </w:tcBorders>
            <w:shd w:val="clear" w:color="auto" w:fill="auto"/>
          </w:tcPr>
          <w:p w14:paraId="4A0D9E65"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2</w:t>
            </w:r>
          </w:p>
        </w:tc>
        <w:tc>
          <w:tcPr>
            <w:tcW w:w="1276" w:type="dxa"/>
            <w:tcBorders>
              <w:top w:val="single" w:sz="4" w:space="0" w:color="7F7F7F" w:themeColor="text1" w:themeTint="80"/>
              <w:bottom w:val="single" w:sz="8" w:space="0" w:color="7F7F7F" w:themeColor="text1" w:themeTint="80"/>
            </w:tcBorders>
            <w:shd w:val="clear" w:color="auto" w:fill="auto"/>
          </w:tcPr>
          <w:p w14:paraId="0782618F"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3</w:t>
            </w:r>
          </w:p>
        </w:tc>
        <w:tc>
          <w:tcPr>
            <w:tcW w:w="1134" w:type="dxa"/>
            <w:tcBorders>
              <w:top w:val="single" w:sz="4" w:space="0" w:color="7F7F7F" w:themeColor="text1" w:themeTint="80"/>
              <w:bottom w:val="single" w:sz="8" w:space="0" w:color="7F7F7F" w:themeColor="text1" w:themeTint="80"/>
            </w:tcBorders>
            <w:shd w:val="clear" w:color="auto" w:fill="auto"/>
          </w:tcPr>
          <w:p w14:paraId="2FE56EC3" w14:textId="77777777" w:rsidR="000E1007" w:rsidRPr="0088307E" w:rsidRDefault="000E1007" w:rsidP="00316A6C">
            <w:pPr>
              <w:jc w:val="center"/>
              <w:rPr>
                <w:rFonts w:eastAsia="Times New Roman" w:cs="Times New Roman"/>
                <w:szCs w:val="24"/>
                <w:lang w:eastAsia="cs-CZ"/>
              </w:rPr>
            </w:pPr>
            <w:r w:rsidRPr="0088307E">
              <w:rPr>
                <w:rFonts w:eastAsia="Times New Roman" w:cs="Times New Roman"/>
                <w:szCs w:val="24"/>
                <w:lang w:eastAsia="cs-CZ"/>
              </w:rPr>
              <w:t>4</w:t>
            </w:r>
          </w:p>
        </w:tc>
      </w:tr>
      <w:tr w:rsidR="00237DB4" w:rsidRPr="00E8518E" w14:paraId="26BDD096" w14:textId="77777777" w:rsidTr="002F47D3">
        <w:trPr>
          <w:trHeight w:val="334"/>
        </w:trPr>
        <w:tc>
          <w:tcPr>
            <w:tcW w:w="4385" w:type="dxa"/>
            <w:tcBorders>
              <w:top w:val="single" w:sz="8" w:space="0" w:color="7F7F7F" w:themeColor="text1" w:themeTint="80"/>
              <w:bottom w:val="single" w:sz="8" w:space="0" w:color="7F7F7F" w:themeColor="text1" w:themeTint="80"/>
            </w:tcBorders>
            <w:shd w:val="clear" w:color="auto" w:fill="auto"/>
          </w:tcPr>
          <w:p w14:paraId="43EB559F" w14:textId="22AD37E9" w:rsidR="00237DB4" w:rsidRPr="00E8518E" w:rsidRDefault="00237DB4" w:rsidP="00237DB4">
            <w:pPr>
              <w:spacing w:before="40"/>
              <w:jc w:val="left"/>
              <w:rPr>
                <w:rFonts w:eastAsia="Times New Roman" w:cs="Times New Roman"/>
                <w:color w:val="FF0000"/>
                <w:lang w:eastAsia="cs-CZ"/>
              </w:rPr>
            </w:pPr>
            <w:r w:rsidRPr="003F730C">
              <w:rPr>
                <w:rFonts w:eastAsia="Times New Roman" w:cs="Times New Roman"/>
                <w:b/>
                <w:lang w:eastAsia="cs-CZ"/>
              </w:rPr>
              <w:t xml:space="preserve">Neinvestiční transfery do zahraničí </w:t>
            </w:r>
            <w:r w:rsidRPr="003F730C">
              <w:rPr>
                <w:rFonts w:eastAsia="Times New Roman" w:cs="Times New Roman"/>
                <w:b/>
                <w:lang w:eastAsia="cs-CZ"/>
              </w:rPr>
              <w:br/>
            </w:r>
            <w:r w:rsidRPr="003F730C">
              <w:rPr>
                <w:rFonts w:eastAsia="Times New Roman" w:cs="Times New Roman"/>
                <w:lang w:eastAsia="cs-CZ"/>
              </w:rPr>
              <w:t>v tom:</w:t>
            </w:r>
          </w:p>
        </w:tc>
        <w:tc>
          <w:tcPr>
            <w:tcW w:w="1275" w:type="dxa"/>
            <w:tcBorders>
              <w:top w:val="single" w:sz="8" w:space="0" w:color="7F7F7F" w:themeColor="text1" w:themeTint="80"/>
              <w:bottom w:val="single" w:sz="8" w:space="0" w:color="7F7F7F" w:themeColor="text1" w:themeTint="80"/>
            </w:tcBorders>
            <w:shd w:val="clear" w:color="auto" w:fill="auto"/>
            <w:vAlign w:val="center"/>
          </w:tcPr>
          <w:p w14:paraId="364087EF" w14:textId="6A46BDAF" w:rsidR="00237DB4" w:rsidRPr="00E8518E" w:rsidRDefault="00237DB4" w:rsidP="00237DB4">
            <w:pPr>
              <w:spacing w:before="40"/>
              <w:jc w:val="right"/>
              <w:rPr>
                <w:rFonts w:eastAsia="Times New Roman" w:cs="Times New Roman"/>
                <w:b/>
                <w:color w:val="FF0000"/>
                <w:lang w:eastAsia="cs-CZ"/>
              </w:rPr>
            </w:pPr>
            <w:r w:rsidRPr="003F730C">
              <w:rPr>
                <w:rFonts w:eastAsia="Times New Roman" w:cs="Times New Roman"/>
                <w:b/>
                <w:lang w:eastAsia="cs-CZ"/>
              </w:rPr>
              <w:t>1 136 192</w:t>
            </w:r>
          </w:p>
        </w:tc>
        <w:tc>
          <w:tcPr>
            <w:tcW w:w="1276" w:type="dxa"/>
            <w:tcBorders>
              <w:top w:val="single" w:sz="8" w:space="0" w:color="7F7F7F" w:themeColor="text1" w:themeTint="80"/>
              <w:bottom w:val="single" w:sz="8" w:space="0" w:color="7F7F7F" w:themeColor="text1" w:themeTint="80"/>
            </w:tcBorders>
            <w:shd w:val="clear" w:color="auto" w:fill="auto"/>
            <w:vAlign w:val="center"/>
          </w:tcPr>
          <w:p w14:paraId="64ABA720" w14:textId="36E7CCD3" w:rsidR="00237DB4" w:rsidRPr="00E8518E" w:rsidRDefault="00237DB4" w:rsidP="00237DB4">
            <w:pPr>
              <w:spacing w:before="40"/>
              <w:jc w:val="right"/>
              <w:rPr>
                <w:rFonts w:eastAsia="Times New Roman" w:cs="Times New Roman"/>
                <w:b/>
                <w:color w:val="FF0000"/>
                <w:lang w:eastAsia="cs-CZ"/>
              </w:rPr>
            </w:pPr>
            <w:r w:rsidRPr="003F730C">
              <w:rPr>
                <w:rFonts w:eastAsia="Times New Roman" w:cs="Times New Roman"/>
                <w:b/>
                <w:lang w:eastAsia="cs-CZ"/>
              </w:rPr>
              <w:t>1 224 413</w:t>
            </w:r>
          </w:p>
        </w:tc>
        <w:tc>
          <w:tcPr>
            <w:tcW w:w="1276" w:type="dxa"/>
            <w:tcBorders>
              <w:top w:val="single" w:sz="8" w:space="0" w:color="7F7F7F" w:themeColor="text1" w:themeTint="80"/>
              <w:bottom w:val="single" w:sz="8" w:space="0" w:color="7F7F7F" w:themeColor="text1" w:themeTint="80"/>
            </w:tcBorders>
            <w:shd w:val="clear" w:color="auto" w:fill="auto"/>
            <w:vAlign w:val="center"/>
          </w:tcPr>
          <w:p w14:paraId="28376585" w14:textId="75A983DB" w:rsidR="00237DB4" w:rsidRPr="00E8518E" w:rsidRDefault="00237DB4" w:rsidP="00237DB4">
            <w:pPr>
              <w:spacing w:before="40"/>
              <w:jc w:val="right"/>
              <w:rPr>
                <w:rFonts w:eastAsia="Times New Roman" w:cs="Times New Roman"/>
                <w:b/>
                <w:color w:val="FF0000"/>
                <w:lang w:eastAsia="cs-CZ"/>
              </w:rPr>
            </w:pPr>
            <w:r w:rsidRPr="003F730C">
              <w:rPr>
                <w:rFonts w:eastAsia="Times New Roman" w:cs="Times New Roman"/>
                <w:b/>
                <w:lang w:eastAsia="cs-CZ"/>
              </w:rPr>
              <w:t xml:space="preserve">1 224 </w:t>
            </w:r>
            <w:r>
              <w:rPr>
                <w:rFonts w:eastAsia="Times New Roman" w:cs="Times New Roman"/>
                <w:b/>
                <w:lang w:eastAsia="cs-CZ"/>
              </w:rPr>
              <w:t>981</w:t>
            </w:r>
          </w:p>
        </w:tc>
        <w:tc>
          <w:tcPr>
            <w:tcW w:w="1134" w:type="dxa"/>
            <w:tcBorders>
              <w:top w:val="single" w:sz="8" w:space="0" w:color="7F7F7F" w:themeColor="text1" w:themeTint="80"/>
              <w:bottom w:val="single" w:sz="8" w:space="0" w:color="7F7F7F" w:themeColor="text1" w:themeTint="80"/>
            </w:tcBorders>
            <w:shd w:val="clear" w:color="auto" w:fill="auto"/>
            <w:vAlign w:val="center"/>
          </w:tcPr>
          <w:p w14:paraId="703E728F" w14:textId="03345429" w:rsidR="00237DB4" w:rsidRPr="00E8518E" w:rsidRDefault="00237DB4" w:rsidP="00237DB4">
            <w:pPr>
              <w:spacing w:before="40"/>
              <w:jc w:val="right"/>
              <w:rPr>
                <w:rFonts w:eastAsia="Times New Roman" w:cs="Times New Roman"/>
                <w:b/>
                <w:color w:val="FF0000"/>
                <w:lang w:eastAsia="cs-CZ"/>
              </w:rPr>
            </w:pPr>
            <w:r>
              <w:rPr>
                <w:rFonts w:eastAsia="Times New Roman" w:cs="Times New Roman"/>
                <w:b/>
                <w:lang w:eastAsia="cs-CZ"/>
              </w:rPr>
              <w:t>100,05</w:t>
            </w:r>
          </w:p>
        </w:tc>
      </w:tr>
      <w:tr w:rsidR="00237DB4" w:rsidRPr="00E8518E" w14:paraId="0425D408" w14:textId="77777777" w:rsidTr="002F47D3">
        <w:tc>
          <w:tcPr>
            <w:tcW w:w="4385" w:type="dxa"/>
            <w:tcBorders>
              <w:top w:val="single" w:sz="8" w:space="0" w:color="7F7F7F" w:themeColor="text1" w:themeTint="80"/>
              <w:bottom w:val="nil"/>
            </w:tcBorders>
            <w:shd w:val="clear" w:color="auto" w:fill="auto"/>
          </w:tcPr>
          <w:p w14:paraId="5AF7CF0D" w14:textId="098D5614" w:rsidR="00237DB4" w:rsidRPr="00E8518E" w:rsidRDefault="00237DB4" w:rsidP="00237DB4">
            <w:pPr>
              <w:rPr>
                <w:rFonts w:eastAsia="Times New Roman" w:cs="Times New Roman"/>
                <w:color w:val="FF0000"/>
                <w:lang w:eastAsia="cs-CZ"/>
              </w:rPr>
            </w:pPr>
            <w:r w:rsidRPr="003F730C">
              <w:rPr>
                <w:rFonts w:eastAsia="Times New Roman" w:cs="Times New Roman"/>
                <w:lang w:eastAsia="cs-CZ"/>
              </w:rPr>
              <w:t xml:space="preserve">Neinvestiční transfery </w:t>
            </w:r>
            <w:proofErr w:type="spellStart"/>
            <w:r w:rsidRPr="003F730C">
              <w:rPr>
                <w:rFonts w:eastAsia="Times New Roman" w:cs="Times New Roman"/>
                <w:lang w:eastAsia="cs-CZ"/>
              </w:rPr>
              <w:t>mezinár</w:t>
            </w:r>
            <w:proofErr w:type="spellEnd"/>
            <w:r w:rsidRPr="003F730C">
              <w:rPr>
                <w:rFonts w:eastAsia="Times New Roman" w:cs="Times New Roman"/>
                <w:lang w:eastAsia="cs-CZ"/>
              </w:rPr>
              <w:t xml:space="preserve">. vlád. </w:t>
            </w:r>
            <w:proofErr w:type="spellStart"/>
            <w:r w:rsidRPr="003F730C">
              <w:rPr>
                <w:rFonts w:eastAsia="Times New Roman" w:cs="Times New Roman"/>
                <w:lang w:eastAsia="cs-CZ"/>
              </w:rPr>
              <w:t>org</w:t>
            </w:r>
            <w:proofErr w:type="spellEnd"/>
            <w:r w:rsidRPr="003F730C">
              <w:rPr>
                <w:rFonts w:eastAsia="Times New Roman" w:cs="Times New Roman"/>
                <w:lang w:eastAsia="cs-CZ"/>
              </w:rPr>
              <w:t>.</w:t>
            </w:r>
          </w:p>
        </w:tc>
        <w:tc>
          <w:tcPr>
            <w:tcW w:w="1275" w:type="dxa"/>
            <w:tcBorders>
              <w:top w:val="single" w:sz="8" w:space="0" w:color="7F7F7F" w:themeColor="text1" w:themeTint="80"/>
              <w:bottom w:val="nil"/>
            </w:tcBorders>
            <w:shd w:val="clear" w:color="auto" w:fill="auto"/>
            <w:vAlign w:val="center"/>
          </w:tcPr>
          <w:p w14:paraId="6FCF0747" w14:textId="0E2C050D"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1 122 302</w:t>
            </w:r>
          </w:p>
        </w:tc>
        <w:tc>
          <w:tcPr>
            <w:tcW w:w="1276" w:type="dxa"/>
            <w:tcBorders>
              <w:top w:val="single" w:sz="8" w:space="0" w:color="7F7F7F" w:themeColor="text1" w:themeTint="80"/>
              <w:bottom w:val="nil"/>
            </w:tcBorders>
            <w:shd w:val="clear" w:color="auto" w:fill="auto"/>
            <w:vAlign w:val="center"/>
          </w:tcPr>
          <w:p w14:paraId="74571BA9" w14:textId="49CA8EA4"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1 205 000</w:t>
            </w:r>
          </w:p>
        </w:tc>
        <w:tc>
          <w:tcPr>
            <w:tcW w:w="1276" w:type="dxa"/>
            <w:tcBorders>
              <w:top w:val="single" w:sz="8" w:space="0" w:color="7F7F7F" w:themeColor="text1" w:themeTint="80"/>
              <w:bottom w:val="nil"/>
            </w:tcBorders>
            <w:shd w:val="clear" w:color="auto" w:fill="auto"/>
            <w:vAlign w:val="center"/>
          </w:tcPr>
          <w:p w14:paraId="4CCD1FC0" w14:textId="7ACF0CBE"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1 205 000</w:t>
            </w:r>
          </w:p>
        </w:tc>
        <w:tc>
          <w:tcPr>
            <w:tcW w:w="1134" w:type="dxa"/>
            <w:tcBorders>
              <w:top w:val="single" w:sz="8" w:space="0" w:color="7F7F7F" w:themeColor="text1" w:themeTint="80"/>
              <w:bottom w:val="nil"/>
            </w:tcBorders>
            <w:shd w:val="clear" w:color="auto" w:fill="auto"/>
            <w:vAlign w:val="center"/>
          </w:tcPr>
          <w:p w14:paraId="7447DE3E" w14:textId="7428D167"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100,00</w:t>
            </w:r>
          </w:p>
        </w:tc>
      </w:tr>
      <w:tr w:rsidR="00237DB4" w:rsidRPr="00E8518E" w14:paraId="0BB52F42" w14:textId="77777777" w:rsidTr="002F47D3">
        <w:tc>
          <w:tcPr>
            <w:tcW w:w="4385" w:type="dxa"/>
            <w:tcBorders>
              <w:top w:val="nil"/>
              <w:bottom w:val="single" w:sz="4" w:space="0" w:color="auto"/>
            </w:tcBorders>
            <w:shd w:val="clear" w:color="auto" w:fill="auto"/>
          </w:tcPr>
          <w:p w14:paraId="3A43F2C6" w14:textId="5CF64A56" w:rsidR="00237DB4" w:rsidRPr="00E8518E" w:rsidRDefault="00237DB4" w:rsidP="00237DB4">
            <w:pPr>
              <w:rPr>
                <w:rFonts w:eastAsia="Times New Roman" w:cs="Times New Roman"/>
                <w:i/>
                <w:color w:val="FF0000"/>
                <w:lang w:eastAsia="cs-CZ"/>
              </w:rPr>
            </w:pPr>
            <w:r w:rsidRPr="003F730C">
              <w:rPr>
                <w:rFonts w:eastAsia="Times New Roman" w:cs="Times New Roman"/>
                <w:i/>
                <w:lang w:eastAsia="cs-CZ"/>
              </w:rPr>
              <w:t xml:space="preserve"> v tom: volitelné programy ESA</w:t>
            </w:r>
          </w:p>
        </w:tc>
        <w:tc>
          <w:tcPr>
            <w:tcW w:w="1275" w:type="dxa"/>
            <w:tcBorders>
              <w:top w:val="nil"/>
              <w:bottom w:val="single" w:sz="4" w:space="0" w:color="auto"/>
            </w:tcBorders>
            <w:shd w:val="clear" w:color="auto" w:fill="auto"/>
            <w:vAlign w:val="center"/>
          </w:tcPr>
          <w:p w14:paraId="5BC574CA" w14:textId="6F8EB110" w:rsidR="00237DB4" w:rsidRPr="00E8518E" w:rsidRDefault="00237DB4" w:rsidP="00237DB4">
            <w:pPr>
              <w:jc w:val="right"/>
              <w:rPr>
                <w:rFonts w:eastAsia="Times New Roman" w:cs="Times New Roman"/>
                <w:i/>
                <w:color w:val="FF0000"/>
                <w:lang w:eastAsia="cs-CZ"/>
              </w:rPr>
            </w:pPr>
            <w:r w:rsidRPr="003F730C">
              <w:rPr>
                <w:rFonts w:eastAsia="Times New Roman" w:cs="Times New Roman"/>
                <w:i/>
                <w:lang w:eastAsia="cs-CZ"/>
              </w:rPr>
              <w:t>1 122 302</w:t>
            </w:r>
          </w:p>
        </w:tc>
        <w:tc>
          <w:tcPr>
            <w:tcW w:w="1276" w:type="dxa"/>
            <w:tcBorders>
              <w:top w:val="nil"/>
              <w:bottom w:val="single" w:sz="4" w:space="0" w:color="auto"/>
            </w:tcBorders>
            <w:shd w:val="clear" w:color="auto" w:fill="auto"/>
            <w:vAlign w:val="center"/>
          </w:tcPr>
          <w:p w14:paraId="411E4193" w14:textId="502B9B43" w:rsidR="00237DB4" w:rsidRPr="00E8518E" w:rsidRDefault="00237DB4" w:rsidP="00237DB4">
            <w:pPr>
              <w:jc w:val="right"/>
              <w:rPr>
                <w:rFonts w:eastAsia="Times New Roman" w:cs="Times New Roman"/>
                <w:i/>
                <w:color w:val="FF0000"/>
                <w:lang w:eastAsia="cs-CZ"/>
              </w:rPr>
            </w:pPr>
            <w:r w:rsidRPr="003F730C">
              <w:rPr>
                <w:rFonts w:eastAsia="Times New Roman" w:cs="Times New Roman"/>
                <w:i/>
                <w:lang w:eastAsia="cs-CZ"/>
              </w:rPr>
              <w:t>1 205 000</w:t>
            </w:r>
          </w:p>
        </w:tc>
        <w:tc>
          <w:tcPr>
            <w:tcW w:w="1276" w:type="dxa"/>
            <w:tcBorders>
              <w:top w:val="nil"/>
              <w:bottom w:val="single" w:sz="4" w:space="0" w:color="auto"/>
            </w:tcBorders>
            <w:shd w:val="clear" w:color="auto" w:fill="auto"/>
            <w:vAlign w:val="center"/>
          </w:tcPr>
          <w:p w14:paraId="40C67639" w14:textId="33F03B46" w:rsidR="00237DB4" w:rsidRPr="00E8518E" w:rsidRDefault="00237DB4" w:rsidP="00237DB4">
            <w:pPr>
              <w:jc w:val="right"/>
              <w:rPr>
                <w:rFonts w:eastAsia="Times New Roman" w:cs="Times New Roman"/>
                <w:i/>
                <w:color w:val="FF0000"/>
                <w:lang w:eastAsia="cs-CZ"/>
              </w:rPr>
            </w:pPr>
            <w:r w:rsidRPr="003F730C">
              <w:rPr>
                <w:rFonts w:eastAsia="Times New Roman" w:cs="Times New Roman"/>
                <w:i/>
                <w:lang w:eastAsia="cs-CZ"/>
              </w:rPr>
              <w:t>1 205 000</w:t>
            </w:r>
          </w:p>
        </w:tc>
        <w:tc>
          <w:tcPr>
            <w:tcW w:w="1134" w:type="dxa"/>
            <w:tcBorders>
              <w:top w:val="nil"/>
              <w:bottom w:val="single" w:sz="4" w:space="0" w:color="auto"/>
            </w:tcBorders>
            <w:shd w:val="clear" w:color="auto" w:fill="auto"/>
            <w:vAlign w:val="center"/>
          </w:tcPr>
          <w:p w14:paraId="18B25009" w14:textId="221EAF6B"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100,00</w:t>
            </w:r>
          </w:p>
        </w:tc>
      </w:tr>
      <w:tr w:rsidR="00237DB4" w:rsidRPr="00E8518E" w14:paraId="5C1E6D0C" w14:textId="77777777" w:rsidTr="002F47D3">
        <w:tc>
          <w:tcPr>
            <w:tcW w:w="4385" w:type="dxa"/>
            <w:tcBorders>
              <w:top w:val="nil"/>
              <w:bottom w:val="single" w:sz="4" w:space="0" w:color="auto"/>
            </w:tcBorders>
            <w:shd w:val="clear" w:color="auto" w:fill="auto"/>
          </w:tcPr>
          <w:p w14:paraId="40E29D1E" w14:textId="0E3C5E30" w:rsidR="00237DB4" w:rsidRPr="00E8518E" w:rsidRDefault="00237DB4" w:rsidP="00237DB4">
            <w:pPr>
              <w:rPr>
                <w:rFonts w:eastAsia="Times New Roman" w:cs="Times New Roman"/>
                <w:color w:val="FF0000"/>
                <w:lang w:eastAsia="cs-CZ"/>
              </w:rPr>
            </w:pPr>
            <w:r w:rsidRPr="003F730C">
              <w:rPr>
                <w:rFonts w:eastAsia="Times New Roman" w:cs="Times New Roman"/>
                <w:lang w:eastAsia="cs-CZ"/>
              </w:rPr>
              <w:t>Ostatní neinvestiční transfery do zahraničí</w:t>
            </w:r>
          </w:p>
        </w:tc>
        <w:tc>
          <w:tcPr>
            <w:tcW w:w="1275" w:type="dxa"/>
            <w:tcBorders>
              <w:top w:val="nil"/>
              <w:bottom w:val="single" w:sz="4" w:space="0" w:color="auto"/>
            </w:tcBorders>
            <w:shd w:val="clear" w:color="auto" w:fill="auto"/>
            <w:vAlign w:val="center"/>
          </w:tcPr>
          <w:p w14:paraId="50B24CD5" w14:textId="3CF60166"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2</w:t>
            </w:r>
            <w:r>
              <w:rPr>
                <w:rFonts w:eastAsia="Times New Roman" w:cs="Times New Roman"/>
                <w:lang w:eastAsia="cs-CZ"/>
              </w:rPr>
              <w:t>56</w:t>
            </w:r>
          </w:p>
        </w:tc>
        <w:tc>
          <w:tcPr>
            <w:tcW w:w="1276" w:type="dxa"/>
            <w:tcBorders>
              <w:top w:val="nil"/>
              <w:bottom w:val="single" w:sz="4" w:space="0" w:color="auto"/>
            </w:tcBorders>
            <w:shd w:val="clear" w:color="auto" w:fill="auto"/>
            <w:vAlign w:val="center"/>
          </w:tcPr>
          <w:p w14:paraId="633A6569" w14:textId="44A0751B"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280</w:t>
            </w:r>
          </w:p>
        </w:tc>
        <w:tc>
          <w:tcPr>
            <w:tcW w:w="1276" w:type="dxa"/>
            <w:tcBorders>
              <w:top w:val="nil"/>
              <w:bottom w:val="single" w:sz="4" w:space="0" w:color="auto"/>
            </w:tcBorders>
            <w:shd w:val="clear" w:color="auto" w:fill="auto"/>
            <w:vAlign w:val="center"/>
          </w:tcPr>
          <w:p w14:paraId="52516BC6" w14:textId="5AB9587C"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275</w:t>
            </w:r>
          </w:p>
        </w:tc>
        <w:tc>
          <w:tcPr>
            <w:tcW w:w="1134" w:type="dxa"/>
            <w:tcBorders>
              <w:top w:val="nil"/>
              <w:bottom w:val="single" w:sz="4" w:space="0" w:color="auto"/>
            </w:tcBorders>
            <w:shd w:val="clear" w:color="auto" w:fill="auto"/>
            <w:vAlign w:val="center"/>
          </w:tcPr>
          <w:p w14:paraId="18A063B9" w14:textId="1384786C"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98,21</w:t>
            </w:r>
          </w:p>
        </w:tc>
      </w:tr>
      <w:tr w:rsidR="00237DB4" w:rsidRPr="00E8518E" w14:paraId="32D5C7A5" w14:textId="77777777" w:rsidTr="002F47D3">
        <w:tc>
          <w:tcPr>
            <w:tcW w:w="4385" w:type="dxa"/>
            <w:tcBorders>
              <w:top w:val="nil"/>
              <w:bottom w:val="single" w:sz="4" w:space="0" w:color="auto"/>
            </w:tcBorders>
            <w:shd w:val="clear" w:color="auto" w:fill="auto"/>
          </w:tcPr>
          <w:p w14:paraId="164A5215" w14:textId="5C0C85DF" w:rsidR="00237DB4" w:rsidRPr="00E8518E" w:rsidRDefault="00237DB4" w:rsidP="00237DB4">
            <w:pPr>
              <w:rPr>
                <w:rFonts w:eastAsia="Times New Roman" w:cs="Times New Roman"/>
                <w:color w:val="FF0000"/>
                <w:lang w:eastAsia="cs-CZ"/>
              </w:rPr>
            </w:pPr>
            <w:r w:rsidRPr="003F730C">
              <w:rPr>
                <w:rFonts w:eastAsia="Times New Roman" w:cs="Times New Roman"/>
                <w:lang w:eastAsia="cs-CZ"/>
              </w:rPr>
              <w:t xml:space="preserve">Členské příspěvky </w:t>
            </w:r>
            <w:proofErr w:type="spellStart"/>
            <w:r w:rsidRPr="003F730C">
              <w:rPr>
                <w:rFonts w:eastAsia="Times New Roman" w:cs="Times New Roman"/>
                <w:lang w:eastAsia="cs-CZ"/>
              </w:rPr>
              <w:t>mezinár</w:t>
            </w:r>
            <w:proofErr w:type="spellEnd"/>
            <w:r w:rsidRPr="003F730C">
              <w:rPr>
                <w:rFonts w:eastAsia="Times New Roman" w:cs="Times New Roman"/>
                <w:lang w:eastAsia="cs-CZ"/>
              </w:rPr>
              <w:t xml:space="preserve">. vládním </w:t>
            </w:r>
            <w:proofErr w:type="spellStart"/>
            <w:r w:rsidRPr="003F730C">
              <w:rPr>
                <w:rFonts w:eastAsia="Times New Roman" w:cs="Times New Roman"/>
                <w:lang w:eastAsia="cs-CZ"/>
              </w:rPr>
              <w:t>org</w:t>
            </w:r>
            <w:proofErr w:type="spellEnd"/>
            <w:r w:rsidRPr="003F730C">
              <w:rPr>
                <w:rFonts w:eastAsia="Times New Roman" w:cs="Times New Roman"/>
                <w:lang w:eastAsia="cs-CZ"/>
              </w:rPr>
              <w:t xml:space="preserve">. </w:t>
            </w:r>
          </w:p>
        </w:tc>
        <w:tc>
          <w:tcPr>
            <w:tcW w:w="1275" w:type="dxa"/>
            <w:tcBorders>
              <w:top w:val="nil"/>
              <w:bottom w:val="single" w:sz="4" w:space="0" w:color="auto"/>
            </w:tcBorders>
            <w:shd w:val="clear" w:color="auto" w:fill="auto"/>
            <w:vAlign w:val="center"/>
          </w:tcPr>
          <w:p w14:paraId="3C3BB89C" w14:textId="6778B684"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 xml:space="preserve">13 </w:t>
            </w:r>
            <w:r>
              <w:rPr>
                <w:rFonts w:eastAsia="Times New Roman" w:cs="Times New Roman"/>
                <w:lang w:eastAsia="cs-CZ"/>
              </w:rPr>
              <w:t>16</w:t>
            </w:r>
            <w:r w:rsidRPr="003F730C">
              <w:rPr>
                <w:rFonts w:eastAsia="Times New Roman" w:cs="Times New Roman"/>
                <w:lang w:eastAsia="cs-CZ"/>
              </w:rPr>
              <w:t>5</w:t>
            </w:r>
          </w:p>
        </w:tc>
        <w:tc>
          <w:tcPr>
            <w:tcW w:w="1276" w:type="dxa"/>
            <w:tcBorders>
              <w:top w:val="nil"/>
              <w:bottom w:val="single" w:sz="4" w:space="0" w:color="auto"/>
            </w:tcBorders>
            <w:shd w:val="clear" w:color="auto" w:fill="auto"/>
            <w:vAlign w:val="center"/>
          </w:tcPr>
          <w:p w14:paraId="5A260F5D" w14:textId="1CFEE57C"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18 394</w:t>
            </w:r>
          </w:p>
        </w:tc>
        <w:tc>
          <w:tcPr>
            <w:tcW w:w="1276" w:type="dxa"/>
            <w:tcBorders>
              <w:top w:val="nil"/>
              <w:bottom w:val="single" w:sz="4" w:space="0" w:color="auto"/>
            </w:tcBorders>
            <w:shd w:val="clear" w:color="auto" w:fill="auto"/>
            <w:vAlign w:val="center"/>
          </w:tcPr>
          <w:p w14:paraId="012842B3" w14:textId="79B67F5D"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18 684</w:t>
            </w:r>
          </w:p>
        </w:tc>
        <w:tc>
          <w:tcPr>
            <w:tcW w:w="1134" w:type="dxa"/>
            <w:tcBorders>
              <w:top w:val="nil"/>
              <w:bottom w:val="single" w:sz="4" w:space="0" w:color="auto"/>
            </w:tcBorders>
            <w:shd w:val="clear" w:color="auto" w:fill="auto"/>
            <w:vAlign w:val="center"/>
          </w:tcPr>
          <w:p w14:paraId="00936D53" w14:textId="69411143"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101,58</w:t>
            </w:r>
          </w:p>
        </w:tc>
      </w:tr>
      <w:tr w:rsidR="00237DB4" w:rsidRPr="00E8518E" w14:paraId="7C999AA1" w14:textId="77777777" w:rsidTr="002F47D3">
        <w:tc>
          <w:tcPr>
            <w:tcW w:w="4385" w:type="dxa"/>
            <w:tcBorders>
              <w:top w:val="single" w:sz="4" w:space="0" w:color="auto"/>
              <w:bottom w:val="single" w:sz="4" w:space="0" w:color="auto"/>
            </w:tcBorders>
            <w:shd w:val="clear" w:color="auto" w:fill="auto"/>
          </w:tcPr>
          <w:p w14:paraId="4E58D6A6" w14:textId="00402890" w:rsidR="00237DB4" w:rsidRPr="00E8518E" w:rsidRDefault="00237DB4" w:rsidP="00237DB4">
            <w:pPr>
              <w:rPr>
                <w:rFonts w:eastAsia="Times New Roman" w:cs="Times New Roman"/>
                <w:color w:val="FF0000"/>
                <w:lang w:eastAsia="cs-CZ"/>
              </w:rPr>
            </w:pPr>
            <w:r w:rsidRPr="003F730C">
              <w:rPr>
                <w:rFonts w:eastAsia="Times New Roman" w:cs="Times New Roman"/>
                <w:lang w:eastAsia="cs-CZ"/>
              </w:rPr>
              <w:t xml:space="preserve">Členské příspěvky </w:t>
            </w:r>
            <w:proofErr w:type="spellStart"/>
            <w:r w:rsidRPr="003F730C">
              <w:rPr>
                <w:rFonts w:eastAsia="Times New Roman" w:cs="Times New Roman"/>
                <w:lang w:eastAsia="cs-CZ"/>
              </w:rPr>
              <w:t>mezinár</w:t>
            </w:r>
            <w:proofErr w:type="spellEnd"/>
            <w:r w:rsidRPr="003F730C">
              <w:rPr>
                <w:rFonts w:eastAsia="Times New Roman" w:cs="Times New Roman"/>
                <w:lang w:eastAsia="cs-CZ"/>
              </w:rPr>
              <w:t xml:space="preserve">. nevládním </w:t>
            </w:r>
            <w:proofErr w:type="spellStart"/>
            <w:r w:rsidRPr="003F730C">
              <w:rPr>
                <w:rFonts w:eastAsia="Times New Roman" w:cs="Times New Roman"/>
                <w:lang w:eastAsia="cs-CZ"/>
              </w:rPr>
              <w:t>org</w:t>
            </w:r>
            <w:proofErr w:type="spellEnd"/>
            <w:r w:rsidRPr="003F730C">
              <w:rPr>
                <w:rFonts w:eastAsia="Times New Roman" w:cs="Times New Roman"/>
                <w:lang w:eastAsia="cs-CZ"/>
              </w:rPr>
              <w:t>.</w:t>
            </w:r>
          </w:p>
        </w:tc>
        <w:tc>
          <w:tcPr>
            <w:tcW w:w="1275" w:type="dxa"/>
            <w:tcBorders>
              <w:top w:val="single" w:sz="4" w:space="0" w:color="auto"/>
              <w:bottom w:val="single" w:sz="4" w:space="0" w:color="auto"/>
            </w:tcBorders>
            <w:shd w:val="clear" w:color="auto" w:fill="auto"/>
            <w:vAlign w:val="center"/>
          </w:tcPr>
          <w:p w14:paraId="412F775B" w14:textId="3860BB09" w:rsidR="00237DB4" w:rsidRPr="00E8518E" w:rsidRDefault="00237DB4" w:rsidP="00237DB4">
            <w:pPr>
              <w:jc w:val="right"/>
              <w:rPr>
                <w:rFonts w:eastAsia="Times New Roman" w:cs="Times New Roman"/>
                <w:color w:val="FF0000"/>
                <w:lang w:eastAsia="cs-CZ"/>
              </w:rPr>
            </w:pPr>
            <w:r>
              <w:rPr>
                <w:rFonts w:eastAsia="Times New Roman" w:cs="Times New Roman"/>
                <w:lang w:eastAsia="cs-CZ"/>
              </w:rPr>
              <w:t>469</w:t>
            </w:r>
          </w:p>
        </w:tc>
        <w:tc>
          <w:tcPr>
            <w:tcW w:w="1276" w:type="dxa"/>
            <w:tcBorders>
              <w:top w:val="single" w:sz="4" w:space="0" w:color="auto"/>
              <w:bottom w:val="single" w:sz="4" w:space="0" w:color="auto"/>
            </w:tcBorders>
            <w:shd w:val="clear" w:color="auto" w:fill="auto"/>
            <w:vAlign w:val="center"/>
          </w:tcPr>
          <w:p w14:paraId="5502C682" w14:textId="71F40DE0"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739</w:t>
            </w:r>
          </w:p>
        </w:tc>
        <w:tc>
          <w:tcPr>
            <w:tcW w:w="1276" w:type="dxa"/>
            <w:tcBorders>
              <w:top w:val="single" w:sz="4" w:space="0" w:color="auto"/>
              <w:bottom w:val="single" w:sz="4" w:space="0" w:color="auto"/>
            </w:tcBorders>
            <w:shd w:val="clear" w:color="auto" w:fill="auto"/>
            <w:vAlign w:val="center"/>
          </w:tcPr>
          <w:p w14:paraId="66864B02" w14:textId="3AC54F26" w:rsidR="00237DB4" w:rsidRPr="00E8518E" w:rsidRDefault="00237DB4" w:rsidP="00237DB4">
            <w:pPr>
              <w:jc w:val="right"/>
              <w:rPr>
                <w:rFonts w:eastAsia="Times New Roman" w:cs="Times New Roman"/>
                <w:color w:val="FF0000"/>
                <w:lang w:eastAsia="cs-CZ"/>
              </w:rPr>
            </w:pPr>
            <w:r>
              <w:rPr>
                <w:rFonts w:eastAsia="Times New Roman" w:cs="Times New Roman"/>
                <w:lang w:eastAsia="cs-CZ"/>
              </w:rPr>
              <w:t>1 022</w:t>
            </w:r>
          </w:p>
        </w:tc>
        <w:tc>
          <w:tcPr>
            <w:tcW w:w="1134" w:type="dxa"/>
            <w:tcBorders>
              <w:top w:val="single" w:sz="4" w:space="0" w:color="auto"/>
              <w:bottom w:val="single" w:sz="4" w:space="0" w:color="auto"/>
            </w:tcBorders>
            <w:shd w:val="clear" w:color="auto" w:fill="auto"/>
            <w:vAlign w:val="center"/>
          </w:tcPr>
          <w:p w14:paraId="48F86724" w14:textId="3E7A398D" w:rsidR="00237DB4" w:rsidRPr="00E8518E" w:rsidRDefault="00237DB4" w:rsidP="00237DB4">
            <w:pPr>
              <w:jc w:val="right"/>
              <w:rPr>
                <w:rFonts w:eastAsia="Times New Roman" w:cs="Times New Roman"/>
                <w:color w:val="FF0000"/>
                <w:lang w:eastAsia="cs-CZ"/>
              </w:rPr>
            </w:pPr>
            <w:r w:rsidRPr="003F730C">
              <w:rPr>
                <w:rFonts w:eastAsia="Times New Roman" w:cs="Times New Roman"/>
                <w:lang w:eastAsia="cs-CZ"/>
              </w:rPr>
              <w:t>1</w:t>
            </w:r>
            <w:r>
              <w:rPr>
                <w:rFonts w:eastAsia="Times New Roman" w:cs="Times New Roman"/>
                <w:lang w:eastAsia="cs-CZ"/>
              </w:rPr>
              <w:t>38,29</w:t>
            </w:r>
          </w:p>
        </w:tc>
      </w:tr>
    </w:tbl>
    <w:p w14:paraId="729C55A5" w14:textId="77777777" w:rsidR="00237DB4" w:rsidRPr="00B2170F" w:rsidRDefault="00237DB4" w:rsidP="00237DB4">
      <w:pPr>
        <w:pStyle w:val="Styl1"/>
        <w:rPr>
          <w:color w:val="FF0000"/>
        </w:rPr>
      </w:pPr>
      <w:r w:rsidRPr="003F730C">
        <w:t>V návrhu rozpočtu kapitoly 327 Ministerstvo dopravy na rok 202</w:t>
      </w:r>
      <w:r>
        <w:t>3</w:t>
      </w:r>
      <w:r w:rsidRPr="003F730C">
        <w:t xml:space="preserve"> jsou zahrnuty i neinvestiční transfery do zahraničí ve výši 1 224 </w:t>
      </w:r>
      <w:r>
        <w:t>981</w:t>
      </w:r>
      <w:r w:rsidRPr="003F730C">
        <w:t xml:space="preserve"> tis. Kč, tj. o </w:t>
      </w:r>
      <w:r>
        <w:t>568</w:t>
      </w:r>
      <w:r w:rsidRPr="003F730C">
        <w:t xml:space="preserve"> tis. Kč více než v roce 2022. </w:t>
      </w:r>
    </w:p>
    <w:p w14:paraId="728E7F45" w14:textId="77777777" w:rsidR="00237DB4" w:rsidRPr="003F730C" w:rsidRDefault="00237DB4" w:rsidP="00237DB4">
      <w:pPr>
        <w:spacing w:before="240"/>
        <w:rPr>
          <w:rFonts w:eastAsia="Times New Roman" w:cs="Times New Roman"/>
          <w:b/>
          <w:szCs w:val="24"/>
          <w:u w:val="single"/>
          <w:lang w:eastAsia="cs-CZ"/>
        </w:rPr>
      </w:pPr>
      <w:r w:rsidRPr="003F730C">
        <w:rPr>
          <w:rFonts w:eastAsia="Times New Roman" w:cs="Times New Roman"/>
          <w:b/>
          <w:szCs w:val="24"/>
          <w:u w:val="single"/>
          <w:lang w:eastAsia="cs-CZ"/>
        </w:rPr>
        <w:t xml:space="preserve">Neinvestiční transfery mezinárodním vládním organizacím </w:t>
      </w:r>
    </w:p>
    <w:p w14:paraId="5FB55C4C" w14:textId="704F310A" w:rsidR="00237DB4" w:rsidRPr="003F730C" w:rsidRDefault="00237DB4" w:rsidP="00237DB4">
      <w:pPr>
        <w:pStyle w:val="Styl1"/>
      </w:pPr>
      <w:r w:rsidRPr="003F730C">
        <w:t xml:space="preserve">Transfery mezinárodním vládním organizacím jsou pro rok 2023 navrhovány ve výši </w:t>
      </w:r>
      <w:r w:rsidRPr="003F730C">
        <w:br/>
        <w:t>1 205 000 tis. Kč</w:t>
      </w:r>
      <w:r w:rsidR="001E57D3">
        <w:t>,</w:t>
      </w:r>
      <w:r w:rsidRPr="003F730C">
        <w:t xml:space="preserve"> a to na účast ČR ve volitelných programech Evropské kosmické agentury (ESA).</w:t>
      </w:r>
    </w:p>
    <w:p w14:paraId="4BA2AE8B" w14:textId="77777777" w:rsidR="00237DB4" w:rsidRPr="003F730C" w:rsidRDefault="00237DB4" w:rsidP="00237DB4">
      <w:pPr>
        <w:spacing w:before="240" w:after="80"/>
        <w:rPr>
          <w:rFonts w:eastAsia="Times New Roman" w:cs="Times New Roman"/>
          <w:b/>
          <w:szCs w:val="24"/>
          <w:u w:val="single"/>
          <w:lang w:eastAsia="cs-CZ"/>
        </w:rPr>
      </w:pPr>
      <w:r w:rsidRPr="003F730C">
        <w:rPr>
          <w:rFonts w:eastAsia="Times New Roman" w:cs="Times New Roman"/>
          <w:b/>
          <w:szCs w:val="24"/>
          <w:u w:val="single"/>
          <w:lang w:eastAsia="cs-CZ"/>
        </w:rPr>
        <w:t>Ostatní neinvestiční transfery do zahraničí</w:t>
      </w:r>
    </w:p>
    <w:p w14:paraId="3B0EE9A8" w14:textId="77777777" w:rsidR="00237DB4" w:rsidRPr="00B2170F" w:rsidRDefault="00237DB4" w:rsidP="00237DB4">
      <w:pPr>
        <w:pStyle w:val="Styl1"/>
        <w:rPr>
          <w:color w:val="FF0000"/>
        </w:rPr>
      </w:pPr>
      <w:r w:rsidRPr="003F730C">
        <w:t>Ostatní neinvestiční transfery do zahraničí jsou pro rok 202</w:t>
      </w:r>
      <w:r w:rsidRPr="001B780C">
        <w:t>3</w:t>
      </w:r>
      <w:r w:rsidRPr="003F730C">
        <w:t xml:space="preserve"> navrhovány ve výši 275 tis. Kč.</w:t>
      </w:r>
    </w:p>
    <w:p w14:paraId="46269FBB" w14:textId="77777777" w:rsidR="00237DB4" w:rsidRPr="003F730C" w:rsidRDefault="00237DB4" w:rsidP="00237DB4">
      <w:pPr>
        <w:pStyle w:val="Styl1"/>
        <w:rPr>
          <w:b/>
          <w:u w:val="single"/>
        </w:rPr>
      </w:pPr>
      <w:r w:rsidRPr="003F730C">
        <w:rPr>
          <w:b/>
          <w:u w:val="single"/>
        </w:rPr>
        <w:t xml:space="preserve">Členské příspěvky mezinárodním vládním organizacím </w:t>
      </w:r>
    </w:p>
    <w:p w14:paraId="52CAB0A2" w14:textId="77777777" w:rsidR="00237DB4" w:rsidRPr="00B2170F" w:rsidRDefault="00237DB4" w:rsidP="00237DB4">
      <w:pPr>
        <w:pStyle w:val="Styl1"/>
        <w:rPr>
          <w:color w:val="FF0000"/>
        </w:rPr>
      </w:pPr>
      <w:r w:rsidRPr="003F730C">
        <w:t>Členské příspěvky mezinárodním vládním organizacím jsou pro rok 2023 navrhovány ve výši 18 684 tis. Kč.</w:t>
      </w:r>
    </w:p>
    <w:p w14:paraId="44E71FAD" w14:textId="77777777" w:rsidR="00237DB4" w:rsidRPr="003F730C" w:rsidRDefault="00237DB4" w:rsidP="0088307E">
      <w:pPr>
        <w:pStyle w:val="Styl1"/>
        <w:keepNext/>
        <w:rPr>
          <w:b/>
          <w:u w:val="single"/>
        </w:rPr>
      </w:pPr>
      <w:r w:rsidRPr="003F730C">
        <w:rPr>
          <w:b/>
          <w:u w:val="single"/>
        </w:rPr>
        <w:t xml:space="preserve">Členské příspěvky mezinárodním nevládním organizacím </w:t>
      </w:r>
    </w:p>
    <w:p w14:paraId="555B3D49" w14:textId="7D43B0DC" w:rsidR="005820C6" w:rsidRPr="00E8518E" w:rsidRDefault="00237DB4" w:rsidP="000E1007">
      <w:pPr>
        <w:pStyle w:val="Styl1"/>
        <w:rPr>
          <w:color w:val="FF0000"/>
        </w:rPr>
      </w:pPr>
      <w:r w:rsidRPr="003F730C">
        <w:t xml:space="preserve">Členské příspěvky mezinárodním nevládním organizacím jsou pro rok 2023 navrhovány ve výši </w:t>
      </w:r>
      <w:r>
        <w:t>1 022</w:t>
      </w:r>
      <w:r w:rsidRPr="003F730C">
        <w:t xml:space="preserve"> tis. Kč.</w:t>
      </w:r>
    </w:p>
    <w:p w14:paraId="284AEB91" w14:textId="227E3217" w:rsidR="00144267" w:rsidRPr="0088307E" w:rsidRDefault="00144267" w:rsidP="007B2F4B">
      <w:pPr>
        <w:pStyle w:val="Nadpis3"/>
      </w:pPr>
      <w:bookmarkStart w:id="192" w:name="_Toc115787799"/>
      <w:r w:rsidRPr="0088307E">
        <w:t>Neinvestiční transfery státním fondům</w:t>
      </w:r>
      <w:bookmarkEnd w:id="173"/>
      <w:bookmarkEnd w:id="192"/>
    </w:p>
    <w:p w14:paraId="5F61877A" w14:textId="697A632A" w:rsidR="00910074" w:rsidRPr="0088307E" w:rsidRDefault="00910074" w:rsidP="00910074">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24</w:t>
      </w:r>
      <w:r w:rsidRPr="0088307E">
        <w:rPr>
          <w:noProof/>
        </w:rPr>
        <w:fldChar w:fldCharType="end"/>
      </w:r>
      <w:r w:rsidRPr="0088307E">
        <w:rPr>
          <w:noProof/>
        </w:rPr>
        <w:t xml:space="preserve"> Neinvestiční transfery státním fondům (v tis. Kč)</w:t>
      </w:r>
    </w:p>
    <w:tbl>
      <w:tblPr>
        <w:tblStyle w:val="Svtltabulkasmkou1zvraznn5"/>
        <w:tblW w:w="9093"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243"/>
        <w:gridCol w:w="1366"/>
        <w:gridCol w:w="1260"/>
        <w:gridCol w:w="1260"/>
        <w:gridCol w:w="964"/>
      </w:tblGrid>
      <w:tr w:rsidR="00DA1D71" w:rsidRPr="00AA47D4" w14:paraId="1BA9EED8" w14:textId="77777777" w:rsidTr="002A440F">
        <w:tc>
          <w:tcPr>
            <w:tcW w:w="424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7854C3B"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Ukazatel</w:t>
            </w:r>
          </w:p>
        </w:tc>
        <w:tc>
          <w:tcPr>
            <w:tcW w:w="1366"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3FCA2B55"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Skutečnost</w:t>
            </w:r>
          </w:p>
          <w:p w14:paraId="49ED22B0"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2021</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2958865E"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Schválený</w:t>
            </w:r>
          </w:p>
          <w:p w14:paraId="4427821D"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rozpočet</w:t>
            </w:r>
          </w:p>
          <w:p w14:paraId="3AB774B1"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2022</w:t>
            </w:r>
          </w:p>
        </w:tc>
        <w:tc>
          <w:tcPr>
            <w:tcW w:w="1260"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2B048231"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Návrh</w:t>
            </w:r>
          </w:p>
          <w:p w14:paraId="67036E1C"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rozpočtu</w:t>
            </w:r>
          </w:p>
          <w:p w14:paraId="09A41FFC"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2023</w:t>
            </w:r>
          </w:p>
        </w:tc>
        <w:tc>
          <w:tcPr>
            <w:tcW w:w="964" w:type="dxa"/>
            <w:tcBorders>
              <w:top w:val="single" w:sz="4" w:space="0" w:color="auto"/>
              <w:left w:val="single" w:sz="4" w:space="0" w:color="auto"/>
              <w:bottom w:val="single" w:sz="4" w:space="0" w:color="auto"/>
              <w:right w:val="single" w:sz="4" w:space="0" w:color="auto"/>
            </w:tcBorders>
            <w:shd w:val="thinReverseDiagStripe" w:color="D9D9D9" w:themeColor="background1" w:themeShade="D9" w:fill="auto"/>
            <w:vAlign w:val="center"/>
          </w:tcPr>
          <w:p w14:paraId="786BCB07"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Index</w:t>
            </w:r>
          </w:p>
          <w:p w14:paraId="5A58CC7E" w14:textId="77777777" w:rsidR="00DA1D71" w:rsidRPr="00AA47D4" w:rsidRDefault="00DA1D71" w:rsidP="002A440F">
            <w:pPr>
              <w:jc w:val="center"/>
              <w:rPr>
                <w:rFonts w:eastAsia="Times New Roman" w:cs="Times New Roman"/>
                <w:b/>
                <w:szCs w:val="24"/>
                <w:lang w:eastAsia="cs-CZ"/>
              </w:rPr>
            </w:pPr>
            <w:r w:rsidRPr="00AA47D4">
              <w:rPr>
                <w:rFonts w:eastAsia="Times New Roman" w:cs="Times New Roman"/>
                <w:b/>
                <w:szCs w:val="24"/>
                <w:lang w:eastAsia="cs-CZ"/>
              </w:rPr>
              <w:t>2023/</w:t>
            </w:r>
            <w:r w:rsidRPr="00AA47D4">
              <w:rPr>
                <w:rFonts w:eastAsia="Times New Roman" w:cs="Times New Roman"/>
                <w:b/>
                <w:szCs w:val="24"/>
                <w:lang w:eastAsia="cs-CZ"/>
              </w:rPr>
              <w:br/>
              <w:t xml:space="preserve">2022 </w:t>
            </w:r>
            <w:r w:rsidRPr="00AA47D4">
              <w:rPr>
                <w:rFonts w:eastAsia="Times New Roman" w:cs="Times New Roman"/>
                <w:b/>
                <w:szCs w:val="24"/>
                <w:lang w:eastAsia="cs-CZ"/>
              </w:rPr>
              <w:br/>
              <w:t>(v %)</w:t>
            </w:r>
          </w:p>
        </w:tc>
      </w:tr>
      <w:tr w:rsidR="00DA1D71" w:rsidRPr="00AA47D4" w14:paraId="66D72A3D" w14:textId="77777777" w:rsidTr="002A440F">
        <w:tc>
          <w:tcPr>
            <w:tcW w:w="4243" w:type="dxa"/>
            <w:tcBorders>
              <w:top w:val="single" w:sz="4" w:space="0" w:color="7F7F7F" w:themeColor="text1" w:themeTint="80"/>
              <w:bottom w:val="single" w:sz="8" w:space="0" w:color="7F7F7F" w:themeColor="text1" w:themeTint="80"/>
            </w:tcBorders>
            <w:shd w:val="clear" w:color="auto" w:fill="auto"/>
          </w:tcPr>
          <w:p w14:paraId="613C8B9D" w14:textId="77777777" w:rsidR="00DA1D71" w:rsidRPr="00AA47D4" w:rsidRDefault="00DA1D71" w:rsidP="002A440F">
            <w:pPr>
              <w:jc w:val="center"/>
              <w:rPr>
                <w:rFonts w:eastAsia="Times New Roman" w:cs="Times New Roman"/>
                <w:szCs w:val="24"/>
                <w:lang w:eastAsia="cs-CZ"/>
              </w:rPr>
            </w:pPr>
            <w:r w:rsidRPr="00AA47D4">
              <w:rPr>
                <w:rFonts w:eastAsia="Times New Roman" w:cs="Times New Roman"/>
                <w:szCs w:val="24"/>
                <w:lang w:eastAsia="cs-CZ"/>
              </w:rPr>
              <w:t>a</w:t>
            </w:r>
          </w:p>
        </w:tc>
        <w:tc>
          <w:tcPr>
            <w:tcW w:w="1366" w:type="dxa"/>
            <w:tcBorders>
              <w:top w:val="single" w:sz="4" w:space="0" w:color="7F7F7F" w:themeColor="text1" w:themeTint="80"/>
              <w:bottom w:val="single" w:sz="8" w:space="0" w:color="7F7F7F" w:themeColor="text1" w:themeTint="80"/>
            </w:tcBorders>
            <w:shd w:val="clear" w:color="auto" w:fill="auto"/>
          </w:tcPr>
          <w:p w14:paraId="6AC4FA3F" w14:textId="77777777" w:rsidR="00DA1D71" w:rsidRPr="00AA47D4" w:rsidRDefault="00DA1D71" w:rsidP="002A440F">
            <w:pPr>
              <w:jc w:val="center"/>
              <w:rPr>
                <w:rFonts w:eastAsia="Times New Roman" w:cs="Times New Roman"/>
                <w:szCs w:val="24"/>
                <w:lang w:eastAsia="cs-CZ"/>
              </w:rPr>
            </w:pPr>
            <w:r w:rsidRPr="00AA47D4">
              <w:rPr>
                <w:rFonts w:eastAsia="Times New Roman" w:cs="Times New Roman"/>
                <w:szCs w:val="24"/>
                <w:lang w:eastAsia="cs-CZ"/>
              </w:rPr>
              <w:t>1</w:t>
            </w:r>
          </w:p>
        </w:tc>
        <w:tc>
          <w:tcPr>
            <w:tcW w:w="1260" w:type="dxa"/>
            <w:tcBorders>
              <w:top w:val="single" w:sz="4" w:space="0" w:color="7F7F7F" w:themeColor="text1" w:themeTint="80"/>
              <w:bottom w:val="single" w:sz="8" w:space="0" w:color="7F7F7F" w:themeColor="text1" w:themeTint="80"/>
            </w:tcBorders>
            <w:shd w:val="clear" w:color="auto" w:fill="auto"/>
          </w:tcPr>
          <w:p w14:paraId="21C13887" w14:textId="77777777" w:rsidR="00DA1D71" w:rsidRPr="00AA47D4" w:rsidRDefault="00DA1D71" w:rsidP="002A440F">
            <w:pPr>
              <w:jc w:val="center"/>
              <w:rPr>
                <w:rFonts w:eastAsia="Times New Roman" w:cs="Times New Roman"/>
                <w:szCs w:val="24"/>
                <w:lang w:eastAsia="cs-CZ"/>
              </w:rPr>
            </w:pPr>
            <w:r w:rsidRPr="00AA47D4">
              <w:rPr>
                <w:rFonts w:eastAsia="Times New Roman" w:cs="Times New Roman"/>
                <w:szCs w:val="24"/>
                <w:lang w:eastAsia="cs-CZ"/>
              </w:rPr>
              <w:t>2</w:t>
            </w:r>
          </w:p>
        </w:tc>
        <w:tc>
          <w:tcPr>
            <w:tcW w:w="1260" w:type="dxa"/>
            <w:tcBorders>
              <w:top w:val="single" w:sz="4" w:space="0" w:color="7F7F7F" w:themeColor="text1" w:themeTint="80"/>
              <w:bottom w:val="single" w:sz="8" w:space="0" w:color="7F7F7F" w:themeColor="text1" w:themeTint="80"/>
            </w:tcBorders>
            <w:shd w:val="clear" w:color="auto" w:fill="auto"/>
          </w:tcPr>
          <w:p w14:paraId="0CA24D6A" w14:textId="77777777" w:rsidR="00DA1D71" w:rsidRPr="00AA47D4" w:rsidRDefault="00DA1D71" w:rsidP="002A440F">
            <w:pPr>
              <w:jc w:val="center"/>
              <w:rPr>
                <w:rFonts w:eastAsia="Times New Roman" w:cs="Times New Roman"/>
                <w:szCs w:val="24"/>
                <w:lang w:eastAsia="cs-CZ"/>
              </w:rPr>
            </w:pPr>
            <w:r w:rsidRPr="00AA47D4">
              <w:rPr>
                <w:rFonts w:eastAsia="Times New Roman" w:cs="Times New Roman"/>
                <w:szCs w:val="24"/>
                <w:lang w:eastAsia="cs-CZ"/>
              </w:rPr>
              <w:t>3</w:t>
            </w:r>
          </w:p>
        </w:tc>
        <w:tc>
          <w:tcPr>
            <w:tcW w:w="964" w:type="dxa"/>
            <w:tcBorders>
              <w:top w:val="single" w:sz="4" w:space="0" w:color="7F7F7F" w:themeColor="text1" w:themeTint="80"/>
              <w:bottom w:val="single" w:sz="8" w:space="0" w:color="7F7F7F" w:themeColor="text1" w:themeTint="80"/>
            </w:tcBorders>
            <w:shd w:val="clear" w:color="auto" w:fill="auto"/>
          </w:tcPr>
          <w:p w14:paraId="4980A217" w14:textId="77777777" w:rsidR="00DA1D71" w:rsidRPr="00AA47D4" w:rsidRDefault="00DA1D71" w:rsidP="002A440F">
            <w:pPr>
              <w:jc w:val="center"/>
              <w:rPr>
                <w:rFonts w:eastAsia="Times New Roman" w:cs="Times New Roman"/>
                <w:szCs w:val="24"/>
                <w:lang w:eastAsia="cs-CZ"/>
              </w:rPr>
            </w:pPr>
            <w:r w:rsidRPr="00AA47D4">
              <w:rPr>
                <w:rFonts w:eastAsia="Times New Roman" w:cs="Times New Roman"/>
                <w:szCs w:val="24"/>
                <w:lang w:eastAsia="cs-CZ"/>
              </w:rPr>
              <w:t>4</w:t>
            </w:r>
          </w:p>
        </w:tc>
      </w:tr>
      <w:tr w:rsidR="00DA1D71" w:rsidRPr="00212181" w14:paraId="2C3BCB57" w14:textId="77777777" w:rsidTr="002A440F">
        <w:trPr>
          <w:trHeight w:val="421"/>
        </w:trPr>
        <w:tc>
          <w:tcPr>
            <w:tcW w:w="4243" w:type="dxa"/>
            <w:tcBorders>
              <w:top w:val="single" w:sz="8" w:space="0" w:color="7F7F7F" w:themeColor="text1" w:themeTint="80"/>
              <w:bottom w:val="single" w:sz="8" w:space="0" w:color="7F7F7F" w:themeColor="text1" w:themeTint="80"/>
            </w:tcBorders>
            <w:shd w:val="clear" w:color="auto" w:fill="auto"/>
          </w:tcPr>
          <w:p w14:paraId="677C56DA" w14:textId="77777777" w:rsidR="00DA1D71" w:rsidRPr="00AA47D4" w:rsidRDefault="00DA1D71" w:rsidP="002A440F">
            <w:pPr>
              <w:spacing w:before="40" w:after="40"/>
              <w:ind w:right="-170"/>
              <w:jc w:val="left"/>
              <w:rPr>
                <w:rFonts w:eastAsia="Times New Roman" w:cs="Times New Roman"/>
                <w:lang w:eastAsia="cs-CZ"/>
              </w:rPr>
            </w:pPr>
            <w:proofErr w:type="spellStart"/>
            <w:r w:rsidRPr="00AA47D4">
              <w:rPr>
                <w:rFonts w:eastAsia="Times New Roman" w:cs="Times New Roman"/>
                <w:b/>
                <w:bCs/>
                <w:lang w:eastAsia="cs-CZ"/>
              </w:rPr>
              <w:t>Neinvest</w:t>
            </w:r>
            <w:proofErr w:type="spellEnd"/>
            <w:r w:rsidRPr="00AA47D4">
              <w:rPr>
                <w:rFonts w:eastAsia="Times New Roman" w:cs="Times New Roman"/>
                <w:b/>
                <w:bCs/>
                <w:lang w:eastAsia="cs-CZ"/>
              </w:rPr>
              <w:t xml:space="preserve">. transfery státním fondům </w:t>
            </w:r>
            <w:r w:rsidRPr="00AA47D4">
              <w:rPr>
                <w:rFonts w:eastAsia="Times New Roman" w:cs="Times New Roman"/>
                <w:b/>
                <w:bCs/>
                <w:lang w:eastAsia="cs-CZ"/>
              </w:rPr>
              <w:br/>
            </w:r>
            <w:r w:rsidRPr="00AA47D4">
              <w:rPr>
                <w:rFonts w:eastAsia="Times New Roman" w:cs="Times New Roman"/>
                <w:bCs/>
                <w:lang w:eastAsia="cs-CZ"/>
              </w:rPr>
              <w:t>v tom:</w:t>
            </w:r>
          </w:p>
        </w:tc>
        <w:tc>
          <w:tcPr>
            <w:tcW w:w="1366" w:type="dxa"/>
            <w:tcBorders>
              <w:top w:val="single" w:sz="4" w:space="0" w:color="auto"/>
              <w:left w:val="single" w:sz="4" w:space="0" w:color="auto"/>
              <w:bottom w:val="single" w:sz="4" w:space="0" w:color="auto"/>
              <w:right w:val="single" w:sz="4" w:space="0" w:color="auto"/>
            </w:tcBorders>
            <w:vAlign w:val="center"/>
          </w:tcPr>
          <w:p w14:paraId="281CCA3B" w14:textId="77777777" w:rsidR="00DA1D71" w:rsidRPr="006477FD" w:rsidRDefault="00DA1D71" w:rsidP="002A440F">
            <w:pPr>
              <w:spacing w:before="40" w:after="40"/>
              <w:jc w:val="right"/>
              <w:rPr>
                <w:rFonts w:cs="Times New Roman"/>
                <w:b/>
                <w:sz w:val="22"/>
              </w:rPr>
            </w:pPr>
            <w:r w:rsidRPr="006477FD">
              <w:rPr>
                <w:rFonts w:cs="Times New Roman"/>
                <w:b/>
                <w:sz w:val="22"/>
              </w:rPr>
              <w:t>24 217 381</w:t>
            </w:r>
          </w:p>
        </w:tc>
        <w:tc>
          <w:tcPr>
            <w:tcW w:w="1260" w:type="dxa"/>
            <w:tcBorders>
              <w:top w:val="single" w:sz="4" w:space="0" w:color="auto"/>
              <w:left w:val="single" w:sz="4" w:space="0" w:color="auto"/>
              <w:bottom w:val="single" w:sz="4" w:space="0" w:color="auto"/>
              <w:right w:val="single" w:sz="4" w:space="0" w:color="auto"/>
            </w:tcBorders>
            <w:vAlign w:val="center"/>
          </w:tcPr>
          <w:p w14:paraId="7386F586" w14:textId="77777777" w:rsidR="00DA1D71" w:rsidRPr="006477FD" w:rsidRDefault="00DA1D71" w:rsidP="002A440F">
            <w:pPr>
              <w:spacing w:before="40" w:after="40"/>
              <w:jc w:val="right"/>
              <w:rPr>
                <w:rFonts w:cs="Times New Roman"/>
                <w:b/>
                <w:sz w:val="22"/>
              </w:rPr>
            </w:pPr>
            <w:r w:rsidRPr="006477FD">
              <w:rPr>
                <w:rFonts w:cs="Times New Roman"/>
                <w:b/>
                <w:sz w:val="22"/>
              </w:rPr>
              <w:t>12 310 464</w:t>
            </w:r>
          </w:p>
        </w:tc>
        <w:tc>
          <w:tcPr>
            <w:tcW w:w="1260" w:type="dxa"/>
            <w:tcBorders>
              <w:top w:val="single" w:sz="4" w:space="0" w:color="auto"/>
              <w:left w:val="single" w:sz="4" w:space="0" w:color="auto"/>
              <w:bottom w:val="single" w:sz="4" w:space="0" w:color="auto"/>
              <w:right w:val="single" w:sz="4" w:space="0" w:color="auto"/>
            </w:tcBorders>
            <w:vAlign w:val="center"/>
          </w:tcPr>
          <w:p w14:paraId="1B860972" w14:textId="77777777" w:rsidR="00DA1D71" w:rsidRPr="00212181" w:rsidRDefault="00DA1D71" w:rsidP="002A440F">
            <w:pPr>
              <w:spacing w:before="40" w:after="40"/>
              <w:jc w:val="right"/>
              <w:rPr>
                <w:rFonts w:cs="Times New Roman"/>
                <w:b/>
                <w:sz w:val="22"/>
              </w:rPr>
            </w:pPr>
            <w:r w:rsidRPr="00212181">
              <w:rPr>
                <w:rFonts w:cs="Times New Roman"/>
                <w:b/>
                <w:sz w:val="22"/>
              </w:rPr>
              <w:t>16 423 000</w:t>
            </w:r>
          </w:p>
        </w:tc>
        <w:tc>
          <w:tcPr>
            <w:tcW w:w="964" w:type="dxa"/>
            <w:tcBorders>
              <w:top w:val="single" w:sz="4" w:space="0" w:color="auto"/>
              <w:left w:val="single" w:sz="4" w:space="0" w:color="auto"/>
              <w:bottom w:val="single" w:sz="4" w:space="0" w:color="auto"/>
              <w:right w:val="single" w:sz="4" w:space="0" w:color="auto"/>
            </w:tcBorders>
            <w:vAlign w:val="center"/>
          </w:tcPr>
          <w:p w14:paraId="00252652" w14:textId="77777777" w:rsidR="00DA1D71" w:rsidRPr="00212181" w:rsidRDefault="00DA1D71" w:rsidP="002A440F">
            <w:pPr>
              <w:spacing w:before="40" w:after="40"/>
              <w:jc w:val="right"/>
              <w:rPr>
                <w:rFonts w:cs="Times New Roman"/>
                <w:b/>
                <w:sz w:val="22"/>
              </w:rPr>
            </w:pPr>
            <w:r w:rsidRPr="00212181">
              <w:rPr>
                <w:rFonts w:cs="Times New Roman"/>
                <w:b/>
                <w:sz w:val="22"/>
              </w:rPr>
              <w:t>133,41</w:t>
            </w:r>
          </w:p>
        </w:tc>
      </w:tr>
      <w:tr w:rsidR="00DA1D71" w:rsidRPr="00212181" w14:paraId="50DB68F6" w14:textId="77777777" w:rsidTr="002A440F">
        <w:tc>
          <w:tcPr>
            <w:tcW w:w="4243" w:type="dxa"/>
            <w:tcBorders>
              <w:top w:val="single" w:sz="8" w:space="0" w:color="7F7F7F" w:themeColor="text1" w:themeTint="80"/>
            </w:tcBorders>
            <w:shd w:val="clear" w:color="auto" w:fill="auto"/>
          </w:tcPr>
          <w:p w14:paraId="0CF4A140" w14:textId="77777777" w:rsidR="00DA1D71" w:rsidRPr="00AA47D4" w:rsidRDefault="00DA1D71" w:rsidP="002A440F">
            <w:pPr>
              <w:spacing w:before="40"/>
              <w:rPr>
                <w:rFonts w:eastAsia="Times New Roman" w:cs="Times New Roman"/>
                <w:lang w:eastAsia="cs-CZ"/>
              </w:rPr>
            </w:pPr>
            <w:r w:rsidRPr="00AA47D4">
              <w:rPr>
                <w:rFonts w:eastAsia="Times New Roman" w:cs="Times New Roman"/>
                <w:lang w:eastAsia="cs-CZ"/>
              </w:rPr>
              <w:t>Státní fond dopravní infrastruktury</w:t>
            </w:r>
          </w:p>
        </w:tc>
        <w:tc>
          <w:tcPr>
            <w:tcW w:w="1366" w:type="dxa"/>
            <w:tcBorders>
              <w:top w:val="single" w:sz="4" w:space="0" w:color="auto"/>
              <w:left w:val="single" w:sz="4" w:space="0" w:color="auto"/>
              <w:bottom w:val="single" w:sz="4" w:space="0" w:color="auto"/>
              <w:right w:val="single" w:sz="4" w:space="0" w:color="auto"/>
            </w:tcBorders>
          </w:tcPr>
          <w:p w14:paraId="1FDAD18B" w14:textId="77777777" w:rsidR="00DA1D71" w:rsidRPr="006477FD" w:rsidRDefault="00DA1D71" w:rsidP="002A440F">
            <w:pPr>
              <w:spacing w:before="40"/>
              <w:jc w:val="right"/>
              <w:rPr>
                <w:rFonts w:cs="Times New Roman"/>
                <w:sz w:val="22"/>
              </w:rPr>
            </w:pPr>
            <w:r w:rsidRPr="006477FD">
              <w:rPr>
                <w:rFonts w:cs="Times New Roman"/>
                <w:sz w:val="22"/>
              </w:rPr>
              <w:t>24 217 381</w:t>
            </w:r>
          </w:p>
        </w:tc>
        <w:tc>
          <w:tcPr>
            <w:tcW w:w="1260" w:type="dxa"/>
            <w:tcBorders>
              <w:top w:val="single" w:sz="4" w:space="0" w:color="auto"/>
              <w:left w:val="single" w:sz="4" w:space="0" w:color="auto"/>
              <w:bottom w:val="single" w:sz="4" w:space="0" w:color="auto"/>
              <w:right w:val="single" w:sz="4" w:space="0" w:color="auto"/>
            </w:tcBorders>
          </w:tcPr>
          <w:p w14:paraId="28A58B4D" w14:textId="77777777" w:rsidR="00DA1D71" w:rsidRPr="006477FD" w:rsidRDefault="00DA1D71" w:rsidP="002A440F">
            <w:pPr>
              <w:spacing w:before="40"/>
              <w:jc w:val="right"/>
              <w:rPr>
                <w:rFonts w:cs="Times New Roman"/>
                <w:sz w:val="22"/>
              </w:rPr>
            </w:pPr>
            <w:r w:rsidRPr="006477FD">
              <w:rPr>
                <w:rFonts w:cs="Times New Roman"/>
                <w:sz w:val="22"/>
              </w:rPr>
              <w:t>12 310 464</w:t>
            </w:r>
          </w:p>
        </w:tc>
        <w:tc>
          <w:tcPr>
            <w:tcW w:w="1260" w:type="dxa"/>
            <w:tcBorders>
              <w:top w:val="single" w:sz="4" w:space="0" w:color="auto"/>
              <w:left w:val="single" w:sz="4" w:space="0" w:color="auto"/>
              <w:bottom w:val="single" w:sz="4" w:space="0" w:color="auto"/>
              <w:right w:val="single" w:sz="4" w:space="0" w:color="auto"/>
            </w:tcBorders>
          </w:tcPr>
          <w:p w14:paraId="71DDDF96" w14:textId="77777777" w:rsidR="00DA1D71" w:rsidRPr="00212181" w:rsidRDefault="00DA1D71" w:rsidP="002A440F">
            <w:pPr>
              <w:spacing w:before="40"/>
              <w:jc w:val="right"/>
              <w:rPr>
                <w:rFonts w:cs="Times New Roman"/>
                <w:sz w:val="22"/>
              </w:rPr>
            </w:pPr>
            <w:r w:rsidRPr="00212181">
              <w:rPr>
                <w:rFonts w:cs="Times New Roman"/>
                <w:sz w:val="22"/>
              </w:rPr>
              <w:t>16 423 000</w:t>
            </w:r>
          </w:p>
        </w:tc>
        <w:tc>
          <w:tcPr>
            <w:tcW w:w="964" w:type="dxa"/>
            <w:tcBorders>
              <w:top w:val="single" w:sz="4" w:space="0" w:color="auto"/>
              <w:left w:val="single" w:sz="4" w:space="0" w:color="auto"/>
              <w:bottom w:val="single" w:sz="4" w:space="0" w:color="auto"/>
              <w:right w:val="single" w:sz="4" w:space="0" w:color="auto"/>
            </w:tcBorders>
          </w:tcPr>
          <w:p w14:paraId="67D77CCB" w14:textId="77777777" w:rsidR="00DA1D71" w:rsidRPr="00212181" w:rsidRDefault="00DA1D71" w:rsidP="002A440F">
            <w:pPr>
              <w:spacing w:before="40"/>
              <w:jc w:val="right"/>
              <w:rPr>
                <w:rFonts w:cs="Times New Roman"/>
                <w:sz w:val="22"/>
              </w:rPr>
            </w:pPr>
            <w:r w:rsidRPr="00212181">
              <w:rPr>
                <w:rFonts w:cs="Times New Roman"/>
                <w:sz w:val="22"/>
              </w:rPr>
              <w:t>133,41</w:t>
            </w:r>
          </w:p>
        </w:tc>
      </w:tr>
    </w:tbl>
    <w:p w14:paraId="4C4746BF" w14:textId="512CE04D" w:rsidR="00DA1D71" w:rsidRPr="00E8518E" w:rsidRDefault="00DA1D71" w:rsidP="00DA1D71">
      <w:pPr>
        <w:pStyle w:val="Styl1"/>
        <w:rPr>
          <w:color w:val="FF0000"/>
        </w:rPr>
      </w:pPr>
      <w:r w:rsidRPr="0088307E">
        <w:t>N</w:t>
      </w:r>
      <w:r w:rsidRPr="00DA1D71">
        <w:t>einv</w:t>
      </w:r>
      <w:r w:rsidRPr="00212181">
        <w:t xml:space="preserve">estiční transfer státním fondům </w:t>
      </w:r>
      <w:r>
        <w:t xml:space="preserve">je </w:t>
      </w:r>
      <w:r w:rsidRPr="00212181">
        <w:t>pro rok 202</w:t>
      </w:r>
      <w:r>
        <w:t>3</w:t>
      </w:r>
      <w:r w:rsidRPr="00212181">
        <w:t xml:space="preserve"> </w:t>
      </w:r>
      <w:r>
        <w:t xml:space="preserve">navržen ve výši </w:t>
      </w:r>
      <w:r w:rsidRPr="00212181">
        <w:rPr>
          <w:b/>
        </w:rPr>
        <w:t>16 423 000 tis. Kč</w:t>
      </w:r>
      <w:r w:rsidRPr="00212181">
        <w:t xml:space="preserve">.    </w:t>
      </w:r>
      <w:r>
        <w:t xml:space="preserve">Tento transfer je určen </w:t>
      </w:r>
      <w:r w:rsidRPr="00212181">
        <w:t>Státní</w:t>
      </w:r>
      <w:r>
        <w:t>mu</w:t>
      </w:r>
      <w:r w:rsidRPr="00212181">
        <w:t xml:space="preserve"> fond</w:t>
      </w:r>
      <w:r>
        <w:t>u</w:t>
      </w:r>
      <w:r w:rsidRPr="00212181">
        <w:t xml:space="preserve"> dopravní infrastruktury (SFDI)</w:t>
      </w:r>
      <w:r>
        <w:t>.</w:t>
      </w:r>
      <w:r w:rsidRPr="00212181">
        <w:t xml:space="preserve"> </w:t>
      </w:r>
    </w:p>
    <w:p w14:paraId="6571FE4D" w14:textId="77777777" w:rsidR="00DA1D71" w:rsidRPr="005555BB" w:rsidRDefault="00DA1D71" w:rsidP="00DA1D71">
      <w:pPr>
        <w:pStyle w:val="Styl1"/>
      </w:pPr>
      <w:r w:rsidRPr="00212181">
        <w:t xml:space="preserve">Finanční prostředky </w:t>
      </w:r>
      <w:r>
        <w:t>budou použity</w:t>
      </w:r>
      <w:r w:rsidRPr="00212181">
        <w:t xml:space="preserve"> na vyrovnání deficitu </w:t>
      </w:r>
      <w:r w:rsidRPr="003F730C">
        <w:t>příjmů a výdajů rozpočtu SFDI</w:t>
      </w:r>
      <w:r>
        <w:t xml:space="preserve"> </w:t>
      </w:r>
      <w:r w:rsidRPr="005555BB">
        <w:t>v rámci programu 127 77 „Podpora financování dopravy“.</w:t>
      </w:r>
    </w:p>
    <w:p w14:paraId="12F1AFC6" w14:textId="7F39B421" w:rsidR="00586150" w:rsidRPr="00E8518E" w:rsidRDefault="00586150" w:rsidP="0088307E">
      <w:pPr>
        <w:pStyle w:val="Styl1"/>
        <w:rPr>
          <w:color w:val="FF0000"/>
        </w:rPr>
      </w:pPr>
    </w:p>
    <w:p w14:paraId="5CF0FDF1" w14:textId="77777777" w:rsidR="00BF6DE4" w:rsidRPr="00E8518E" w:rsidRDefault="00BF6DE4" w:rsidP="00586150">
      <w:pPr>
        <w:spacing w:before="120" w:line="240" w:lineRule="auto"/>
        <w:ind w:left="720"/>
        <w:rPr>
          <w:rFonts w:eastAsia="Times New Roman" w:cs="Times New Roman"/>
          <w:color w:val="FF0000"/>
          <w:szCs w:val="24"/>
          <w:lang w:eastAsia="cs-CZ"/>
        </w:rPr>
      </w:pPr>
    </w:p>
    <w:p w14:paraId="244AFD8A" w14:textId="77777777" w:rsidR="007B2F4B" w:rsidRPr="00E8518E" w:rsidRDefault="007B2F4B" w:rsidP="00910074">
      <w:pPr>
        <w:pStyle w:val="Styl1"/>
        <w:rPr>
          <w:color w:val="FF0000"/>
        </w:rPr>
      </w:pPr>
      <w:r w:rsidRPr="00E8518E">
        <w:rPr>
          <w:color w:val="FF0000"/>
        </w:rPr>
        <w:br w:type="page"/>
      </w:r>
    </w:p>
    <w:p w14:paraId="6BED5BB1" w14:textId="77777777" w:rsidR="00B75E55" w:rsidRPr="0088307E" w:rsidRDefault="00B75E55" w:rsidP="007B2F4B">
      <w:pPr>
        <w:pStyle w:val="Nadpis2"/>
      </w:pPr>
      <w:bookmarkStart w:id="193" w:name="_Toc115787800"/>
      <w:r w:rsidRPr="0088307E">
        <w:t>Kapitálové výdaje</w:t>
      </w:r>
      <w:bookmarkEnd w:id="193"/>
    </w:p>
    <w:p w14:paraId="0BE376DC" w14:textId="1DC04405" w:rsidR="00072BEE" w:rsidRPr="0088307E" w:rsidRDefault="00072BEE" w:rsidP="00B75E55">
      <w:pPr>
        <w:pStyle w:val="Titulek"/>
      </w:pPr>
      <w:r w:rsidRPr="0088307E">
        <w:t>Tabulka</w:t>
      </w:r>
      <w:r w:rsidR="00B75E55" w:rsidRPr="0088307E">
        <w:t xml:space="preserve"> č.</w:t>
      </w:r>
      <w:r w:rsidRPr="0088307E">
        <w:t xml:space="preserve"> </w:t>
      </w:r>
      <w:r w:rsidR="0001421C" w:rsidRPr="0088307E">
        <w:rPr>
          <w:noProof/>
        </w:rPr>
        <w:fldChar w:fldCharType="begin"/>
      </w:r>
      <w:r w:rsidR="0001421C" w:rsidRPr="0088307E">
        <w:rPr>
          <w:noProof/>
        </w:rPr>
        <w:instrText xml:space="preserve"> SEQ Tabulka \* ARABIC </w:instrText>
      </w:r>
      <w:r w:rsidR="0001421C" w:rsidRPr="0088307E">
        <w:rPr>
          <w:noProof/>
        </w:rPr>
        <w:fldChar w:fldCharType="separate"/>
      </w:r>
      <w:r w:rsidR="00F80947">
        <w:rPr>
          <w:noProof/>
        </w:rPr>
        <w:t>25</w:t>
      </w:r>
      <w:r w:rsidR="0001421C" w:rsidRPr="0088307E">
        <w:rPr>
          <w:noProof/>
        </w:rPr>
        <w:fldChar w:fldCharType="end"/>
      </w:r>
      <w:r w:rsidR="00B75E55" w:rsidRPr="0088307E">
        <w:rPr>
          <w:noProof/>
        </w:rPr>
        <w:t xml:space="preserve"> Kapitálové výdaje celkem (v tis. Kč)</w:t>
      </w:r>
    </w:p>
    <w:p w14:paraId="787E1537" w14:textId="07C03285" w:rsidR="002A440F" w:rsidRDefault="002A440F" w:rsidP="004B2F70">
      <w:pPr>
        <w:spacing w:before="120" w:after="80" w:line="240" w:lineRule="auto"/>
        <w:rPr>
          <w:rFonts w:eastAsia="Times New Roman" w:cs="Times New Roman"/>
          <w:i/>
          <w:color w:val="FF0000"/>
          <w:sz w:val="20"/>
          <w:szCs w:val="20"/>
          <w:lang w:eastAsia="cs-CZ"/>
        </w:rPr>
      </w:pPr>
      <w:bookmarkStart w:id="194" w:name="_Toc489274107"/>
      <w:bookmarkStart w:id="195" w:name="_Toc305406307"/>
      <w:bookmarkStart w:id="196" w:name="_Toc305406313"/>
      <w:bookmarkStart w:id="197" w:name="_Toc462314406"/>
    </w:p>
    <w:tbl>
      <w:tblPr>
        <w:tblW w:w="5372" w:type="pct"/>
        <w:tblInd w:w="-10" w:type="dxa"/>
        <w:tblCellMar>
          <w:left w:w="70" w:type="dxa"/>
          <w:right w:w="70" w:type="dxa"/>
        </w:tblCellMar>
        <w:tblLook w:val="0000" w:firstRow="0" w:lastRow="0" w:firstColumn="0" w:lastColumn="0" w:noHBand="0" w:noVBand="0"/>
      </w:tblPr>
      <w:tblGrid>
        <w:gridCol w:w="4540"/>
        <w:gridCol w:w="1382"/>
        <w:gridCol w:w="1383"/>
        <w:gridCol w:w="1439"/>
        <w:gridCol w:w="980"/>
      </w:tblGrid>
      <w:tr w:rsidR="002A440F" w:rsidRPr="00C72FB2" w14:paraId="223FF4B5" w14:textId="77777777" w:rsidTr="002A440F">
        <w:trPr>
          <w:trHeight w:val="894"/>
        </w:trPr>
        <w:tc>
          <w:tcPr>
            <w:tcW w:w="2334" w:type="pct"/>
            <w:tcBorders>
              <w:top w:val="single" w:sz="8" w:space="0" w:color="7F7F7F" w:themeColor="text1" w:themeTint="80"/>
              <w:left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4AF0A127" w14:textId="77777777" w:rsidR="002A440F" w:rsidRPr="00212181" w:rsidRDefault="002A440F" w:rsidP="002A440F">
            <w:pPr>
              <w:spacing w:line="240" w:lineRule="auto"/>
              <w:jc w:val="center"/>
              <w:rPr>
                <w:rFonts w:eastAsia="Times New Roman" w:cs="Times New Roman"/>
                <w:b/>
                <w:lang w:eastAsia="cs-CZ"/>
              </w:rPr>
            </w:pPr>
            <w:r w:rsidRPr="00212181">
              <w:rPr>
                <w:rFonts w:eastAsia="Times New Roman" w:cs="Times New Roman"/>
                <w:b/>
                <w:lang w:eastAsia="cs-CZ"/>
              </w:rPr>
              <w:t>Ukazatel</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0C6330BC" w14:textId="77777777" w:rsidR="002A440F" w:rsidRPr="00212181" w:rsidRDefault="002A440F" w:rsidP="002A440F">
            <w:pPr>
              <w:jc w:val="center"/>
              <w:rPr>
                <w:rFonts w:eastAsia="Times New Roman" w:cs="Times New Roman"/>
                <w:b/>
                <w:szCs w:val="24"/>
                <w:lang w:eastAsia="cs-CZ"/>
              </w:rPr>
            </w:pPr>
            <w:r w:rsidRPr="00212181">
              <w:rPr>
                <w:rFonts w:eastAsia="Times New Roman" w:cs="Times New Roman"/>
                <w:b/>
                <w:szCs w:val="24"/>
                <w:lang w:eastAsia="cs-CZ"/>
              </w:rPr>
              <w:t>Skutečnost</w:t>
            </w:r>
          </w:p>
          <w:p w14:paraId="54514E6C" w14:textId="77777777" w:rsidR="002A440F" w:rsidRPr="00212181" w:rsidRDefault="002A440F" w:rsidP="002A440F">
            <w:pPr>
              <w:spacing w:line="240" w:lineRule="auto"/>
              <w:jc w:val="center"/>
              <w:rPr>
                <w:rFonts w:eastAsia="Times New Roman" w:cs="Times New Roman"/>
                <w:b/>
                <w:lang w:eastAsia="cs-CZ"/>
              </w:rPr>
            </w:pPr>
            <w:r w:rsidRPr="00212181">
              <w:rPr>
                <w:rFonts w:eastAsia="Times New Roman" w:cs="Times New Roman"/>
                <w:b/>
                <w:szCs w:val="24"/>
                <w:lang w:eastAsia="cs-CZ"/>
              </w:rPr>
              <w:t>2021</w:t>
            </w:r>
          </w:p>
        </w:tc>
        <w:tc>
          <w:tcPr>
            <w:tcW w:w="711"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4E3A72EE" w14:textId="77777777" w:rsidR="002A440F" w:rsidRPr="00AA47D4" w:rsidRDefault="002A440F" w:rsidP="002A440F">
            <w:pPr>
              <w:spacing w:line="240" w:lineRule="auto"/>
              <w:jc w:val="center"/>
              <w:rPr>
                <w:rFonts w:eastAsia="Times New Roman" w:cs="Times New Roman"/>
                <w:b/>
                <w:lang w:eastAsia="cs-CZ"/>
              </w:rPr>
            </w:pPr>
            <w:r w:rsidRPr="00AA47D4">
              <w:rPr>
                <w:rFonts w:eastAsia="Times New Roman" w:cs="Times New Roman"/>
                <w:b/>
                <w:lang w:eastAsia="cs-CZ"/>
              </w:rPr>
              <w:t>Schválený rozpočet 2022</w:t>
            </w:r>
          </w:p>
        </w:tc>
        <w:tc>
          <w:tcPr>
            <w:tcW w:w="740" w:type="pct"/>
            <w:tcBorders>
              <w:top w:val="single" w:sz="8" w:space="0" w:color="7F7F7F" w:themeColor="text1" w:themeTint="80"/>
              <w:left w:val="single" w:sz="4" w:space="0" w:color="auto"/>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3357EB4E" w14:textId="77777777" w:rsidR="002A440F" w:rsidRPr="00C72FB2" w:rsidRDefault="002A440F" w:rsidP="002A440F">
            <w:pPr>
              <w:spacing w:line="240" w:lineRule="auto"/>
              <w:jc w:val="center"/>
              <w:rPr>
                <w:rFonts w:eastAsia="Times New Roman" w:cs="Times New Roman"/>
                <w:b/>
                <w:lang w:eastAsia="cs-CZ"/>
              </w:rPr>
            </w:pPr>
            <w:r w:rsidRPr="00C72FB2">
              <w:rPr>
                <w:rFonts w:eastAsia="Times New Roman" w:cs="Times New Roman"/>
                <w:b/>
                <w:lang w:eastAsia="cs-CZ"/>
              </w:rPr>
              <w:t>Návrh rozpočtu 202</w:t>
            </w:r>
            <w:r>
              <w:rPr>
                <w:rFonts w:eastAsia="Times New Roman" w:cs="Times New Roman"/>
                <w:b/>
                <w:lang w:eastAsia="cs-CZ"/>
              </w:rPr>
              <w:t>3</w:t>
            </w:r>
          </w:p>
        </w:tc>
        <w:tc>
          <w:tcPr>
            <w:tcW w:w="504" w:type="pct"/>
            <w:tcBorders>
              <w:top w:val="single" w:sz="8" w:space="0" w:color="7F7F7F" w:themeColor="text1" w:themeTint="80"/>
              <w:left w:val="single" w:sz="4" w:space="0" w:color="auto"/>
              <w:bottom w:val="single" w:sz="4" w:space="0" w:color="7F7F7F" w:themeColor="text1" w:themeTint="80"/>
              <w:right w:val="single" w:sz="8" w:space="0" w:color="7F7F7F" w:themeColor="text1" w:themeTint="80"/>
            </w:tcBorders>
            <w:shd w:val="thinReverseDiagStripe" w:color="D9D9D9" w:themeColor="background1" w:themeShade="D9" w:fill="FFFFFF" w:themeFill="background1"/>
            <w:vAlign w:val="center"/>
          </w:tcPr>
          <w:p w14:paraId="4EEAD6D1" w14:textId="77777777" w:rsidR="002A440F" w:rsidRPr="00C72FB2" w:rsidRDefault="002A440F" w:rsidP="002A440F">
            <w:pPr>
              <w:spacing w:line="240" w:lineRule="auto"/>
              <w:jc w:val="center"/>
              <w:rPr>
                <w:rFonts w:eastAsia="Times New Roman" w:cs="Times New Roman"/>
                <w:b/>
                <w:lang w:eastAsia="cs-CZ"/>
              </w:rPr>
            </w:pPr>
            <w:r w:rsidRPr="00C72FB2">
              <w:rPr>
                <w:rFonts w:eastAsia="Times New Roman" w:cs="Times New Roman"/>
                <w:b/>
                <w:lang w:eastAsia="cs-CZ"/>
              </w:rPr>
              <w:t>Index          202</w:t>
            </w:r>
            <w:r>
              <w:rPr>
                <w:rFonts w:eastAsia="Times New Roman" w:cs="Times New Roman"/>
                <w:b/>
                <w:lang w:eastAsia="cs-CZ"/>
              </w:rPr>
              <w:t>3</w:t>
            </w:r>
            <w:r w:rsidRPr="00C72FB2">
              <w:rPr>
                <w:rFonts w:eastAsia="Times New Roman" w:cs="Times New Roman"/>
                <w:b/>
                <w:lang w:eastAsia="cs-CZ"/>
              </w:rPr>
              <w:t>/</w:t>
            </w:r>
            <w:r w:rsidRPr="00C72FB2">
              <w:rPr>
                <w:rFonts w:eastAsia="Times New Roman" w:cs="Times New Roman"/>
                <w:b/>
                <w:lang w:eastAsia="cs-CZ"/>
              </w:rPr>
              <w:br/>
              <w:t>202</w:t>
            </w:r>
            <w:r>
              <w:rPr>
                <w:rFonts w:eastAsia="Times New Roman" w:cs="Times New Roman"/>
                <w:b/>
                <w:lang w:eastAsia="cs-CZ"/>
              </w:rPr>
              <w:t>2</w:t>
            </w:r>
            <w:r w:rsidRPr="00C72FB2">
              <w:rPr>
                <w:rFonts w:eastAsia="Times New Roman" w:cs="Times New Roman"/>
                <w:b/>
                <w:lang w:eastAsia="cs-CZ"/>
              </w:rPr>
              <w:t xml:space="preserve">      (v %)</w:t>
            </w:r>
          </w:p>
        </w:tc>
      </w:tr>
      <w:tr w:rsidR="002A440F" w:rsidRPr="00E8518E" w14:paraId="46A9B2F0" w14:textId="77777777" w:rsidTr="002A440F">
        <w:trPr>
          <w:trHeight w:val="255"/>
        </w:trPr>
        <w:tc>
          <w:tcPr>
            <w:tcW w:w="2334" w:type="pct"/>
            <w:tcBorders>
              <w:top w:val="single" w:sz="4" w:space="0" w:color="7F7F7F" w:themeColor="text1" w:themeTint="80"/>
              <w:left w:val="single" w:sz="8" w:space="0" w:color="7F7F7F" w:themeColor="text1" w:themeTint="80"/>
              <w:bottom w:val="single" w:sz="4" w:space="0" w:color="7F7F7F" w:themeColor="text1" w:themeTint="80"/>
              <w:right w:val="single" w:sz="4" w:space="0" w:color="auto"/>
            </w:tcBorders>
            <w:shd w:val="clear" w:color="auto" w:fill="auto"/>
            <w:noWrap/>
            <w:vAlign w:val="bottom"/>
          </w:tcPr>
          <w:p w14:paraId="0A9B82FF" w14:textId="77777777" w:rsidR="002A440F" w:rsidRPr="00212181" w:rsidRDefault="002A440F" w:rsidP="002A440F">
            <w:pPr>
              <w:spacing w:line="240" w:lineRule="auto"/>
              <w:jc w:val="center"/>
              <w:rPr>
                <w:rFonts w:eastAsia="Times New Roman" w:cs="Times New Roman"/>
                <w:lang w:eastAsia="cs-CZ"/>
              </w:rPr>
            </w:pPr>
            <w:r w:rsidRPr="00212181">
              <w:rPr>
                <w:rFonts w:eastAsia="Times New Roman" w:cs="Times New Roman"/>
                <w:lang w:eastAsia="cs-CZ"/>
              </w:rPr>
              <w:t>a</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0AFD2FCE" w14:textId="77777777" w:rsidR="002A440F" w:rsidRPr="00212181" w:rsidRDefault="002A440F" w:rsidP="002A440F">
            <w:pPr>
              <w:spacing w:line="240" w:lineRule="auto"/>
              <w:jc w:val="center"/>
              <w:rPr>
                <w:rFonts w:eastAsia="Times New Roman" w:cs="Times New Roman"/>
                <w:lang w:eastAsia="cs-CZ"/>
              </w:rPr>
            </w:pPr>
            <w:r w:rsidRPr="00212181">
              <w:rPr>
                <w:rFonts w:eastAsia="Times New Roman" w:cs="Times New Roman"/>
                <w:lang w:eastAsia="cs-CZ"/>
              </w:rPr>
              <w:t>1</w:t>
            </w:r>
          </w:p>
        </w:tc>
        <w:tc>
          <w:tcPr>
            <w:tcW w:w="711"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2E1FAA09" w14:textId="77777777" w:rsidR="002A440F" w:rsidRPr="00AA47D4" w:rsidRDefault="002A440F" w:rsidP="002A440F">
            <w:pPr>
              <w:spacing w:line="240" w:lineRule="auto"/>
              <w:jc w:val="center"/>
              <w:rPr>
                <w:rFonts w:eastAsia="Times New Roman" w:cs="Times New Roman"/>
                <w:lang w:eastAsia="cs-CZ"/>
              </w:rPr>
            </w:pPr>
            <w:r w:rsidRPr="00AA47D4">
              <w:rPr>
                <w:rFonts w:eastAsia="Times New Roman" w:cs="Times New Roman"/>
                <w:lang w:eastAsia="cs-CZ"/>
              </w:rPr>
              <w:t>2</w:t>
            </w:r>
          </w:p>
        </w:tc>
        <w:tc>
          <w:tcPr>
            <w:tcW w:w="740" w:type="pct"/>
            <w:tcBorders>
              <w:top w:val="single" w:sz="4" w:space="0" w:color="7F7F7F" w:themeColor="text1" w:themeTint="80"/>
              <w:left w:val="single" w:sz="4" w:space="0" w:color="auto"/>
              <w:bottom w:val="single" w:sz="4" w:space="0" w:color="7F7F7F" w:themeColor="text1" w:themeTint="80"/>
              <w:right w:val="single" w:sz="4" w:space="0" w:color="auto"/>
            </w:tcBorders>
            <w:shd w:val="clear" w:color="auto" w:fill="auto"/>
            <w:noWrap/>
            <w:vAlign w:val="bottom"/>
          </w:tcPr>
          <w:p w14:paraId="0FCAD797" w14:textId="77777777" w:rsidR="002A440F" w:rsidRPr="00E8518E" w:rsidRDefault="002A440F" w:rsidP="002A440F">
            <w:pPr>
              <w:spacing w:line="240" w:lineRule="auto"/>
              <w:jc w:val="center"/>
              <w:rPr>
                <w:rFonts w:eastAsia="Times New Roman" w:cs="Times New Roman"/>
                <w:color w:val="FF0000"/>
                <w:lang w:eastAsia="cs-CZ"/>
              </w:rPr>
            </w:pPr>
            <w:r w:rsidRPr="00423EF1">
              <w:rPr>
                <w:rFonts w:eastAsia="Times New Roman" w:cs="Times New Roman"/>
                <w:lang w:eastAsia="cs-CZ"/>
              </w:rPr>
              <w:t>3</w:t>
            </w:r>
          </w:p>
        </w:tc>
        <w:tc>
          <w:tcPr>
            <w:tcW w:w="504" w:type="pct"/>
            <w:tcBorders>
              <w:top w:val="single" w:sz="4" w:space="0" w:color="7F7F7F" w:themeColor="text1" w:themeTint="80"/>
              <w:left w:val="single" w:sz="4" w:space="0" w:color="auto"/>
              <w:bottom w:val="single" w:sz="4" w:space="0" w:color="7F7F7F" w:themeColor="text1" w:themeTint="80"/>
              <w:right w:val="single" w:sz="8" w:space="0" w:color="7F7F7F" w:themeColor="text1" w:themeTint="80"/>
            </w:tcBorders>
            <w:shd w:val="clear" w:color="auto" w:fill="auto"/>
            <w:noWrap/>
            <w:vAlign w:val="bottom"/>
          </w:tcPr>
          <w:p w14:paraId="73BD77CC" w14:textId="77777777" w:rsidR="002A440F" w:rsidRPr="00E8518E" w:rsidRDefault="002A440F" w:rsidP="002A440F">
            <w:pPr>
              <w:spacing w:line="240" w:lineRule="auto"/>
              <w:jc w:val="center"/>
              <w:rPr>
                <w:rFonts w:eastAsia="Times New Roman" w:cs="Times New Roman"/>
                <w:color w:val="FF0000"/>
                <w:lang w:eastAsia="cs-CZ"/>
              </w:rPr>
            </w:pPr>
            <w:r w:rsidRPr="00423EF1">
              <w:rPr>
                <w:rFonts w:eastAsia="Times New Roman" w:cs="Times New Roman"/>
                <w:lang w:eastAsia="cs-CZ"/>
              </w:rPr>
              <w:t>4</w:t>
            </w:r>
          </w:p>
        </w:tc>
      </w:tr>
      <w:tr w:rsidR="002A440F" w:rsidRPr="00E8518E" w14:paraId="063FC201" w14:textId="77777777" w:rsidTr="002A440F">
        <w:trPr>
          <w:trHeight w:val="326"/>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77427554" w14:textId="77777777" w:rsidR="002A440F" w:rsidRPr="00212181" w:rsidRDefault="002A440F" w:rsidP="002A440F">
            <w:pPr>
              <w:spacing w:line="240" w:lineRule="auto"/>
              <w:rPr>
                <w:rFonts w:eastAsia="Times New Roman" w:cs="Times New Roman"/>
                <w:b/>
                <w:bCs/>
                <w:lang w:eastAsia="cs-CZ"/>
              </w:rPr>
            </w:pPr>
            <w:r w:rsidRPr="00212181">
              <w:rPr>
                <w:rFonts w:eastAsia="Times New Roman" w:cs="Times New Roman"/>
                <w:b/>
                <w:bCs/>
                <w:lang w:eastAsia="cs-CZ"/>
              </w:rPr>
              <w:t xml:space="preserve">Investiční nákupy a související výdaje organizačních složek státu </w:t>
            </w:r>
            <w:r w:rsidRPr="00212181">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4B9C170B" w14:textId="77777777" w:rsidR="002A440F" w:rsidRPr="00AD2875" w:rsidRDefault="002A440F" w:rsidP="002A440F">
            <w:pPr>
              <w:jc w:val="right"/>
              <w:rPr>
                <w:rFonts w:eastAsia="Times New Roman" w:cs="Times New Roman"/>
                <w:b/>
                <w:bCs/>
                <w:lang w:eastAsia="cs-CZ"/>
              </w:rPr>
            </w:pPr>
            <w:r>
              <w:rPr>
                <w:rFonts w:eastAsia="Times New Roman" w:cs="Times New Roman"/>
                <w:b/>
                <w:bCs/>
                <w:lang w:eastAsia="cs-CZ"/>
              </w:rPr>
              <w:t>74 373</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14:paraId="3E2CE0D4" w14:textId="77777777" w:rsidR="002A440F" w:rsidRPr="00AA47D4" w:rsidRDefault="002A440F" w:rsidP="002A440F">
            <w:pPr>
              <w:jc w:val="right"/>
              <w:rPr>
                <w:rFonts w:eastAsia="Times New Roman" w:cs="Times New Roman"/>
                <w:b/>
                <w:bCs/>
                <w:lang w:eastAsia="cs-CZ"/>
              </w:rPr>
            </w:pPr>
            <w:r w:rsidRPr="00AA47D4">
              <w:rPr>
                <w:rFonts w:eastAsia="Times New Roman" w:cs="Times New Roman"/>
                <w:b/>
                <w:bCs/>
                <w:lang w:eastAsia="cs-CZ"/>
              </w:rPr>
              <w:t>77 722</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5ABA0B11" w14:textId="77777777" w:rsidR="002A440F" w:rsidRPr="001043BF" w:rsidRDefault="002A440F" w:rsidP="002A440F">
            <w:pPr>
              <w:jc w:val="right"/>
              <w:rPr>
                <w:rFonts w:eastAsia="Times New Roman" w:cs="Times New Roman"/>
                <w:b/>
                <w:bCs/>
                <w:lang w:eastAsia="cs-CZ"/>
              </w:rPr>
            </w:pPr>
            <w:r>
              <w:rPr>
                <w:rFonts w:eastAsia="Times New Roman" w:cs="Times New Roman"/>
                <w:b/>
                <w:bCs/>
                <w:lang w:eastAsia="cs-CZ"/>
              </w:rPr>
              <w:t>9</w:t>
            </w:r>
            <w:r w:rsidRPr="001043BF">
              <w:rPr>
                <w:rFonts w:eastAsia="Times New Roman" w:cs="Times New Roman"/>
                <w:b/>
                <w:bCs/>
                <w:lang w:eastAsia="cs-CZ"/>
              </w:rPr>
              <w:t>7 534</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2E477427" w14:textId="77777777" w:rsidR="002A440F" w:rsidRPr="00226D69" w:rsidRDefault="002A440F" w:rsidP="002A440F">
            <w:pPr>
              <w:jc w:val="right"/>
              <w:rPr>
                <w:rFonts w:eastAsia="Times New Roman" w:cs="Times New Roman"/>
                <w:b/>
                <w:bCs/>
                <w:lang w:eastAsia="cs-CZ"/>
              </w:rPr>
            </w:pPr>
            <w:r>
              <w:rPr>
                <w:rFonts w:eastAsia="Times New Roman" w:cs="Times New Roman"/>
                <w:b/>
                <w:bCs/>
                <w:lang w:eastAsia="cs-CZ"/>
              </w:rPr>
              <w:t>125,49</w:t>
            </w:r>
          </w:p>
        </w:tc>
      </w:tr>
      <w:tr w:rsidR="002A440F" w:rsidRPr="00E8518E" w14:paraId="0E562547" w14:textId="77777777" w:rsidTr="002A440F">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57025EED"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 xml:space="preserve">prostředky SR  </w:t>
            </w:r>
          </w:p>
        </w:tc>
        <w:tc>
          <w:tcPr>
            <w:tcW w:w="711" w:type="pct"/>
            <w:tcBorders>
              <w:left w:val="single" w:sz="2" w:space="0" w:color="auto"/>
              <w:right w:val="single" w:sz="2" w:space="0" w:color="auto"/>
            </w:tcBorders>
            <w:shd w:val="clear" w:color="auto" w:fill="auto"/>
            <w:noWrap/>
            <w:vAlign w:val="bottom"/>
          </w:tcPr>
          <w:p w14:paraId="11009DA4"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74 235</w:t>
            </w:r>
          </w:p>
        </w:tc>
        <w:tc>
          <w:tcPr>
            <w:tcW w:w="711" w:type="pct"/>
            <w:tcBorders>
              <w:left w:val="single" w:sz="4" w:space="0" w:color="auto"/>
              <w:right w:val="single" w:sz="4" w:space="0" w:color="auto"/>
            </w:tcBorders>
            <w:shd w:val="clear" w:color="auto" w:fill="auto"/>
            <w:noWrap/>
            <w:vAlign w:val="bottom"/>
          </w:tcPr>
          <w:p w14:paraId="5FAC5380"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74 297</w:t>
            </w:r>
          </w:p>
        </w:tc>
        <w:tc>
          <w:tcPr>
            <w:tcW w:w="740" w:type="pct"/>
            <w:tcBorders>
              <w:left w:val="single" w:sz="2" w:space="0" w:color="auto"/>
              <w:right w:val="single" w:sz="2" w:space="0" w:color="auto"/>
            </w:tcBorders>
            <w:shd w:val="clear" w:color="auto" w:fill="auto"/>
            <w:noWrap/>
            <w:vAlign w:val="bottom"/>
          </w:tcPr>
          <w:p w14:paraId="710C34CE" w14:textId="77777777" w:rsidR="002A440F" w:rsidRPr="001043BF" w:rsidRDefault="002A440F" w:rsidP="002A440F">
            <w:pPr>
              <w:jc w:val="right"/>
              <w:rPr>
                <w:rFonts w:eastAsia="Times New Roman" w:cs="Times New Roman"/>
                <w:lang w:eastAsia="cs-CZ"/>
              </w:rPr>
            </w:pPr>
            <w:r>
              <w:rPr>
                <w:rFonts w:eastAsia="Times New Roman" w:cs="Times New Roman"/>
                <w:lang w:eastAsia="cs-CZ"/>
              </w:rPr>
              <w:t>9</w:t>
            </w:r>
            <w:r w:rsidRPr="001043BF">
              <w:rPr>
                <w:rFonts w:eastAsia="Times New Roman" w:cs="Times New Roman"/>
                <w:lang w:eastAsia="cs-CZ"/>
              </w:rPr>
              <w:t>7 534</w:t>
            </w:r>
          </w:p>
        </w:tc>
        <w:tc>
          <w:tcPr>
            <w:tcW w:w="504" w:type="pct"/>
            <w:tcBorders>
              <w:left w:val="single" w:sz="2" w:space="0" w:color="auto"/>
              <w:right w:val="single" w:sz="5" w:space="0" w:color="7F7F7F" w:themeColor="text1" w:themeTint="80"/>
            </w:tcBorders>
            <w:shd w:val="clear" w:color="auto" w:fill="auto"/>
            <w:noWrap/>
            <w:vAlign w:val="bottom"/>
          </w:tcPr>
          <w:p w14:paraId="7C52C4D5" w14:textId="77777777" w:rsidR="002A440F" w:rsidRPr="00226D69" w:rsidRDefault="002A440F" w:rsidP="002A440F">
            <w:pPr>
              <w:jc w:val="right"/>
              <w:rPr>
                <w:rFonts w:eastAsia="Times New Roman" w:cs="Times New Roman"/>
                <w:lang w:eastAsia="cs-CZ"/>
              </w:rPr>
            </w:pPr>
            <w:r>
              <w:rPr>
                <w:rFonts w:eastAsia="Times New Roman" w:cs="Times New Roman"/>
                <w:lang w:eastAsia="cs-CZ"/>
              </w:rPr>
              <w:t>131,28</w:t>
            </w:r>
          </w:p>
        </w:tc>
      </w:tr>
      <w:tr w:rsidR="002A440F" w:rsidRPr="00E8518E" w14:paraId="02DD7C72" w14:textId="77777777" w:rsidTr="002A440F">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19E0DF0D"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 xml:space="preserve">prostředky z fondů EU </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62D9A96C"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138</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14:paraId="53457ACF"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3 425</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2B854A97" w14:textId="77777777" w:rsidR="002A440F" w:rsidRPr="001043BF" w:rsidRDefault="002A440F" w:rsidP="002A440F">
            <w:pPr>
              <w:jc w:val="right"/>
              <w:rPr>
                <w:rFonts w:eastAsia="Times New Roman" w:cs="Times New Roman"/>
                <w:lang w:eastAsia="cs-CZ"/>
              </w:rPr>
            </w:pPr>
            <w:r w:rsidRPr="001043BF">
              <w:rPr>
                <w:rFonts w:eastAsia="Times New Roman" w:cs="Times New Roman"/>
                <w:lang w:eastAsia="cs-CZ"/>
              </w:rPr>
              <w:t>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338B5235" w14:textId="77777777" w:rsidR="002A440F" w:rsidRPr="00226D69" w:rsidRDefault="002A440F" w:rsidP="002A440F">
            <w:pPr>
              <w:jc w:val="right"/>
              <w:rPr>
                <w:rFonts w:eastAsia="Times New Roman" w:cs="Times New Roman"/>
                <w:lang w:eastAsia="cs-CZ"/>
              </w:rPr>
            </w:pPr>
            <w:r w:rsidRPr="00226D69">
              <w:rPr>
                <w:rFonts w:eastAsia="Times New Roman" w:cs="Times New Roman"/>
                <w:lang w:eastAsia="cs-CZ"/>
              </w:rPr>
              <w:t>0,00</w:t>
            </w:r>
          </w:p>
        </w:tc>
      </w:tr>
      <w:tr w:rsidR="002A440F" w:rsidRPr="00E8518E" w14:paraId="1649264D" w14:textId="77777777" w:rsidTr="002A440F">
        <w:trPr>
          <w:trHeight w:val="527"/>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05FBD5F1" w14:textId="77777777" w:rsidR="002A440F" w:rsidRPr="00212181" w:rsidRDefault="002A440F" w:rsidP="002A440F">
            <w:pPr>
              <w:spacing w:line="240" w:lineRule="auto"/>
              <w:rPr>
                <w:rFonts w:eastAsia="Times New Roman" w:cs="Times New Roman"/>
                <w:bCs/>
                <w:lang w:eastAsia="cs-CZ"/>
              </w:rPr>
            </w:pPr>
            <w:r w:rsidRPr="00212181">
              <w:rPr>
                <w:rFonts w:eastAsia="Times New Roman" w:cs="Times New Roman"/>
                <w:b/>
                <w:bCs/>
                <w:lang w:eastAsia="cs-CZ"/>
              </w:rPr>
              <w:t xml:space="preserve">Investiční transfery příspěvkovým </w:t>
            </w:r>
            <w:r w:rsidRPr="00212181">
              <w:rPr>
                <w:rFonts w:eastAsia="Times New Roman" w:cs="Times New Roman"/>
                <w:b/>
                <w:bCs/>
                <w:lang w:eastAsia="cs-CZ"/>
              </w:rPr>
              <w:br/>
              <w:t xml:space="preserve">a podobným organizacím </w:t>
            </w:r>
            <w:r w:rsidRPr="00212181">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294B3EB2" w14:textId="77777777" w:rsidR="002A440F" w:rsidRPr="00AD2875" w:rsidRDefault="002A440F" w:rsidP="002A440F">
            <w:pPr>
              <w:jc w:val="right"/>
              <w:rPr>
                <w:rFonts w:eastAsia="Times New Roman" w:cs="Times New Roman"/>
                <w:b/>
                <w:bCs/>
                <w:lang w:eastAsia="cs-CZ"/>
              </w:rPr>
            </w:pPr>
            <w:r w:rsidRPr="00AD2875">
              <w:rPr>
                <w:rFonts w:eastAsia="Times New Roman" w:cs="Times New Roman"/>
                <w:b/>
                <w:bCs/>
                <w:lang w:eastAsia="cs-CZ"/>
              </w:rPr>
              <w:t>44 137</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14:paraId="46B0E95A" w14:textId="77777777" w:rsidR="002A440F" w:rsidRPr="00AA47D4" w:rsidRDefault="002A440F" w:rsidP="002A440F">
            <w:pPr>
              <w:jc w:val="right"/>
              <w:rPr>
                <w:rFonts w:eastAsia="Times New Roman" w:cs="Times New Roman"/>
                <w:b/>
                <w:bCs/>
                <w:lang w:eastAsia="cs-CZ"/>
              </w:rPr>
            </w:pPr>
            <w:r w:rsidRPr="00AA47D4">
              <w:rPr>
                <w:rFonts w:eastAsia="Times New Roman" w:cs="Times New Roman"/>
                <w:b/>
                <w:bCs/>
                <w:lang w:eastAsia="cs-CZ"/>
              </w:rPr>
              <w:t>214 396</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0BF50338" w14:textId="77777777" w:rsidR="002A440F" w:rsidRPr="001043BF" w:rsidRDefault="002A440F" w:rsidP="002A440F">
            <w:pPr>
              <w:jc w:val="right"/>
              <w:rPr>
                <w:rFonts w:eastAsia="Times New Roman" w:cs="Times New Roman"/>
                <w:b/>
                <w:bCs/>
                <w:lang w:eastAsia="cs-CZ"/>
              </w:rPr>
            </w:pPr>
            <w:r w:rsidRPr="001043BF">
              <w:rPr>
                <w:rFonts w:eastAsia="Times New Roman" w:cs="Times New Roman"/>
                <w:b/>
                <w:bCs/>
                <w:lang w:eastAsia="cs-CZ"/>
              </w:rPr>
              <w:t>322 241</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51892B26" w14:textId="77777777" w:rsidR="002A440F" w:rsidRPr="00226D69" w:rsidRDefault="002A440F" w:rsidP="002A440F">
            <w:pPr>
              <w:jc w:val="right"/>
              <w:rPr>
                <w:rFonts w:eastAsia="Times New Roman" w:cs="Times New Roman"/>
                <w:b/>
                <w:bCs/>
                <w:lang w:eastAsia="cs-CZ"/>
              </w:rPr>
            </w:pPr>
            <w:r>
              <w:rPr>
                <w:rFonts w:eastAsia="Times New Roman" w:cs="Times New Roman"/>
                <w:b/>
                <w:bCs/>
                <w:lang w:eastAsia="cs-CZ"/>
              </w:rPr>
              <w:t>150,30</w:t>
            </w:r>
          </w:p>
        </w:tc>
      </w:tr>
      <w:tr w:rsidR="002A440F" w:rsidRPr="00E8518E" w14:paraId="0CA3B967" w14:textId="77777777" w:rsidTr="002A440F">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0F4F151E"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67E9DBC4"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266</w:t>
            </w:r>
          </w:p>
        </w:tc>
        <w:tc>
          <w:tcPr>
            <w:tcW w:w="711" w:type="pct"/>
            <w:tcBorders>
              <w:left w:val="single" w:sz="4" w:space="0" w:color="auto"/>
              <w:right w:val="single" w:sz="4" w:space="0" w:color="auto"/>
            </w:tcBorders>
            <w:shd w:val="clear" w:color="auto" w:fill="auto"/>
            <w:noWrap/>
            <w:vAlign w:val="bottom"/>
          </w:tcPr>
          <w:p w14:paraId="11A0CD11"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0</w:t>
            </w:r>
          </w:p>
        </w:tc>
        <w:tc>
          <w:tcPr>
            <w:tcW w:w="740" w:type="pct"/>
            <w:tcBorders>
              <w:left w:val="single" w:sz="2" w:space="0" w:color="auto"/>
              <w:right w:val="single" w:sz="2" w:space="0" w:color="auto"/>
            </w:tcBorders>
            <w:shd w:val="clear" w:color="auto" w:fill="auto"/>
            <w:noWrap/>
            <w:vAlign w:val="bottom"/>
          </w:tcPr>
          <w:p w14:paraId="60E7B700" w14:textId="77777777" w:rsidR="002A440F" w:rsidRPr="001043BF" w:rsidRDefault="002A440F" w:rsidP="002A440F">
            <w:pPr>
              <w:jc w:val="right"/>
              <w:rPr>
                <w:rFonts w:eastAsia="Times New Roman" w:cs="Times New Roman"/>
                <w:lang w:eastAsia="cs-CZ"/>
              </w:rPr>
            </w:pPr>
            <w:r w:rsidRPr="001043BF">
              <w:rPr>
                <w:rFonts w:eastAsia="Times New Roman" w:cs="Times New Roman"/>
                <w:lang w:eastAsia="cs-CZ"/>
              </w:rPr>
              <w:t>0</w:t>
            </w:r>
          </w:p>
        </w:tc>
        <w:tc>
          <w:tcPr>
            <w:tcW w:w="504" w:type="pct"/>
            <w:tcBorders>
              <w:left w:val="single" w:sz="2" w:space="0" w:color="auto"/>
              <w:right w:val="single" w:sz="5" w:space="0" w:color="7F7F7F" w:themeColor="text1" w:themeTint="80"/>
            </w:tcBorders>
            <w:shd w:val="clear" w:color="auto" w:fill="auto"/>
            <w:noWrap/>
            <w:vAlign w:val="bottom"/>
          </w:tcPr>
          <w:p w14:paraId="34647330" w14:textId="77777777" w:rsidR="002A440F" w:rsidRPr="00226D69" w:rsidRDefault="002A440F" w:rsidP="002A440F">
            <w:pPr>
              <w:jc w:val="right"/>
              <w:rPr>
                <w:rFonts w:eastAsia="Times New Roman" w:cs="Times New Roman"/>
                <w:lang w:eastAsia="cs-CZ"/>
              </w:rPr>
            </w:pPr>
            <w:r w:rsidRPr="00226D69">
              <w:rPr>
                <w:rFonts w:eastAsia="Times New Roman" w:cs="Times New Roman"/>
                <w:lang w:eastAsia="cs-CZ"/>
              </w:rPr>
              <w:t>x</w:t>
            </w:r>
          </w:p>
        </w:tc>
      </w:tr>
      <w:tr w:rsidR="002A440F" w:rsidRPr="00E8518E" w14:paraId="794509A6" w14:textId="77777777" w:rsidTr="002A440F">
        <w:trPr>
          <w:trHeight w:val="255"/>
        </w:trPr>
        <w:tc>
          <w:tcPr>
            <w:tcW w:w="2334" w:type="pct"/>
            <w:tcBorders>
              <w:left w:val="single" w:sz="8" w:space="0" w:color="7F7F7F" w:themeColor="text1" w:themeTint="80"/>
              <w:right w:val="single" w:sz="4" w:space="0" w:color="auto"/>
            </w:tcBorders>
            <w:shd w:val="clear" w:color="auto" w:fill="auto"/>
            <w:vAlign w:val="bottom"/>
          </w:tcPr>
          <w:p w14:paraId="000C6A68"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z fondů EU</w:t>
            </w:r>
          </w:p>
        </w:tc>
        <w:tc>
          <w:tcPr>
            <w:tcW w:w="711" w:type="pct"/>
            <w:tcBorders>
              <w:left w:val="single" w:sz="2" w:space="0" w:color="auto"/>
              <w:right w:val="single" w:sz="2" w:space="0" w:color="auto"/>
            </w:tcBorders>
            <w:shd w:val="clear" w:color="auto" w:fill="auto"/>
            <w:noWrap/>
            <w:vAlign w:val="bottom"/>
          </w:tcPr>
          <w:p w14:paraId="775ABDEB"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2 964</w:t>
            </w:r>
          </w:p>
        </w:tc>
        <w:tc>
          <w:tcPr>
            <w:tcW w:w="711" w:type="pct"/>
            <w:tcBorders>
              <w:left w:val="single" w:sz="4" w:space="0" w:color="auto"/>
              <w:right w:val="single" w:sz="4" w:space="0" w:color="auto"/>
            </w:tcBorders>
            <w:shd w:val="clear" w:color="auto" w:fill="auto"/>
            <w:noWrap/>
            <w:vAlign w:val="bottom"/>
          </w:tcPr>
          <w:p w14:paraId="6F34CBAB"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197 793</w:t>
            </w:r>
          </w:p>
        </w:tc>
        <w:tc>
          <w:tcPr>
            <w:tcW w:w="740" w:type="pct"/>
            <w:tcBorders>
              <w:left w:val="single" w:sz="2" w:space="0" w:color="auto"/>
              <w:right w:val="single" w:sz="2" w:space="0" w:color="auto"/>
            </w:tcBorders>
            <w:shd w:val="clear" w:color="auto" w:fill="auto"/>
            <w:noWrap/>
            <w:vAlign w:val="bottom"/>
          </w:tcPr>
          <w:p w14:paraId="57764AF1" w14:textId="77777777" w:rsidR="002A440F" w:rsidRPr="001043BF" w:rsidRDefault="002A440F" w:rsidP="002A440F">
            <w:pPr>
              <w:jc w:val="right"/>
              <w:rPr>
                <w:rFonts w:eastAsia="Times New Roman" w:cs="Times New Roman"/>
                <w:lang w:eastAsia="cs-CZ"/>
              </w:rPr>
            </w:pPr>
            <w:r w:rsidRPr="001043BF">
              <w:rPr>
                <w:rFonts w:eastAsia="Times New Roman" w:cs="Times New Roman"/>
                <w:lang w:eastAsia="cs-CZ"/>
              </w:rPr>
              <w:t>292 241</w:t>
            </w:r>
          </w:p>
        </w:tc>
        <w:tc>
          <w:tcPr>
            <w:tcW w:w="504" w:type="pct"/>
            <w:tcBorders>
              <w:left w:val="single" w:sz="2" w:space="0" w:color="auto"/>
              <w:right w:val="single" w:sz="5" w:space="0" w:color="7F7F7F" w:themeColor="text1" w:themeTint="80"/>
            </w:tcBorders>
            <w:shd w:val="clear" w:color="auto" w:fill="auto"/>
            <w:noWrap/>
            <w:vAlign w:val="bottom"/>
          </w:tcPr>
          <w:p w14:paraId="7025E813" w14:textId="77777777" w:rsidR="002A440F" w:rsidRPr="00226D69" w:rsidRDefault="002A440F" w:rsidP="002A440F">
            <w:pPr>
              <w:jc w:val="right"/>
              <w:rPr>
                <w:rFonts w:eastAsia="Times New Roman" w:cs="Times New Roman"/>
                <w:lang w:eastAsia="cs-CZ"/>
              </w:rPr>
            </w:pPr>
            <w:r w:rsidRPr="00226D69">
              <w:rPr>
                <w:rFonts w:eastAsia="Times New Roman" w:cs="Times New Roman"/>
                <w:lang w:eastAsia="cs-CZ"/>
              </w:rPr>
              <w:t>147,75</w:t>
            </w:r>
          </w:p>
        </w:tc>
      </w:tr>
      <w:tr w:rsidR="002A440F" w:rsidRPr="00E8518E" w14:paraId="5D1B7480" w14:textId="77777777" w:rsidTr="002A440F">
        <w:trPr>
          <w:trHeight w:val="255"/>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6890231B"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výzkum, vývoj a inovace</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7C9FC21C"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40 907</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14:paraId="17E69D51"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16 603</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052DEAB2" w14:textId="77777777" w:rsidR="002A440F" w:rsidRPr="001043BF" w:rsidRDefault="002A440F" w:rsidP="002A440F">
            <w:pPr>
              <w:jc w:val="right"/>
              <w:rPr>
                <w:rFonts w:eastAsia="Times New Roman" w:cs="Times New Roman"/>
                <w:lang w:eastAsia="cs-CZ"/>
              </w:rPr>
            </w:pPr>
            <w:r w:rsidRPr="001043BF">
              <w:rPr>
                <w:rFonts w:eastAsia="Times New Roman" w:cs="Times New Roman"/>
                <w:lang w:eastAsia="cs-CZ"/>
              </w:rPr>
              <w:t>30 000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4D915FF7" w14:textId="77777777" w:rsidR="002A440F" w:rsidRPr="00226D69" w:rsidRDefault="002A440F" w:rsidP="002A440F">
            <w:pPr>
              <w:jc w:val="right"/>
              <w:rPr>
                <w:rFonts w:eastAsia="Times New Roman" w:cs="Times New Roman"/>
                <w:lang w:eastAsia="cs-CZ"/>
              </w:rPr>
            </w:pPr>
            <w:r w:rsidRPr="00226D69">
              <w:rPr>
                <w:rFonts w:eastAsia="Times New Roman" w:cs="Times New Roman"/>
                <w:lang w:eastAsia="cs-CZ"/>
              </w:rPr>
              <w:t>180,69</w:t>
            </w:r>
          </w:p>
        </w:tc>
      </w:tr>
      <w:tr w:rsidR="002A440F" w:rsidRPr="00E8518E" w14:paraId="0AAB2100" w14:textId="77777777" w:rsidTr="002A440F">
        <w:trPr>
          <w:trHeight w:val="5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01513050" w14:textId="77777777" w:rsidR="002A440F" w:rsidRDefault="002A440F" w:rsidP="002A440F">
            <w:pPr>
              <w:spacing w:line="240" w:lineRule="auto"/>
              <w:rPr>
                <w:rFonts w:eastAsia="Times New Roman" w:cs="Times New Roman"/>
                <w:b/>
                <w:bCs/>
                <w:lang w:eastAsia="cs-CZ"/>
              </w:rPr>
            </w:pPr>
            <w:r w:rsidRPr="00212181">
              <w:rPr>
                <w:rFonts w:eastAsia="Times New Roman" w:cs="Times New Roman"/>
                <w:b/>
                <w:bCs/>
                <w:lang w:eastAsia="cs-CZ"/>
              </w:rPr>
              <w:t xml:space="preserve">Investiční transfery </w:t>
            </w:r>
            <w:r>
              <w:rPr>
                <w:rFonts w:eastAsia="Times New Roman" w:cs="Times New Roman"/>
                <w:b/>
                <w:bCs/>
                <w:lang w:eastAsia="cs-CZ"/>
              </w:rPr>
              <w:t>podnikatelům</w:t>
            </w:r>
          </w:p>
          <w:p w14:paraId="22B7306D" w14:textId="77777777" w:rsidR="002A440F" w:rsidRPr="00212181" w:rsidRDefault="002A440F" w:rsidP="002A440F">
            <w:pPr>
              <w:spacing w:line="240" w:lineRule="auto"/>
              <w:rPr>
                <w:rFonts w:eastAsia="Times New Roman" w:cs="Times New Roman"/>
                <w:bCs/>
                <w:lang w:eastAsia="cs-CZ"/>
              </w:rPr>
            </w:pPr>
            <w:r w:rsidRPr="00212181">
              <w:rPr>
                <w:rFonts w:eastAsia="Times New Roman" w:cs="Times New Roman"/>
                <w:bCs/>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68C98463" w14:textId="77777777" w:rsidR="002A440F" w:rsidRPr="00AD2875" w:rsidRDefault="002A440F" w:rsidP="002A440F">
            <w:pPr>
              <w:jc w:val="right"/>
              <w:rPr>
                <w:rFonts w:eastAsia="Times New Roman" w:cs="Times New Roman"/>
                <w:b/>
                <w:bCs/>
                <w:lang w:eastAsia="cs-CZ"/>
              </w:rPr>
            </w:pPr>
            <w:r w:rsidRPr="00AD2875">
              <w:rPr>
                <w:rFonts w:eastAsia="Times New Roman" w:cs="Times New Roman"/>
                <w:b/>
                <w:bCs/>
                <w:lang w:eastAsia="cs-CZ"/>
              </w:rPr>
              <w:t>81 735</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14:paraId="15E8B78D" w14:textId="77777777" w:rsidR="002A440F" w:rsidRPr="00AA47D4" w:rsidRDefault="002A440F" w:rsidP="002A440F">
            <w:pPr>
              <w:jc w:val="right"/>
              <w:rPr>
                <w:rFonts w:eastAsia="Times New Roman" w:cs="Times New Roman"/>
                <w:b/>
                <w:bCs/>
                <w:lang w:eastAsia="cs-CZ"/>
              </w:rPr>
            </w:pPr>
            <w:r w:rsidRPr="00AA47D4">
              <w:rPr>
                <w:rFonts w:eastAsia="Times New Roman" w:cs="Times New Roman"/>
                <w:b/>
                <w:bCs/>
                <w:lang w:eastAsia="cs-CZ"/>
              </w:rPr>
              <w:t>3 806 277</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1BD65578" w14:textId="77777777" w:rsidR="002A440F" w:rsidRPr="00A34E1E" w:rsidRDefault="002A440F" w:rsidP="002A440F">
            <w:pPr>
              <w:jc w:val="right"/>
              <w:rPr>
                <w:rFonts w:eastAsia="Times New Roman" w:cs="Times New Roman"/>
                <w:b/>
                <w:bCs/>
                <w:lang w:eastAsia="cs-CZ"/>
              </w:rPr>
            </w:pPr>
            <w:r w:rsidRPr="00A34E1E">
              <w:rPr>
                <w:rFonts w:eastAsia="Times New Roman" w:cs="Times New Roman"/>
                <w:b/>
                <w:bCs/>
                <w:lang w:eastAsia="cs-CZ"/>
              </w:rPr>
              <w:t>310 000</w:t>
            </w:r>
          </w:p>
        </w:tc>
        <w:tc>
          <w:tcPr>
            <w:tcW w:w="504" w:type="pct"/>
            <w:tcBorders>
              <w:top w:val="single" w:sz="2" w:space="0" w:color="7F7F7F" w:themeColor="text1" w:themeTint="80"/>
              <w:left w:val="single" w:sz="2" w:space="0" w:color="auto"/>
              <w:right w:val="single" w:sz="5" w:space="0" w:color="7F7F7F" w:themeColor="text1" w:themeTint="80"/>
            </w:tcBorders>
            <w:shd w:val="clear" w:color="auto" w:fill="auto"/>
            <w:noWrap/>
            <w:vAlign w:val="bottom"/>
          </w:tcPr>
          <w:p w14:paraId="0899ADBF" w14:textId="77777777" w:rsidR="002A440F" w:rsidRPr="00473342" w:rsidRDefault="002A440F" w:rsidP="002A440F">
            <w:pPr>
              <w:jc w:val="right"/>
              <w:rPr>
                <w:rFonts w:eastAsia="Times New Roman" w:cs="Times New Roman"/>
                <w:b/>
                <w:bCs/>
                <w:lang w:eastAsia="cs-CZ"/>
              </w:rPr>
            </w:pPr>
            <w:r w:rsidRPr="00473342">
              <w:rPr>
                <w:rFonts w:eastAsia="Times New Roman" w:cs="Times New Roman"/>
                <w:b/>
                <w:bCs/>
                <w:lang w:eastAsia="cs-CZ"/>
              </w:rPr>
              <w:t>8,14</w:t>
            </w:r>
          </w:p>
        </w:tc>
      </w:tr>
      <w:tr w:rsidR="002A440F" w:rsidRPr="00E8518E" w14:paraId="793E0A6E" w14:textId="77777777" w:rsidTr="002A440F">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621DC1B5"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2A9D2C40"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0</w:t>
            </w:r>
          </w:p>
        </w:tc>
        <w:tc>
          <w:tcPr>
            <w:tcW w:w="711" w:type="pct"/>
            <w:tcBorders>
              <w:left w:val="single" w:sz="4" w:space="0" w:color="auto"/>
              <w:right w:val="single" w:sz="4" w:space="0" w:color="auto"/>
            </w:tcBorders>
            <w:shd w:val="clear" w:color="auto" w:fill="auto"/>
            <w:noWrap/>
            <w:vAlign w:val="bottom"/>
          </w:tcPr>
          <w:p w14:paraId="6AB75183"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0</w:t>
            </w:r>
          </w:p>
        </w:tc>
        <w:tc>
          <w:tcPr>
            <w:tcW w:w="740" w:type="pct"/>
            <w:tcBorders>
              <w:left w:val="single" w:sz="2" w:space="0" w:color="auto"/>
              <w:right w:val="single" w:sz="2" w:space="0" w:color="auto"/>
            </w:tcBorders>
            <w:shd w:val="clear" w:color="auto" w:fill="auto"/>
            <w:noWrap/>
            <w:vAlign w:val="bottom"/>
          </w:tcPr>
          <w:p w14:paraId="15BF0C9F" w14:textId="77777777" w:rsidR="002A440F" w:rsidRPr="00A34E1E" w:rsidRDefault="002A440F" w:rsidP="002A440F">
            <w:pPr>
              <w:jc w:val="right"/>
              <w:rPr>
                <w:rFonts w:eastAsia="Times New Roman" w:cs="Times New Roman"/>
                <w:lang w:eastAsia="cs-CZ"/>
              </w:rPr>
            </w:pPr>
            <w:r w:rsidRPr="00A34E1E">
              <w:rPr>
                <w:rFonts w:eastAsia="Times New Roman" w:cs="Times New Roman"/>
                <w:lang w:eastAsia="cs-CZ"/>
              </w:rPr>
              <w:t>0</w:t>
            </w:r>
          </w:p>
        </w:tc>
        <w:tc>
          <w:tcPr>
            <w:tcW w:w="504" w:type="pct"/>
            <w:tcBorders>
              <w:left w:val="single" w:sz="2" w:space="0" w:color="auto"/>
              <w:right w:val="single" w:sz="5" w:space="0" w:color="7F7F7F" w:themeColor="text1" w:themeTint="80"/>
            </w:tcBorders>
            <w:shd w:val="clear" w:color="auto" w:fill="auto"/>
            <w:noWrap/>
            <w:vAlign w:val="bottom"/>
          </w:tcPr>
          <w:p w14:paraId="5D53F72B" w14:textId="77777777" w:rsidR="002A440F" w:rsidRPr="00473342" w:rsidRDefault="002A440F" w:rsidP="002A440F">
            <w:pPr>
              <w:jc w:val="right"/>
              <w:rPr>
                <w:rFonts w:eastAsia="Times New Roman" w:cs="Times New Roman"/>
                <w:lang w:eastAsia="cs-CZ"/>
              </w:rPr>
            </w:pPr>
            <w:r w:rsidRPr="00473342">
              <w:rPr>
                <w:rFonts w:eastAsia="Times New Roman" w:cs="Times New Roman"/>
                <w:lang w:eastAsia="cs-CZ"/>
              </w:rPr>
              <w:t>x</w:t>
            </w:r>
          </w:p>
        </w:tc>
      </w:tr>
      <w:tr w:rsidR="002A440F" w:rsidRPr="00E8518E" w14:paraId="4D5C2953" w14:textId="77777777" w:rsidTr="002A440F">
        <w:trPr>
          <w:trHeight w:val="330"/>
        </w:trPr>
        <w:tc>
          <w:tcPr>
            <w:tcW w:w="2334" w:type="pct"/>
            <w:tcBorders>
              <w:left w:val="single" w:sz="8" w:space="0" w:color="7F7F7F" w:themeColor="text1" w:themeTint="80"/>
              <w:bottom w:val="single" w:sz="4" w:space="0" w:color="7F7F7F" w:themeColor="text1" w:themeTint="80"/>
              <w:right w:val="single" w:sz="4" w:space="0" w:color="auto"/>
            </w:tcBorders>
            <w:shd w:val="clear" w:color="auto" w:fill="auto"/>
            <w:vAlign w:val="bottom"/>
          </w:tcPr>
          <w:p w14:paraId="5C2307AF"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z fondů EU</w:t>
            </w:r>
          </w:p>
        </w:tc>
        <w:tc>
          <w:tcPr>
            <w:tcW w:w="711" w:type="pct"/>
            <w:tcBorders>
              <w:left w:val="single" w:sz="2" w:space="0" w:color="auto"/>
              <w:bottom w:val="single" w:sz="2" w:space="0" w:color="7F7F7F" w:themeColor="text1" w:themeTint="80"/>
              <w:right w:val="single" w:sz="2" w:space="0" w:color="auto"/>
            </w:tcBorders>
            <w:shd w:val="clear" w:color="auto" w:fill="auto"/>
            <w:noWrap/>
            <w:vAlign w:val="bottom"/>
          </w:tcPr>
          <w:p w14:paraId="46EAA9CD"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81 735</w:t>
            </w:r>
          </w:p>
        </w:tc>
        <w:tc>
          <w:tcPr>
            <w:tcW w:w="711" w:type="pct"/>
            <w:tcBorders>
              <w:left w:val="single" w:sz="4" w:space="0" w:color="auto"/>
              <w:bottom w:val="single" w:sz="4" w:space="0" w:color="7F7F7F" w:themeColor="text1" w:themeTint="80"/>
              <w:right w:val="single" w:sz="4" w:space="0" w:color="auto"/>
            </w:tcBorders>
            <w:shd w:val="clear" w:color="auto" w:fill="auto"/>
            <w:noWrap/>
            <w:vAlign w:val="bottom"/>
          </w:tcPr>
          <w:p w14:paraId="33810686" w14:textId="77777777" w:rsidR="002A440F" w:rsidRPr="00423EF1" w:rsidRDefault="002A440F" w:rsidP="002A440F">
            <w:pPr>
              <w:jc w:val="right"/>
              <w:rPr>
                <w:rFonts w:eastAsia="Times New Roman" w:cs="Times New Roman"/>
                <w:lang w:eastAsia="cs-CZ"/>
              </w:rPr>
            </w:pPr>
            <w:r w:rsidRPr="00423EF1">
              <w:rPr>
                <w:rFonts w:eastAsia="Times New Roman" w:cs="Times New Roman"/>
                <w:bCs/>
                <w:lang w:eastAsia="cs-CZ"/>
              </w:rPr>
              <w:t>3 806 277</w:t>
            </w:r>
          </w:p>
        </w:tc>
        <w:tc>
          <w:tcPr>
            <w:tcW w:w="740" w:type="pct"/>
            <w:tcBorders>
              <w:left w:val="single" w:sz="2" w:space="0" w:color="auto"/>
              <w:bottom w:val="single" w:sz="2" w:space="0" w:color="7F7F7F" w:themeColor="text1" w:themeTint="80"/>
              <w:right w:val="single" w:sz="2" w:space="0" w:color="auto"/>
            </w:tcBorders>
            <w:shd w:val="clear" w:color="auto" w:fill="auto"/>
            <w:noWrap/>
            <w:vAlign w:val="bottom"/>
          </w:tcPr>
          <w:p w14:paraId="77E40F7A" w14:textId="77777777" w:rsidR="002A440F" w:rsidRPr="00A34E1E" w:rsidRDefault="002A440F" w:rsidP="002A440F">
            <w:pPr>
              <w:jc w:val="right"/>
              <w:rPr>
                <w:rFonts w:eastAsia="Times New Roman" w:cs="Times New Roman"/>
                <w:lang w:eastAsia="cs-CZ"/>
              </w:rPr>
            </w:pPr>
            <w:r w:rsidRPr="00A34E1E">
              <w:rPr>
                <w:rFonts w:eastAsia="Times New Roman" w:cs="Times New Roman"/>
                <w:lang w:eastAsia="cs-CZ"/>
              </w:rPr>
              <w:t>310 000</w:t>
            </w:r>
          </w:p>
        </w:tc>
        <w:tc>
          <w:tcPr>
            <w:tcW w:w="504" w:type="pct"/>
            <w:tcBorders>
              <w:left w:val="single" w:sz="2" w:space="0" w:color="auto"/>
              <w:bottom w:val="single" w:sz="2" w:space="0" w:color="7F7F7F" w:themeColor="text1" w:themeTint="80"/>
              <w:right w:val="single" w:sz="5" w:space="0" w:color="7F7F7F" w:themeColor="text1" w:themeTint="80"/>
            </w:tcBorders>
            <w:shd w:val="clear" w:color="auto" w:fill="auto"/>
            <w:noWrap/>
            <w:vAlign w:val="bottom"/>
          </w:tcPr>
          <w:p w14:paraId="0332C27F" w14:textId="77777777" w:rsidR="002A440F" w:rsidRPr="00473342" w:rsidRDefault="002A440F" w:rsidP="002A440F">
            <w:pPr>
              <w:jc w:val="right"/>
              <w:rPr>
                <w:rFonts w:eastAsia="Times New Roman" w:cs="Times New Roman"/>
                <w:lang w:eastAsia="cs-CZ"/>
              </w:rPr>
            </w:pPr>
            <w:r w:rsidRPr="00473342">
              <w:rPr>
                <w:rFonts w:eastAsia="Times New Roman" w:cs="Times New Roman"/>
                <w:lang w:eastAsia="cs-CZ"/>
              </w:rPr>
              <w:t>8,14</w:t>
            </w:r>
          </w:p>
        </w:tc>
      </w:tr>
      <w:tr w:rsidR="002A440F" w:rsidRPr="00E8518E" w14:paraId="358C0187" w14:textId="77777777" w:rsidTr="002A440F">
        <w:trPr>
          <w:trHeight w:val="330"/>
        </w:trPr>
        <w:tc>
          <w:tcPr>
            <w:tcW w:w="2334" w:type="pct"/>
            <w:tcBorders>
              <w:top w:val="single" w:sz="4" w:space="0" w:color="7F7F7F" w:themeColor="text1" w:themeTint="80"/>
              <w:left w:val="single" w:sz="8" w:space="0" w:color="7F7F7F" w:themeColor="text1" w:themeTint="80"/>
              <w:right w:val="single" w:sz="4" w:space="0" w:color="auto"/>
            </w:tcBorders>
            <w:shd w:val="clear" w:color="auto" w:fill="auto"/>
            <w:vAlign w:val="bottom"/>
          </w:tcPr>
          <w:p w14:paraId="63AA2EEB"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b/>
                <w:lang w:eastAsia="cs-CZ"/>
              </w:rPr>
              <w:t xml:space="preserve">Investiční transfery státním fondům </w:t>
            </w:r>
            <w:r w:rsidRPr="00212181">
              <w:rPr>
                <w:rFonts w:eastAsia="Times New Roman" w:cs="Times New Roman"/>
                <w:lang w:eastAsia="cs-CZ"/>
              </w:rPr>
              <w:t>v tom:</w:t>
            </w:r>
          </w:p>
        </w:tc>
        <w:tc>
          <w:tcPr>
            <w:tcW w:w="711" w:type="pct"/>
            <w:tcBorders>
              <w:top w:val="single" w:sz="2" w:space="0" w:color="7F7F7F" w:themeColor="text1" w:themeTint="80"/>
              <w:left w:val="single" w:sz="2" w:space="0" w:color="auto"/>
              <w:right w:val="single" w:sz="2" w:space="0" w:color="auto"/>
            </w:tcBorders>
            <w:shd w:val="clear" w:color="auto" w:fill="auto"/>
            <w:noWrap/>
            <w:vAlign w:val="bottom"/>
          </w:tcPr>
          <w:p w14:paraId="12D6CF15" w14:textId="77777777" w:rsidR="002A440F" w:rsidRPr="00AD2875" w:rsidRDefault="002A440F" w:rsidP="002A440F">
            <w:pPr>
              <w:jc w:val="right"/>
              <w:rPr>
                <w:rFonts w:eastAsia="Times New Roman" w:cs="Times New Roman"/>
                <w:b/>
                <w:lang w:eastAsia="cs-CZ"/>
              </w:rPr>
            </w:pPr>
            <w:r w:rsidRPr="00AD2875">
              <w:rPr>
                <w:rFonts w:eastAsia="Times New Roman" w:cs="Times New Roman"/>
                <w:b/>
                <w:lang w:eastAsia="cs-CZ"/>
              </w:rPr>
              <w:t xml:space="preserve">66 342 841  </w:t>
            </w:r>
          </w:p>
        </w:tc>
        <w:tc>
          <w:tcPr>
            <w:tcW w:w="711" w:type="pct"/>
            <w:tcBorders>
              <w:top w:val="single" w:sz="4" w:space="0" w:color="7F7F7F" w:themeColor="text1" w:themeTint="80"/>
              <w:left w:val="single" w:sz="4" w:space="0" w:color="auto"/>
              <w:right w:val="single" w:sz="4" w:space="0" w:color="auto"/>
            </w:tcBorders>
            <w:shd w:val="clear" w:color="auto" w:fill="auto"/>
            <w:noWrap/>
            <w:vAlign w:val="bottom"/>
          </w:tcPr>
          <w:p w14:paraId="55D306B5" w14:textId="77777777" w:rsidR="002A440F" w:rsidRPr="00AA47D4" w:rsidRDefault="002A440F" w:rsidP="002A440F">
            <w:pPr>
              <w:jc w:val="right"/>
              <w:rPr>
                <w:rFonts w:eastAsia="Times New Roman" w:cs="Times New Roman"/>
                <w:b/>
                <w:lang w:eastAsia="cs-CZ"/>
              </w:rPr>
            </w:pPr>
            <w:r w:rsidRPr="00AA47D4">
              <w:rPr>
                <w:rFonts w:eastAsia="Times New Roman" w:cs="Times New Roman"/>
                <w:b/>
                <w:lang w:eastAsia="cs-CZ"/>
              </w:rPr>
              <w:t>77 524 632</w:t>
            </w:r>
          </w:p>
        </w:tc>
        <w:tc>
          <w:tcPr>
            <w:tcW w:w="740" w:type="pct"/>
            <w:tcBorders>
              <w:top w:val="single" w:sz="2" w:space="0" w:color="7F7F7F" w:themeColor="text1" w:themeTint="80"/>
              <w:left w:val="single" w:sz="2" w:space="0" w:color="auto"/>
              <w:right w:val="single" w:sz="2" w:space="0" w:color="auto"/>
            </w:tcBorders>
            <w:shd w:val="clear" w:color="auto" w:fill="auto"/>
            <w:noWrap/>
            <w:vAlign w:val="bottom"/>
          </w:tcPr>
          <w:p w14:paraId="1BB542CB" w14:textId="77777777" w:rsidR="002A440F" w:rsidRPr="00037AEF" w:rsidRDefault="002A440F" w:rsidP="002A440F">
            <w:pPr>
              <w:jc w:val="right"/>
              <w:rPr>
                <w:rFonts w:eastAsia="Times New Roman" w:cs="Times New Roman"/>
                <w:b/>
                <w:lang w:eastAsia="cs-CZ"/>
              </w:rPr>
            </w:pPr>
            <w:r w:rsidRPr="00BE6D09">
              <w:rPr>
                <w:rFonts w:eastAsia="Times New Roman" w:cs="Times New Roman"/>
                <w:b/>
                <w:lang w:eastAsia="cs-CZ"/>
              </w:rPr>
              <w:t>75 946 489</w:t>
            </w:r>
          </w:p>
        </w:tc>
        <w:tc>
          <w:tcPr>
            <w:tcW w:w="504" w:type="pct"/>
            <w:tcBorders>
              <w:top w:val="single" w:sz="4" w:space="0" w:color="7F7F7F" w:themeColor="text1" w:themeTint="80"/>
              <w:left w:val="single" w:sz="4" w:space="0" w:color="auto"/>
              <w:right w:val="single" w:sz="8" w:space="0" w:color="7F7F7F" w:themeColor="text1" w:themeTint="80"/>
            </w:tcBorders>
            <w:shd w:val="clear" w:color="auto" w:fill="auto"/>
            <w:noWrap/>
            <w:vAlign w:val="bottom"/>
          </w:tcPr>
          <w:p w14:paraId="13D034F3" w14:textId="77777777" w:rsidR="002A440F" w:rsidRPr="00423EF1" w:rsidRDefault="002A440F" w:rsidP="002A440F">
            <w:pPr>
              <w:jc w:val="right"/>
              <w:rPr>
                <w:rFonts w:eastAsia="Times New Roman" w:cs="Times New Roman"/>
                <w:b/>
                <w:color w:val="FF0000"/>
                <w:lang w:eastAsia="cs-CZ"/>
              </w:rPr>
            </w:pPr>
            <w:r>
              <w:rPr>
                <w:rFonts w:eastAsia="Times New Roman" w:cs="Times New Roman"/>
                <w:b/>
                <w:lang w:eastAsia="cs-CZ"/>
              </w:rPr>
              <w:t>97,96</w:t>
            </w:r>
          </w:p>
        </w:tc>
      </w:tr>
      <w:tr w:rsidR="002A440F" w:rsidRPr="00E8518E" w14:paraId="6BF2C3A1" w14:textId="77777777" w:rsidTr="002A440F">
        <w:trPr>
          <w:trHeight w:val="330"/>
        </w:trPr>
        <w:tc>
          <w:tcPr>
            <w:tcW w:w="2334" w:type="pct"/>
            <w:tcBorders>
              <w:left w:val="single" w:sz="8" w:space="0" w:color="7F7F7F" w:themeColor="text1" w:themeTint="80"/>
              <w:right w:val="single" w:sz="4" w:space="0" w:color="auto"/>
            </w:tcBorders>
            <w:shd w:val="clear" w:color="auto" w:fill="auto"/>
            <w:vAlign w:val="bottom"/>
          </w:tcPr>
          <w:p w14:paraId="57237B2C"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07392CBE"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35 074 622</w:t>
            </w:r>
          </w:p>
        </w:tc>
        <w:tc>
          <w:tcPr>
            <w:tcW w:w="711" w:type="pct"/>
            <w:tcBorders>
              <w:left w:val="single" w:sz="4" w:space="0" w:color="auto"/>
              <w:right w:val="single" w:sz="4" w:space="0" w:color="auto"/>
            </w:tcBorders>
            <w:shd w:val="clear" w:color="auto" w:fill="auto"/>
            <w:noWrap/>
            <w:vAlign w:val="bottom"/>
          </w:tcPr>
          <w:p w14:paraId="37761BC3"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33 075 060</w:t>
            </w:r>
          </w:p>
        </w:tc>
        <w:tc>
          <w:tcPr>
            <w:tcW w:w="740" w:type="pct"/>
            <w:tcBorders>
              <w:left w:val="single" w:sz="2" w:space="0" w:color="auto"/>
              <w:right w:val="single" w:sz="2" w:space="0" w:color="auto"/>
            </w:tcBorders>
            <w:shd w:val="clear" w:color="auto" w:fill="auto"/>
            <w:noWrap/>
            <w:vAlign w:val="bottom"/>
          </w:tcPr>
          <w:p w14:paraId="4913DE28" w14:textId="77777777" w:rsidR="002A440F" w:rsidRPr="00037AEF" w:rsidRDefault="002A440F" w:rsidP="002A440F">
            <w:pPr>
              <w:jc w:val="right"/>
              <w:rPr>
                <w:rFonts w:eastAsia="Times New Roman" w:cs="Times New Roman"/>
                <w:lang w:eastAsia="cs-CZ"/>
              </w:rPr>
            </w:pPr>
            <w:r w:rsidRPr="00CF5EAB">
              <w:rPr>
                <w:rFonts w:eastAsia="Times New Roman" w:cs="Times New Roman"/>
                <w:lang w:eastAsia="cs-CZ"/>
              </w:rPr>
              <w:t>48 402 000</w:t>
            </w:r>
          </w:p>
        </w:tc>
        <w:tc>
          <w:tcPr>
            <w:tcW w:w="504" w:type="pct"/>
            <w:tcBorders>
              <w:left w:val="single" w:sz="4" w:space="0" w:color="auto"/>
              <w:right w:val="single" w:sz="8" w:space="0" w:color="7F7F7F" w:themeColor="text1" w:themeTint="80"/>
            </w:tcBorders>
            <w:shd w:val="clear" w:color="auto" w:fill="auto"/>
            <w:noWrap/>
            <w:vAlign w:val="bottom"/>
          </w:tcPr>
          <w:p w14:paraId="1A3E87F7" w14:textId="77777777" w:rsidR="002A440F" w:rsidRPr="00423EF1" w:rsidRDefault="002A440F" w:rsidP="002A440F">
            <w:pPr>
              <w:jc w:val="right"/>
              <w:rPr>
                <w:rFonts w:eastAsia="Times New Roman" w:cs="Times New Roman"/>
                <w:lang w:eastAsia="cs-CZ"/>
              </w:rPr>
            </w:pPr>
            <w:r>
              <w:rPr>
                <w:rFonts w:eastAsia="Times New Roman" w:cs="Times New Roman"/>
                <w:lang w:eastAsia="cs-CZ"/>
              </w:rPr>
              <w:t>146,34</w:t>
            </w:r>
          </w:p>
        </w:tc>
      </w:tr>
      <w:tr w:rsidR="002A440F" w:rsidRPr="00E8518E" w14:paraId="3F0729BA" w14:textId="77777777" w:rsidTr="002A440F">
        <w:trPr>
          <w:trHeight w:val="330"/>
        </w:trPr>
        <w:tc>
          <w:tcPr>
            <w:tcW w:w="2334" w:type="pct"/>
            <w:tcBorders>
              <w:left w:val="single" w:sz="8" w:space="0" w:color="7F7F7F" w:themeColor="text1" w:themeTint="80"/>
              <w:bottom w:val="single" w:sz="8" w:space="0" w:color="7F7F7F" w:themeColor="text1" w:themeTint="80"/>
              <w:right w:val="single" w:sz="4" w:space="0" w:color="auto"/>
            </w:tcBorders>
            <w:shd w:val="clear" w:color="auto" w:fill="auto"/>
            <w:vAlign w:val="bottom"/>
          </w:tcPr>
          <w:p w14:paraId="5B47DA78"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z fondů EU</w:t>
            </w:r>
          </w:p>
        </w:tc>
        <w:tc>
          <w:tcPr>
            <w:tcW w:w="711" w:type="pct"/>
            <w:tcBorders>
              <w:left w:val="single" w:sz="2" w:space="0" w:color="auto"/>
              <w:bottom w:val="single" w:sz="2" w:space="0" w:color="auto"/>
              <w:right w:val="single" w:sz="2" w:space="0" w:color="auto"/>
            </w:tcBorders>
            <w:shd w:val="clear" w:color="auto" w:fill="auto"/>
            <w:noWrap/>
            <w:vAlign w:val="bottom"/>
          </w:tcPr>
          <w:p w14:paraId="6E95057B"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31 268 219</w:t>
            </w:r>
          </w:p>
        </w:tc>
        <w:tc>
          <w:tcPr>
            <w:tcW w:w="711" w:type="pct"/>
            <w:tcBorders>
              <w:left w:val="single" w:sz="4" w:space="0" w:color="auto"/>
              <w:bottom w:val="single" w:sz="4" w:space="0" w:color="auto"/>
              <w:right w:val="single" w:sz="4" w:space="0" w:color="auto"/>
            </w:tcBorders>
            <w:shd w:val="clear" w:color="auto" w:fill="auto"/>
            <w:noWrap/>
            <w:vAlign w:val="bottom"/>
          </w:tcPr>
          <w:p w14:paraId="6600425B"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44 449 572</w:t>
            </w:r>
          </w:p>
        </w:tc>
        <w:tc>
          <w:tcPr>
            <w:tcW w:w="740" w:type="pct"/>
            <w:tcBorders>
              <w:left w:val="single" w:sz="2" w:space="0" w:color="auto"/>
              <w:bottom w:val="single" w:sz="2" w:space="0" w:color="auto"/>
              <w:right w:val="single" w:sz="2" w:space="0" w:color="auto"/>
            </w:tcBorders>
            <w:shd w:val="clear" w:color="auto" w:fill="auto"/>
            <w:noWrap/>
            <w:vAlign w:val="bottom"/>
          </w:tcPr>
          <w:p w14:paraId="32FE94DF" w14:textId="77777777" w:rsidR="002A440F" w:rsidRPr="00037AEF" w:rsidRDefault="002A440F" w:rsidP="002A440F">
            <w:pPr>
              <w:jc w:val="right"/>
              <w:rPr>
                <w:rFonts w:eastAsia="Times New Roman" w:cs="Times New Roman"/>
                <w:lang w:eastAsia="cs-CZ"/>
              </w:rPr>
            </w:pPr>
            <w:r>
              <w:rPr>
                <w:rFonts w:eastAsia="Times New Roman" w:cs="Times New Roman"/>
                <w:lang w:eastAsia="cs-CZ"/>
              </w:rPr>
              <w:t>27 544 489</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14:paraId="6BA1F37E" w14:textId="77777777" w:rsidR="002A440F" w:rsidRPr="00423EF1" w:rsidRDefault="002A440F" w:rsidP="002A440F">
            <w:pPr>
              <w:jc w:val="right"/>
              <w:rPr>
                <w:rFonts w:eastAsia="Times New Roman" w:cs="Times New Roman"/>
                <w:lang w:eastAsia="cs-CZ"/>
              </w:rPr>
            </w:pPr>
            <w:r w:rsidRPr="00423EF1">
              <w:rPr>
                <w:rFonts w:eastAsia="Times New Roman" w:cs="Times New Roman"/>
                <w:lang w:eastAsia="cs-CZ"/>
              </w:rPr>
              <w:t>61,97</w:t>
            </w:r>
          </w:p>
        </w:tc>
      </w:tr>
      <w:tr w:rsidR="002A440F" w:rsidRPr="00E8518E" w14:paraId="3DE8ED1C" w14:textId="77777777" w:rsidTr="002A440F">
        <w:trPr>
          <w:trHeight w:val="367"/>
        </w:trPr>
        <w:tc>
          <w:tcPr>
            <w:tcW w:w="2334" w:type="pct"/>
            <w:tcBorders>
              <w:top w:val="single" w:sz="8" w:space="0" w:color="7F7F7F" w:themeColor="text1" w:themeTint="80"/>
              <w:left w:val="single" w:sz="8" w:space="0" w:color="7F7F7F" w:themeColor="text1" w:themeTint="80"/>
              <w:right w:val="single" w:sz="4" w:space="0" w:color="auto"/>
            </w:tcBorders>
            <w:shd w:val="clear" w:color="auto" w:fill="auto"/>
            <w:noWrap/>
            <w:vAlign w:val="bottom"/>
          </w:tcPr>
          <w:p w14:paraId="10D88F47" w14:textId="77777777" w:rsidR="002A440F" w:rsidRPr="00212181" w:rsidRDefault="002A440F" w:rsidP="002A440F">
            <w:pPr>
              <w:spacing w:line="240" w:lineRule="auto"/>
              <w:rPr>
                <w:rFonts w:eastAsia="Times New Roman" w:cs="Times New Roman"/>
                <w:bCs/>
                <w:lang w:eastAsia="cs-CZ"/>
              </w:rPr>
            </w:pPr>
            <w:r w:rsidRPr="00212181">
              <w:rPr>
                <w:rFonts w:eastAsia="Times New Roman" w:cs="Times New Roman"/>
                <w:b/>
                <w:bCs/>
                <w:lang w:eastAsia="cs-CZ"/>
              </w:rPr>
              <w:t xml:space="preserve">Kapitálové výdaje celkem </w:t>
            </w:r>
            <w:r w:rsidRPr="00212181">
              <w:rPr>
                <w:rFonts w:eastAsia="Times New Roman" w:cs="Times New Roman"/>
                <w:bCs/>
                <w:lang w:eastAsia="cs-CZ"/>
              </w:rPr>
              <w:t>v tom:</w:t>
            </w:r>
          </w:p>
        </w:tc>
        <w:tc>
          <w:tcPr>
            <w:tcW w:w="711" w:type="pct"/>
            <w:tcBorders>
              <w:top w:val="single" w:sz="2" w:space="0" w:color="auto"/>
              <w:left w:val="single" w:sz="2" w:space="0" w:color="auto"/>
              <w:right w:val="single" w:sz="2" w:space="0" w:color="auto"/>
            </w:tcBorders>
            <w:shd w:val="clear" w:color="auto" w:fill="auto"/>
            <w:noWrap/>
            <w:vAlign w:val="bottom"/>
          </w:tcPr>
          <w:p w14:paraId="5EFD4DF0" w14:textId="77777777" w:rsidR="002A440F" w:rsidRPr="00AD2875" w:rsidRDefault="002A440F" w:rsidP="002A440F">
            <w:pPr>
              <w:jc w:val="right"/>
              <w:rPr>
                <w:rFonts w:eastAsia="Times New Roman" w:cs="Times New Roman"/>
                <w:b/>
                <w:bCs/>
                <w:lang w:eastAsia="cs-CZ"/>
              </w:rPr>
            </w:pPr>
            <w:r w:rsidRPr="00AD2875">
              <w:rPr>
                <w:rFonts w:eastAsia="Times New Roman" w:cs="Times New Roman"/>
                <w:b/>
                <w:bCs/>
                <w:lang w:eastAsia="cs-CZ"/>
              </w:rPr>
              <w:t>66 543 085</w:t>
            </w:r>
          </w:p>
        </w:tc>
        <w:tc>
          <w:tcPr>
            <w:tcW w:w="711" w:type="pct"/>
            <w:tcBorders>
              <w:top w:val="single" w:sz="4" w:space="0" w:color="auto"/>
              <w:left w:val="single" w:sz="4" w:space="0" w:color="auto"/>
              <w:right w:val="single" w:sz="4" w:space="0" w:color="auto"/>
            </w:tcBorders>
            <w:shd w:val="clear" w:color="auto" w:fill="auto"/>
            <w:noWrap/>
            <w:vAlign w:val="bottom"/>
          </w:tcPr>
          <w:p w14:paraId="36A3E467" w14:textId="77777777" w:rsidR="002A440F" w:rsidRPr="00AA47D4" w:rsidRDefault="002A440F" w:rsidP="002A440F">
            <w:pPr>
              <w:jc w:val="right"/>
              <w:rPr>
                <w:rFonts w:eastAsia="Times New Roman" w:cs="Times New Roman"/>
                <w:b/>
                <w:bCs/>
                <w:lang w:eastAsia="cs-CZ"/>
              </w:rPr>
            </w:pPr>
            <w:r w:rsidRPr="00AA47D4">
              <w:rPr>
                <w:rFonts w:eastAsia="Times New Roman" w:cs="Times New Roman"/>
                <w:b/>
                <w:bCs/>
                <w:lang w:eastAsia="cs-CZ"/>
              </w:rPr>
              <w:t>81 623 027</w:t>
            </w:r>
          </w:p>
        </w:tc>
        <w:tc>
          <w:tcPr>
            <w:tcW w:w="740" w:type="pct"/>
            <w:tcBorders>
              <w:top w:val="single" w:sz="2" w:space="0" w:color="auto"/>
              <w:left w:val="single" w:sz="2" w:space="0" w:color="auto"/>
              <w:right w:val="single" w:sz="2" w:space="0" w:color="auto"/>
            </w:tcBorders>
            <w:shd w:val="clear" w:color="auto" w:fill="auto"/>
            <w:noWrap/>
            <w:vAlign w:val="bottom"/>
          </w:tcPr>
          <w:p w14:paraId="487E12B1" w14:textId="77777777" w:rsidR="002A440F" w:rsidRPr="001A43B5" w:rsidRDefault="002A440F" w:rsidP="002A440F">
            <w:pPr>
              <w:jc w:val="right"/>
              <w:rPr>
                <w:rFonts w:eastAsia="Times New Roman" w:cs="Times New Roman"/>
                <w:b/>
                <w:bCs/>
                <w:lang w:eastAsia="cs-CZ"/>
              </w:rPr>
            </w:pPr>
            <w:r>
              <w:rPr>
                <w:rFonts w:eastAsia="Times New Roman" w:cs="Times New Roman"/>
                <w:b/>
                <w:bCs/>
                <w:lang w:eastAsia="cs-CZ"/>
              </w:rPr>
              <w:t>76 676 264</w:t>
            </w:r>
            <w:r w:rsidRPr="001A43B5">
              <w:rPr>
                <w:rFonts w:eastAsia="Times New Roman" w:cs="Times New Roman"/>
                <w:b/>
                <w:bCs/>
                <w:lang w:eastAsia="cs-CZ"/>
              </w:rPr>
              <w:t xml:space="preserve">  </w:t>
            </w:r>
          </w:p>
        </w:tc>
        <w:tc>
          <w:tcPr>
            <w:tcW w:w="504" w:type="pct"/>
            <w:tcBorders>
              <w:top w:val="single" w:sz="4" w:space="0" w:color="auto"/>
              <w:left w:val="single" w:sz="4" w:space="0" w:color="auto"/>
              <w:right w:val="single" w:sz="8" w:space="0" w:color="7F7F7F" w:themeColor="text1" w:themeTint="80"/>
            </w:tcBorders>
            <w:shd w:val="clear" w:color="auto" w:fill="auto"/>
            <w:noWrap/>
            <w:vAlign w:val="bottom"/>
          </w:tcPr>
          <w:p w14:paraId="279FF0E3" w14:textId="77777777" w:rsidR="002A440F" w:rsidRPr="001A43B5" w:rsidRDefault="002A440F" w:rsidP="002A440F">
            <w:pPr>
              <w:jc w:val="right"/>
              <w:rPr>
                <w:rFonts w:eastAsia="Times New Roman" w:cs="Times New Roman"/>
                <w:b/>
                <w:bCs/>
                <w:lang w:eastAsia="cs-CZ"/>
              </w:rPr>
            </w:pPr>
            <w:r>
              <w:rPr>
                <w:rFonts w:eastAsia="Times New Roman" w:cs="Times New Roman"/>
                <w:b/>
                <w:bCs/>
                <w:lang w:eastAsia="cs-CZ"/>
              </w:rPr>
              <w:t>93,94</w:t>
            </w:r>
          </w:p>
        </w:tc>
      </w:tr>
      <w:tr w:rsidR="002A440F" w:rsidRPr="00E8518E" w14:paraId="2CD24971" w14:textId="77777777" w:rsidTr="002A440F">
        <w:trPr>
          <w:trHeight w:val="315"/>
        </w:trPr>
        <w:tc>
          <w:tcPr>
            <w:tcW w:w="2334" w:type="pct"/>
            <w:tcBorders>
              <w:left w:val="single" w:sz="8" w:space="0" w:color="7F7F7F" w:themeColor="text1" w:themeTint="80"/>
              <w:right w:val="single" w:sz="4" w:space="0" w:color="auto"/>
            </w:tcBorders>
            <w:shd w:val="clear" w:color="auto" w:fill="auto"/>
            <w:noWrap/>
            <w:vAlign w:val="bottom"/>
          </w:tcPr>
          <w:p w14:paraId="2BDD314D"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SR</w:t>
            </w:r>
          </w:p>
        </w:tc>
        <w:tc>
          <w:tcPr>
            <w:tcW w:w="711" w:type="pct"/>
            <w:tcBorders>
              <w:left w:val="single" w:sz="2" w:space="0" w:color="auto"/>
              <w:right w:val="single" w:sz="2" w:space="0" w:color="auto"/>
            </w:tcBorders>
            <w:shd w:val="clear" w:color="auto" w:fill="auto"/>
            <w:noWrap/>
            <w:vAlign w:val="bottom"/>
          </w:tcPr>
          <w:p w14:paraId="5FB9208D"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35 149 123</w:t>
            </w:r>
          </w:p>
        </w:tc>
        <w:tc>
          <w:tcPr>
            <w:tcW w:w="711" w:type="pct"/>
            <w:tcBorders>
              <w:left w:val="single" w:sz="4" w:space="0" w:color="auto"/>
              <w:right w:val="single" w:sz="4" w:space="0" w:color="auto"/>
            </w:tcBorders>
            <w:shd w:val="clear" w:color="auto" w:fill="auto"/>
            <w:noWrap/>
            <w:vAlign w:val="bottom"/>
          </w:tcPr>
          <w:p w14:paraId="5C22A94C"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33 149 357</w:t>
            </w:r>
          </w:p>
        </w:tc>
        <w:tc>
          <w:tcPr>
            <w:tcW w:w="740" w:type="pct"/>
            <w:tcBorders>
              <w:left w:val="single" w:sz="2" w:space="0" w:color="auto"/>
              <w:right w:val="single" w:sz="2" w:space="0" w:color="auto"/>
            </w:tcBorders>
            <w:shd w:val="clear" w:color="auto" w:fill="auto"/>
            <w:noWrap/>
            <w:vAlign w:val="bottom"/>
          </w:tcPr>
          <w:p w14:paraId="38C5ADEA" w14:textId="77777777" w:rsidR="002A440F" w:rsidRPr="001A43B5" w:rsidRDefault="002A440F" w:rsidP="002A440F">
            <w:pPr>
              <w:jc w:val="right"/>
              <w:rPr>
                <w:rFonts w:eastAsia="Times New Roman" w:cs="Times New Roman"/>
                <w:lang w:eastAsia="cs-CZ"/>
              </w:rPr>
            </w:pPr>
            <w:r>
              <w:rPr>
                <w:rFonts w:eastAsia="Times New Roman" w:cs="Times New Roman"/>
                <w:lang w:eastAsia="cs-CZ"/>
              </w:rPr>
              <w:t>48 499 534</w:t>
            </w:r>
          </w:p>
        </w:tc>
        <w:tc>
          <w:tcPr>
            <w:tcW w:w="504" w:type="pct"/>
            <w:tcBorders>
              <w:left w:val="single" w:sz="4" w:space="0" w:color="auto"/>
              <w:right w:val="single" w:sz="8" w:space="0" w:color="7F7F7F" w:themeColor="text1" w:themeTint="80"/>
            </w:tcBorders>
            <w:shd w:val="clear" w:color="auto" w:fill="auto"/>
            <w:noWrap/>
            <w:vAlign w:val="bottom"/>
          </w:tcPr>
          <w:p w14:paraId="12ADB3AA" w14:textId="77777777" w:rsidR="002A440F" w:rsidRPr="001A43B5" w:rsidRDefault="002A440F" w:rsidP="002A440F">
            <w:pPr>
              <w:jc w:val="right"/>
              <w:rPr>
                <w:rFonts w:eastAsia="Times New Roman" w:cs="Times New Roman"/>
                <w:lang w:eastAsia="cs-CZ"/>
              </w:rPr>
            </w:pPr>
            <w:r>
              <w:rPr>
                <w:rFonts w:eastAsia="Times New Roman" w:cs="Times New Roman"/>
                <w:lang w:eastAsia="cs-CZ"/>
              </w:rPr>
              <w:t>146,31</w:t>
            </w:r>
          </w:p>
        </w:tc>
      </w:tr>
      <w:tr w:rsidR="002A440F" w:rsidRPr="00E8518E" w14:paraId="59ED0D8E" w14:textId="77777777" w:rsidTr="002A440F">
        <w:trPr>
          <w:trHeight w:val="304"/>
        </w:trPr>
        <w:tc>
          <w:tcPr>
            <w:tcW w:w="2334" w:type="pct"/>
            <w:tcBorders>
              <w:left w:val="single" w:sz="8" w:space="0" w:color="7F7F7F" w:themeColor="text1" w:themeTint="80"/>
              <w:right w:val="single" w:sz="4" w:space="0" w:color="auto"/>
            </w:tcBorders>
            <w:shd w:val="clear" w:color="auto" w:fill="auto"/>
            <w:noWrap/>
            <w:vAlign w:val="bottom"/>
          </w:tcPr>
          <w:p w14:paraId="1A582EDF"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prostředky z fondů EU</w:t>
            </w:r>
          </w:p>
        </w:tc>
        <w:tc>
          <w:tcPr>
            <w:tcW w:w="711" w:type="pct"/>
            <w:tcBorders>
              <w:left w:val="single" w:sz="2" w:space="0" w:color="auto"/>
              <w:right w:val="single" w:sz="2" w:space="0" w:color="auto"/>
            </w:tcBorders>
            <w:shd w:val="clear" w:color="auto" w:fill="auto"/>
            <w:noWrap/>
            <w:vAlign w:val="bottom"/>
          </w:tcPr>
          <w:p w14:paraId="440AEB0A"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31 353 056</w:t>
            </w:r>
          </w:p>
        </w:tc>
        <w:tc>
          <w:tcPr>
            <w:tcW w:w="711" w:type="pct"/>
            <w:tcBorders>
              <w:left w:val="single" w:sz="4" w:space="0" w:color="auto"/>
              <w:right w:val="single" w:sz="4" w:space="0" w:color="auto"/>
            </w:tcBorders>
            <w:shd w:val="clear" w:color="auto" w:fill="auto"/>
            <w:noWrap/>
            <w:vAlign w:val="bottom"/>
          </w:tcPr>
          <w:p w14:paraId="71E7CA27"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48 457 067</w:t>
            </w:r>
          </w:p>
        </w:tc>
        <w:tc>
          <w:tcPr>
            <w:tcW w:w="740" w:type="pct"/>
            <w:tcBorders>
              <w:left w:val="single" w:sz="2" w:space="0" w:color="auto"/>
              <w:right w:val="single" w:sz="2" w:space="0" w:color="auto"/>
            </w:tcBorders>
            <w:shd w:val="clear" w:color="auto" w:fill="auto"/>
            <w:noWrap/>
            <w:vAlign w:val="bottom"/>
          </w:tcPr>
          <w:p w14:paraId="64432D1B" w14:textId="77777777" w:rsidR="002A440F" w:rsidRPr="001A43B5" w:rsidRDefault="002A440F" w:rsidP="002A440F">
            <w:pPr>
              <w:jc w:val="right"/>
              <w:rPr>
                <w:rFonts w:eastAsia="Times New Roman" w:cs="Times New Roman"/>
                <w:lang w:eastAsia="cs-CZ"/>
              </w:rPr>
            </w:pPr>
            <w:r w:rsidRPr="001A43B5">
              <w:rPr>
                <w:rFonts w:eastAsia="Times New Roman" w:cs="Times New Roman"/>
                <w:lang w:eastAsia="cs-CZ"/>
              </w:rPr>
              <w:t>28 146 730</w:t>
            </w:r>
          </w:p>
        </w:tc>
        <w:tc>
          <w:tcPr>
            <w:tcW w:w="504" w:type="pct"/>
            <w:tcBorders>
              <w:left w:val="single" w:sz="4" w:space="0" w:color="auto"/>
              <w:right w:val="single" w:sz="8" w:space="0" w:color="7F7F7F" w:themeColor="text1" w:themeTint="80"/>
            </w:tcBorders>
            <w:shd w:val="clear" w:color="auto" w:fill="auto"/>
            <w:noWrap/>
            <w:vAlign w:val="bottom"/>
          </w:tcPr>
          <w:p w14:paraId="0026573A" w14:textId="77777777" w:rsidR="002A440F" w:rsidRPr="001A43B5" w:rsidRDefault="002A440F" w:rsidP="002A440F">
            <w:pPr>
              <w:jc w:val="right"/>
              <w:rPr>
                <w:rFonts w:eastAsia="Times New Roman" w:cs="Times New Roman"/>
                <w:lang w:eastAsia="cs-CZ"/>
              </w:rPr>
            </w:pPr>
            <w:r w:rsidRPr="001A43B5">
              <w:rPr>
                <w:rFonts w:eastAsia="Times New Roman" w:cs="Times New Roman"/>
                <w:lang w:eastAsia="cs-CZ"/>
              </w:rPr>
              <w:t>58,09</w:t>
            </w:r>
          </w:p>
        </w:tc>
      </w:tr>
      <w:tr w:rsidR="002A440F" w:rsidRPr="00E8518E" w14:paraId="381FA0A6" w14:textId="77777777" w:rsidTr="002A440F">
        <w:trPr>
          <w:trHeight w:val="330"/>
        </w:trPr>
        <w:tc>
          <w:tcPr>
            <w:tcW w:w="2334" w:type="pct"/>
            <w:tcBorders>
              <w:left w:val="single" w:sz="8" w:space="0" w:color="7F7F7F" w:themeColor="text1" w:themeTint="80"/>
              <w:right w:val="single" w:sz="4" w:space="0" w:color="auto"/>
            </w:tcBorders>
            <w:shd w:val="clear" w:color="auto" w:fill="auto"/>
            <w:noWrap/>
            <w:vAlign w:val="bottom"/>
          </w:tcPr>
          <w:p w14:paraId="762DF759" w14:textId="77777777" w:rsidR="002A440F" w:rsidRPr="00212181" w:rsidRDefault="002A440F" w:rsidP="002A440F">
            <w:pPr>
              <w:spacing w:line="240" w:lineRule="auto"/>
              <w:rPr>
                <w:rFonts w:eastAsia="Times New Roman" w:cs="Times New Roman"/>
                <w:lang w:eastAsia="cs-CZ"/>
              </w:rPr>
            </w:pPr>
            <w:r w:rsidRPr="00212181">
              <w:rPr>
                <w:rFonts w:eastAsia="Times New Roman" w:cs="Times New Roman"/>
                <w:lang w:eastAsia="cs-CZ"/>
              </w:rPr>
              <w:t xml:space="preserve">výzkum, vývoj a inovace </w:t>
            </w:r>
          </w:p>
        </w:tc>
        <w:tc>
          <w:tcPr>
            <w:tcW w:w="711" w:type="pct"/>
            <w:tcBorders>
              <w:left w:val="single" w:sz="2" w:space="0" w:color="auto"/>
              <w:right w:val="single" w:sz="2" w:space="0" w:color="auto"/>
            </w:tcBorders>
            <w:shd w:val="clear" w:color="auto" w:fill="auto"/>
            <w:noWrap/>
            <w:vAlign w:val="bottom"/>
          </w:tcPr>
          <w:p w14:paraId="5C76F5BC" w14:textId="77777777" w:rsidR="002A440F" w:rsidRPr="00AD2875" w:rsidRDefault="002A440F" w:rsidP="002A440F">
            <w:pPr>
              <w:jc w:val="right"/>
              <w:rPr>
                <w:rFonts w:eastAsia="Times New Roman" w:cs="Times New Roman"/>
                <w:lang w:eastAsia="cs-CZ"/>
              </w:rPr>
            </w:pPr>
            <w:r w:rsidRPr="00AD2875">
              <w:rPr>
                <w:rFonts w:eastAsia="Times New Roman" w:cs="Times New Roman"/>
                <w:lang w:eastAsia="cs-CZ"/>
              </w:rPr>
              <w:t>40 907</w:t>
            </w:r>
          </w:p>
        </w:tc>
        <w:tc>
          <w:tcPr>
            <w:tcW w:w="711" w:type="pct"/>
            <w:tcBorders>
              <w:left w:val="single" w:sz="4" w:space="0" w:color="auto"/>
              <w:right w:val="single" w:sz="4" w:space="0" w:color="auto"/>
            </w:tcBorders>
            <w:shd w:val="clear" w:color="auto" w:fill="auto"/>
            <w:noWrap/>
            <w:vAlign w:val="bottom"/>
          </w:tcPr>
          <w:p w14:paraId="5ABE166C" w14:textId="77777777" w:rsidR="002A440F" w:rsidRPr="00AA47D4" w:rsidRDefault="002A440F" w:rsidP="002A440F">
            <w:pPr>
              <w:jc w:val="right"/>
              <w:rPr>
                <w:rFonts w:eastAsia="Times New Roman" w:cs="Times New Roman"/>
                <w:lang w:eastAsia="cs-CZ"/>
              </w:rPr>
            </w:pPr>
            <w:r w:rsidRPr="00AA47D4">
              <w:rPr>
                <w:rFonts w:eastAsia="Times New Roman" w:cs="Times New Roman"/>
                <w:lang w:eastAsia="cs-CZ"/>
              </w:rPr>
              <w:t>16 603</w:t>
            </w:r>
          </w:p>
        </w:tc>
        <w:tc>
          <w:tcPr>
            <w:tcW w:w="740" w:type="pct"/>
            <w:tcBorders>
              <w:left w:val="single" w:sz="2" w:space="0" w:color="auto"/>
              <w:right w:val="single" w:sz="2" w:space="0" w:color="auto"/>
            </w:tcBorders>
            <w:shd w:val="clear" w:color="auto" w:fill="auto"/>
            <w:noWrap/>
            <w:vAlign w:val="bottom"/>
          </w:tcPr>
          <w:p w14:paraId="496F0101" w14:textId="77777777" w:rsidR="002A440F" w:rsidRPr="001A43B5" w:rsidRDefault="002A440F" w:rsidP="002A440F">
            <w:pPr>
              <w:jc w:val="right"/>
              <w:rPr>
                <w:rFonts w:eastAsia="Times New Roman" w:cs="Times New Roman"/>
                <w:lang w:eastAsia="cs-CZ"/>
              </w:rPr>
            </w:pPr>
            <w:r w:rsidRPr="001A43B5">
              <w:rPr>
                <w:rFonts w:eastAsia="Times New Roman" w:cs="Times New Roman"/>
                <w:lang w:eastAsia="cs-CZ"/>
              </w:rPr>
              <w:t>30 000</w:t>
            </w:r>
          </w:p>
        </w:tc>
        <w:tc>
          <w:tcPr>
            <w:tcW w:w="504" w:type="pct"/>
            <w:tcBorders>
              <w:left w:val="single" w:sz="4" w:space="0" w:color="auto"/>
              <w:right w:val="single" w:sz="8" w:space="0" w:color="7F7F7F" w:themeColor="text1" w:themeTint="80"/>
            </w:tcBorders>
            <w:shd w:val="clear" w:color="auto" w:fill="auto"/>
            <w:noWrap/>
            <w:vAlign w:val="bottom"/>
          </w:tcPr>
          <w:p w14:paraId="4286600D" w14:textId="77777777" w:rsidR="002A440F" w:rsidRPr="001A43B5" w:rsidRDefault="002A440F" w:rsidP="002A440F">
            <w:pPr>
              <w:jc w:val="right"/>
              <w:rPr>
                <w:rFonts w:eastAsia="Times New Roman" w:cs="Times New Roman"/>
                <w:lang w:eastAsia="cs-CZ"/>
              </w:rPr>
            </w:pPr>
            <w:r w:rsidRPr="001A43B5">
              <w:rPr>
                <w:rFonts w:eastAsia="Times New Roman" w:cs="Times New Roman"/>
                <w:lang w:eastAsia="cs-CZ"/>
              </w:rPr>
              <w:t>180,69</w:t>
            </w:r>
          </w:p>
        </w:tc>
      </w:tr>
      <w:tr w:rsidR="002A440F" w:rsidRPr="00E8518E" w14:paraId="580C89D3" w14:textId="77777777" w:rsidTr="002A440F">
        <w:trPr>
          <w:trHeight w:val="330"/>
        </w:trPr>
        <w:tc>
          <w:tcPr>
            <w:tcW w:w="2334" w:type="pct"/>
            <w:tcBorders>
              <w:left w:val="single" w:sz="8" w:space="0" w:color="7F7F7F" w:themeColor="text1" w:themeTint="80"/>
              <w:bottom w:val="single" w:sz="8" w:space="0" w:color="7F7F7F" w:themeColor="text1" w:themeTint="80"/>
              <w:right w:val="single" w:sz="4" w:space="0" w:color="auto"/>
            </w:tcBorders>
            <w:shd w:val="clear" w:color="auto" w:fill="auto"/>
            <w:noWrap/>
            <w:vAlign w:val="bottom"/>
          </w:tcPr>
          <w:p w14:paraId="3062D68C" w14:textId="77777777" w:rsidR="002A440F" w:rsidRPr="00212181" w:rsidRDefault="002A440F" w:rsidP="002A440F">
            <w:pPr>
              <w:spacing w:line="240" w:lineRule="auto"/>
              <w:rPr>
                <w:rFonts w:eastAsia="Times New Roman" w:cs="Times New Roman"/>
                <w:i/>
                <w:lang w:eastAsia="cs-CZ"/>
              </w:rPr>
            </w:pPr>
            <w:r w:rsidRPr="00212181">
              <w:rPr>
                <w:rFonts w:eastAsia="Times New Roman" w:cs="Times New Roman"/>
                <w:i/>
                <w:lang w:eastAsia="cs-CZ"/>
              </w:rPr>
              <w:t>z toho: programové financování (EDS/SMVS)</w:t>
            </w:r>
          </w:p>
        </w:tc>
        <w:tc>
          <w:tcPr>
            <w:tcW w:w="711" w:type="pct"/>
            <w:tcBorders>
              <w:left w:val="single" w:sz="2" w:space="0" w:color="auto"/>
              <w:bottom w:val="single" w:sz="2" w:space="0" w:color="auto"/>
              <w:right w:val="single" w:sz="2" w:space="0" w:color="auto"/>
            </w:tcBorders>
            <w:shd w:val="clear" w:color="auto" w:fill="auto"/>
            <w:noWrap/>
            <w:vAlign w:val="bottom"/>
          </w:tcPr>
          <w:p w14:paraId="5ACD9552" w14:textId="77777777" w:rsidR="002A440F" w:rsidRPr="00AD2875" w:rsidRDefault="002A440F" w:rsidP="002A440F">
            <w:pPr>
              <w:jc w:val="right"/>
              <w:rPr>
                <w:rFonts w:eastAsia="Times New Roman" w:cs="Times New Roman"/>
                <w:i/>
                <w:vertAlign w:val="superscript"/>
                <w:lang w:eastAsia="cs-CZ"/>
              </w:rPr>
            </w:pPr>
            <w:r w:rsidRPr="00AD2875">
              <w:rPr>
                <w:rFonts w:eastAsia="Times New Roman" w:cs="Times New Roman"/>
                <w:i/>
                <w:lang w:eastAsia="cs-CZ"/>
              </w:rPr>
              <w:t>66 502 179</w:t>
            </w:r>
            <w:r w:rsidRPr="00AD2875">
              <w:rPr>
                <w:rFonts w:eastAsia="Times New Roman" w:cs="Times New Roman"/>
                <w:i/>
                <w:vertAlign w:val="superscript"/>
                <w:lang w:eastAsia="cs-CZ"/>
              </w:rPr>
              <w:t>+)</w:t>
            </w:r>
          </w:p>
        </w:tc>
        <w:tc>
          <w:tcPr>
            <w:tcW w:w="711" w:type="pct"/>
            <w:tcBorders>
              <w:left w:val="single" w:sz="4" w:space="0" w:color="auto"/>
              <w:bottom w:val="single" w:sz="4" w:space="0" w:color="auto"/>
              <w:right w:val="single" w:sz="4" w:space="0" w:color="auto"/>
            </w:tcBorders>
            <w:shd w:val="clear" w:color="auto" w:fill="auto"/>
            <w:noWrap/>
            <w:vAlign w:val="bottom"/>
          </w:tcPr>
          <w:p w14:paraId="1BE64A2D" w14:textId="77777777" w:rsidR="002A440F" w:rsidRPr="00AA47D4" w:rsidRDefault="002A440F" w:rsidP="002A440F">
            <w:pPr>
              <w:jc w:val="right"/>
              <w:rPr>
                <w:rFonts w:eastAsia="Times New Roman" w:cs="Times New Roman"/>
                <w:i/>
                <w:vertAlign w:val="superscript"/>
                <w:lang w:eastAsia="cs-CZ"/>
              </w:rPr>
            </w:pPr>
            <w:r w:rsidRPr="00AA47D4">
              <w:rPr>
                <w:rFonts w:eastAsia="Times New Roman" w:cs="Times New Roman"/>
                <w:i/>
                <w:lang w:eastAsia="cs-CZ"/>
              </w:rPr>
              <w:t>54 392 764</w:t>
            </w:r>
            <w:r w:rsidRPr="00AA47D4">
              <w:rPr>
                <w:rFonts w:eastAsia="Times New Roman" w:cs="Times New Roman"/>
                <w:i/>
                <w:vertAlign w:val="superscript"/>
                <w:lang w:eastAsia="cs-CZ"/>
              </w:rPr>
              <w:t>+)</w:t>
            </w:r>
          </w:p>
        </w:tc>
        <w:tc>
          <w:tcPr>
            <w:tcW w:w="740" w:type="pct"/>
            <w:tcBorders>
              <w:left w:val="single" w:sz="2" w:space="0" w:color="auto"/>
              <w:bottom w:val="single" w:sz="2" w:space="0" w:color="auto"/>
              <w:right w:val="single" w:sz="2" w:space="0" w:color="auto"/>
            </w:tcBorders>
            <w:shd w:val="clear" w:color="auto" w:fill="auto"/>
            <w:noWrap/>
            <w:vAlign w:val="bottom"/>
          </w:tcPr>
          <w:p w14:paraId="6CB85C96" w14:textId="77777777" w:rsidR="002A440F" w:rsidRPr="00B2170F" w:rsidRDefault="002A440F" w:rsidP="002A440F">
            <w:pPr>
              <w:jc w:val="right"/>
              <w:rPr>
                <w:rFonts w:eastAsia="Times New Roman" w:cs="Times New Roman"/>
                <w:i/>
                <w:color w:val="FF0000"/>
                <w:vertAlign w:val="superscript"/>
                <w:lang w:eastAsia="cs-CZ"/>
              </w:rPr>
            </w:pPr>
            <w:r>
              <w:rPr>
                <w:rFonts w:eastAsia="Times New Roman" w:cs="Times New Roman"/>
                <w:i/>
                <w:lang w:eastAsia="cs-CZ"/>
              </w:rPr>
              <w:t>53 042 571</w:t>
            </w:r>
            <w:r w:rsidRPr="000C6C4B">
              <w:rPr>
                <w:rFonts w:eastAsia="Times New Roman" w:cs="Times New Roman"/>
                <w:i/>
                <w:vertAlign w:val="superscript"/>
                <w:lang w:eastAsia="cs-CZ"/>
              </w:rPr>
              <w:t>+)</w:t>
            </w:r>
          </w:p>
        </w:tc>
        <w:tc>
          <w:tcPr>
            <w:tcW w:w="504" w:type="pct"/>
            <w:tcBorders>
              <w:left w:val="single" w:sz="4" w:space="0" w:color="auto"/>
              <w:bottom w:val="single" w:sz="4" w:space="0" w:color="auto"/>
              <w:right w:val="single" w:sz="8" w:space="0" w:color="7F7F7F" w:themeColor="text1" w:themeTint="80"/>
            </w:tcBorders>
            <w:shd w:val="clear" w:color="auto" w:fill="auto"/>
            <w:noWrap/>
            <w:vAlign w:val="bottom"/>
          </w:tcPr>
          <w:p w14:paraId="77C4E831" w14:textId="77777777" w:rsidR="002A440F" w:rsidRPr="00E8518E" w:rsidRDefault="002A440F" w:rsidP="002A440F">
            <w:pPr>
              <w:jc w:val="right"/>
              <w:rPr>
                <w:rFonts w:eastAsia="Times New Roman" w:cs="Times New Roman"/>
                <w:i/>
                <w:color w:val="FF0000"/>
                <w:lang w:eastAsia="cs-CZ"/>
              </w:rPr>
            </w:pPr>
            <w:r>
              <w:rPr>
                <w:rFonts w:eastAsia="Times New Roman" w:cs="Times New Roman"/>
                <w:i/>
                <w:lang w:eastAsia="cs-CZ"/>
              </w:rPr>
              <w:t>97,52</w:t>
            </w:r>
          </w:p>
        </w:tc>
      </w:tr>
    </w:tbl>
    <w:p w14:paraId="74103E63" w14:textId="77777777" w:rsidR="002A440F" w:rsidRPr="001A43B5" w:rsidRDefault="002A440F" w:rsidP="002A440F">
      <w:pPr>
        <w:spacing w:before="120" w:after="80" w:line="240" w:lineRule="auto"/>
        <w:rPr>
          <w:rFonts w:eastAsia="Times New Roman" w:cs="Times New Roman"/>
          <w:i/>
          <w:sz w:val="20"/>
          <w:szCs w:val="20"/>
          <w:lang w:eastAsia="cs-CZ"/>
        </w:rPr>
      </w:pPr>
      <w:r w:rsidRPr="001A43B5">
        <w:rPr>
          <w:rFonts w:eastAsia="Times New Roman" w:cs="Times New Roman"/>
          <w:i/>
          <w:sz w:val="20"/>
          <w:szCs w:val="20"/>
          <w:vertAlign w:val="superscript"/>
          <w:lang w:eastAsia="cs-CZ"/>
        </w:rPr>
        <w:t>+</w:t>
      </w:r>
      <w:r w:rsidRPr="001A43B5">
        <w:rPr>
          <w:rFonts w:eastAsia="Times New Roman" w:cs="Times New Roman"/>
          <w:i/>
          <w:sz w:val="20"/>
          <w:szCs w:val="20"/>
          <w:lang w:eastAsia="cs-CZ"/>
        </w:rPr>
        <w:t xml:space="preserve">) včetně dotace z EU </w:t>
      </w:r>
    </w:p>
    <w:p w14:paraId="2E365AE5" w14:textId="243DAFE0" w:rsidR="002A440F" w:rsidRPr="00423EF1" w:rsidRDefault="002A440F" w:rsidP="002A440F">
      <w:pPr>
        <w:pStyle w:val="Styl1"/>
      </w:pPr>
      <w:r w:rsidRPr="00423EF1">
        <w:t xml:space="preserve">Kapitálové výdaje jsou navrhovány v celkové výši </w:t>
      </w:r>
      <w:r>
        <w:t>76 676 264</w:t>
      </w:r>
      <w:r w:rsidRPr="00423EF1">
        <w:t xml:space="preserve"> tis. Kč. Částka představuje výdaje na financování všech evidovaných a registrovaných akcí zabezpečujících dosažení cílů programů reprodukce majet</w:t>
      </w:r>
      <w:r w:rsidR="00DE475F">
        <w:t>ku vedených v databázi EDS/SMVS. Dále zahrnuje v</w:t>
      </w:r>
      <w:r w:rsidRPr="00423EF1">
        <w:t>ýdaje EU,  které jsou určeny na nové programovací období 2021</w:t>
      </w:r>
      <w:r>
        <w:t>-2027</w:t>
      </w:r>
      <w:r w:rsidRPr="00423EF1">
        <w:t xml:space="preserve"> a prostředky určené na výzkum, vývoj a inovace, které jsou od roku 2022 administrovány v systému ZED, tzv. </w:t>
      </w:r>
      <w:r>
        <w:t>Z</w:t>
      </w:r>
      <w:r w:rsidRPr="00423EF1">
        <w:t>jednodušená evidence dotací.</w:t>
      </w:r>
    </w:p>
    <w:p w14:paraId="7649D1A3" w14:textId="77777777" w:rsidR="002A440F" w:rsidRPr="00423EF1" w:rsidRDefault="002A440F" w:rsidP="002A440F">
      <w:pPr>
        <w:pStyle w:val="Styl1"/>
      </w:pPr>
      <w:r w:rsidRPr="00423EF1">
        <w:t xml:space="preserve">Podrobnější charakteristika kapitálových výdajů je obsažena v kapitole 3.3.1 Investiční transfery veřejným výzkumným institucím, v kapitole 3.3.2 Kapitálový výdaje (prostředky EU – programovací </w:t>
      </w:r>
      <w:r w:rsidRPr="002A440F">
        <w:t>období 20</w:t>
      </w:r>
      <w:r w:rsidRPr="0088307E">
        <w:t>21-2027), vedené mimo EDS/SMVS, v kapitole 3.4. V</w:t>
      </w:r>
      <w:r w:rsidRPr="002A440F">
        <w:t>ýdaje vedené</w:t>
      </w:r>
      <w:r w:rsidRPr="00423EF1">
        <w:t xml:space="preserve"> v informačním systému programového financování EDS/SMVS a v kapitole 3.5 Prostředky fondů EU.  </w:t>
      </w:r>
    </w:p>
    <w:p w14:paraId="2B8BB682" w14:textId="77777777" w:rsidR="002A440F" w:rsidRPr="00E8518E" w:rsidRDefault="002A440F" w:rsidP="004B2F70">
      <w:pPr>
        <w:spacing w:before="120" w:after="80" w:line="240" w:lineRule="auto"/>
        <w:rPr>
          <w:rFonts w:eastAsia="Times New Roman" w:cs="Times New Roman"/>
          <w:i/>
          <w:color w:val="FF0000"/>
          <w:sz w:val="20"/>
          <w:szCs w:val="20"/>
          <w:lang w:eastAsia="cs-CZ"/>
        </w:rPr>
      </w:pPr>
    </w:p>
    <w:p w14:paraId="5513286F" w14:textId="49CA8BB7" w:rsidR="004B2F70" w:rsidRPr="0088307E" w:rsidRDefault="004B2F70" w:rsidP="004B2F70">
      <w:pPr>
        <w:pStyle w:val="Titulek"/>
      </w:pPr>
      <w:bookmarkStart w:id="198" w:name="_Toc115788016"/>
      <w:r w:rsidRPr="0088307E">
        <w:t xml:space="preserve">Graf č. </w:t>
      </w:r>
      <w:r w:rsidRPr="0088307E">
        <w:rPr>
          <w:noProof/>
        </w:rPr>
        <w:fldChar w:fldCharType="begin"/>
      </w:r>
      <w:r w:rsidRPr="0088307E">
        <w:rPr>
          <w:noProof/>
        </w:rPr>
        <w:instrText xml:space="preserve"> SEQ Graf_č. \* ARABIC </w:instrText>
      </w:r>
      <w:r w:rsidRPr="0088307E">
        <w:rPr>
          <w:noProof/>
        </w:rPr>
        <w:fldChar w:fldCharType="separate"/>
      </w:r>
      <w:r w:rsidR="00F80947">
        <w:rPr>
          <w:noProof/>
        </w:rPr>
        <w:t>8</w:t>
      </w:r>
      <w:r w:rsidRPr="0088307E">
        <w:rPr>
          <w:noProof/>
        </w:rPr>
        <w:fldChar w:fldCharType="end"/>
      </w:r>
      <w:r w:rsidRPr="0088307E">
        <w:t xml:space="preserve"> Členění kapitálových výdajů</w:t>
      </w:r>
      <w:bookmarkEnd w:id="198"/>
    </w:p>
    <w:p w14:paraId="5B031446" w14:textId="77777777" w:rsidR="004B2F70" w:rsidRPr="00E8518E" w:rsidRDefault="00EC29C3" w:rsidP="004B2F70">
      <w:pPr>
        <w:spacing w:before="120" w:after="80" w:line="240" w:lineRule="auto"/>
        <w:rPr>
          <w:rFonts w:eastAsia="Times New Roman" w:cs="Times New Roman"/>
          <w:noProof/>
          <w:color w:val="FF0000"/>
          <w:szCs w:val="24"/>
          <w:lang w:eastAsia="cs-CZ"/>
        </w:rPr>
      </w:pPr>
      <w:r w:rsidRPr="00E8518E">
        <w:rPr>
          <w:rFonts w:eastAsia="Times New Roman" w:cs="Times New Roman"/>
          <w:noProof/>
          <w:color w:val="FF0000"/>
          <w:szCs w:val="24"/>
          <w:lang w:eastAsia="cs-CZ"/>
        </w:rPr>
        <w:drawing>
          <wp:inline distT="0" distB="0" distL="0" distR="0" wp14:anchorId="76381D1E" wp14:editId="1E58806D">
            <wp:extent cx="5760085" cy="2616200"/>
            <wp:effectExtent l="0" t="0" r="12065" b="12700"/>
            <wp:docPr id="14" name="Graf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202D9520" w14:textId="77777777" w:rsidR="008A1F72" w:rsidRPr="0088307E" w:rsidRDefault="008A1F72" w:rsidP="00910074">
      <w:pPr>
        <w:pStyle w:val="Nadpis3"/>
      </w:pPr>
      <w:bookmarkStart w:id="199" w:name="_Toc115787801"/>
      <w:r w:rsidRPr="0088307E">
        <w:t>Investiční transfery veřejným výzkumným institucím</w:t>
      </w:r>
      <w:bookmarkEnd w:id="194"/>
      <w:bookmarkEnd w:id="199"/>
    </w:p>
    <w:p w14:paraId="0FBEC259" w14:textId="0C3BB773" w:rsidR="004B2F70" w:rsidRPr="00E8518E" w:rsidRDefault="002A440F" w:rsidP="004B2F70">
      <w:pPr>
        <w:pStyle w:val="Styl1"/>
        <w:rPr>
          <w:color w:val="FF0000"/>
        </w:rPr>
      </w:pPr>
      <w:bookmarkStart w:id="200" w:name="_Toc305406308"/>
      <w:bookmarkStart w:id="201" w:name="_Toc462314401"/>
      <w:bookmarkStart w:id="202" w:name="_Toc489274108"/>
      <w:bookmarkEnd w:id="195"/>
      <w:r w:rsidRPr="001A43B5">
        <w:t xml:space="preserve">Investiční transfer veřejným výzkumným institucím je pro rok 2023 navržen ve výši  </w:t>
      </w:r>
      <w:r w:rsidRPr="001A43B5">
        <w:br/>
        <w:t xml:space="preserve">30 000 tis. Kč. Tento transfer je určen pro Centrum dopravního výzkumu, </w:t>
      </w:r>
      <w:proofErr w:type="spellStart"/>
      <w:r w:rsidRPr="001A43B5">
        <w:t>v.v.i</w:t>
      </w:r>
      <w:proofErr w:type="spellEnd"/>
      <w:r w:rsidRPr="001A43B5">
        <w:t>.</w:t>
      </w:r>
      <w:r w:rsidR="004B2F70" w:rsidRPr="00E8518E">
        <w:rPr>
          <w:color w:val="FF0000"/>
        </w:rPr>
        <w:t xml:space="preserve"> </w:t>
      </w:r>
    </w:p>
    <w:p w14:paraId="24327C04" w14:textId="77777777" w:rsidR="004B2F70" w:rsidRPr="0088307E" w:rsidRDefault="004B2F70" w:rsidP="004B2F70">
      <w:pPr>
        <w:pStyle w:val="Styl1"/>
      </w:pPr>
      <w:r w:rsidRPr="0088307E">
        <w:t>Veřejná výzkumná instituce Centrum dopravního výzkumu provádí výzkum, zabezpečuje expertní a servisní činnosti v oblasti výzkumu pro Ministerstvo dopravy a další organizační složky státu nebo územní samosprávné celky. Její činnost je zaměřena na základní, aplikovaný a průmyslový výzkum.</w:t>
      </w:r>
    </w:p>
    <w:p w14:paraId="3FCC7B52" w14:textId="777C714B" w:rsidR="004B2F70" w:rsidRPr="0088307E" w:rsidRDefault="004B2F70" w:rsidP="004B2F70">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26</w:t>
      </w:r>
      <w:r w:rsidRPr="0088307E">
        <w:rPr>
          <w:noProof/>
        </w:rPr>
        <w:fldChar w:fldCharType="end"/>
      </w:r>
      <w:r w:rsidRPr="0088307E">
        <w:rPr>
          <w:noProof/>
        </w:rPr>
        <w:t xml:space="preserve"> Ivestiční transfery veřejným výzkumným institucím (v tis. Kč)</w:t>
      </w:r>
    </w:p>
    <w:tbl>
      <w:tblPr>
        <w:tblStyle w:val="Svtltabulkasmkou1zvraznn54"/>
        <w:tblW w:w="9105"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082"/>
        <w:gridCol w:w="1361"/>
        <w:gridCol w:w="1260"/>
        <w:gridCol w:w="1278"/>
        <w:gridCol w:w="1124"/>
      </w:tblGrid>
      <w:tr w:rsidR="002A440F" w:rsidRPr="002A440F" w14:paraId="5A729267" w14:textId="77777777" w:rsidTr="002A440F">
        <w:tc>
          <w:tcPr>
            <w:tcW w:w="4082"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64A717F"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Ukazatel</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0F0D832"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Skutečnost</w:t>
            </w:r>
          </w:p>
          <w:p w14:paraId="12A2E5CF"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2021</w:t>
            </w:r>
          </w:p>
        </w:tc>
        <w:tc>
          <w:tcPr>
            <w:tcW w:w="1260"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E570268"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Schválený</w:t>
            </w:r>
          </w:p>
          <w:p w14:paraId="3B03F8D8"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rozpočet</w:t>
            </w:r>
          </w:p>
          <w:p w14:paraId="226E3EA0"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2022</w:t>
            </w:r>
          </w:p>
        </w:tc>
        <w:tc>
          <w:tcPr>
            <w:tcW w:w="127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A6556E4"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Návrh</w:t>
            </w:r>
          </w:p>
          <w:p w14:paraId="1CC34FB5"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rozpočtu</w:t>
            </w:r>
          </w:p>
          <w:p w14:paraId="0BD5955E"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2023</w:t>
            </w:r>
          </w:p>
        </w:tc>
        <w:tc>
          <w:tcPr>
            <w:tcW w:w="112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BCFFCFC"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Index</w:t>
            </w:r>
          </w:p>
          <w:p w14:paraId="15290E1D"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2023/</w:t>
            </w:r>
            <w:r w:rsidRPr="002A440F">
              <w:rPr>
                <w:rFonts w:eastAsia="Times New Roman" w:cs="Times New Roman"/>
                <w:b/>
                <w:szCs w:val="24"/>
                <w:lang w:eastAsia="cs-CZ"/>
              </w:rPr>
              <w:br/>
              <w:t>2022</w:t>
            </w:r>
          </w:p>
          <w:p w14:paraId="630F3BB6" w14:textId="77777777" w:rsidR="002A440F" w:rsidRPr="002A440F" w:rsidRDefault="002A440F" w:rsidP="002A440F">
            <w:pPr>
              <w:jc w:val="center"/>
              <w:rPr>
                <w:rFonts w:eastAsia="Times New Roman" w:cs="Times New Roman"/>
                <w:b/>
                <w:szCs w:val="24"/>
                <w:lang w:eastAsia="cs-CZ"/>
              </w:rPr>
            </w:pPr>
            <w:r w:rsidRPr="002A440F">
              <w:rPr>
                <w:rFonts w:eastAsia="Times New Roman" w:cs="Times New Roman"/>
                <w:b/>
                <w:szCs w:val="24"/>
                <w:lang w:eastAsia="cs-CZ"/>
              </w:rPr>
              <w:t>(v %)</w:t>
            </w:r>
          </w:p>
        </w:tc>
      </w:tr>
      <w:tr w:rsidR="002A440F" w:rsidRPr="002A440F" w14:paraId="3779FC7C" w14:textId="77777777" w:rsidTr="002A440F">
        <w:tc>
          <w:tcPr>
            <w:tcW w:w="4082" w:type="dxa"/>
            <w:tcBorders>
              <w:top w:val="single" w:sz="4" w:space="0" w:color="7F7F7F" w:themeColor="text1" w:themeTint="80"/>
            </w:tcBorders>
            <w:shd w:val="clear" w:color="auto" w:fill="auto"/>
          </w:tcPr>
          <w:p w14:paraId="786758B9" w14:textId="77777777" w:rsidR="002A440F" w:rsidRPr="002A440F" w:rsidRDefault="002A440F" w:rsidP="002A440F">
            <w:pPr>
              <w:jc w:val="center"/>
              <w:rPr>
                <w:rFonts w:eastAsia="Times New Roman" w:cs="Times New Roman"/>
                <w:szCs w:val="24"/>
                <w:lang w:eastAsia="cs-CZ"/>
              </w:rPr>
            </w:pPr>
            <w:r w:rsidRPr="002A440F">
              <w:rPr>
                <w:rFonts w:eastAsia="Times New Roman" w:cs="Times New Roman"/>
                <w:szCs w:val="24"/>
                <w:lang w:eastAsia="cs-CZ"/>
              </w:rPr>
              <w:t>a</w:t>
            </w:r>
          </w:p>
        </w:tc>
        <w:tc>
          <w:tcPr>
            <w:tcW w:w="1361" w:type="dxa"/>
            <w:tcBorders>
              <w:top w:val="single" w:sz="4" w:space="0" w:color="7F7F7F" w:themeColor="text1" w:themeTint="80"/>
            </w:tcBorders>
            <w:shd w:val="clear" w:color="auto" w:fill="auto"/>
          </w:tcPr>
          <w:p w14:paraId="2FC3B335" w14:textId="77777777" w:rsidR="002A440F" w:rsidRPr="002A440F" w:rsidRDefault="002A440F" w:rsidP="002A440F">
            <w:pPr>
              <w:jc w:val="center"/>
              <w:rPr>
                <w:rFonts w:eastAsia="Times New Roman" w:cs="Times New Roman"/>
                <w:szCs w:val="24"/>
                <w:lang w:eastAsia="cs-CZ"/>
              </w:rPr>
            </w:pPr>
            <w:r w:rsidRPr="002A440F">
              <w:rPr>
                <w:rFonts w:eastAsia="Times New Roman" w:cs="Times New Roman"/>
                <w:szCs w:val="24"/>
                <w:lang w:eastAsia="cs-CZ"/>
              </w:rPr>
              <w:t>1</w:t>
            </w:r>
          </w:p>
        </w:tc>
        <w:tc>
          <w:tcPr>
            <w:tcW w:w="1260" w:type="dxa"/>
            <w:tcBorders>
              <w:top w:val="single" w:sz="4" w:space="0" w:color="7F7F7F" w:themeColor="text1" w:themeTint="80"/>
            </w:tcBorders>
            <w:shd w:val="clear" w:color="auto" w:fill="auto"/>
          </w:tcPr>
          <w:p w14:paraId="01BED7CB" w14:textId="77777777" w:rsidR="002A440F" w:rsidRPr="002A440F" w:rsidRDefault="002A440F" w:rsidP="002A440F">
            <w:pPr>
              <w:jc w:val="center"/>
              <w:rPr>
                <w:rFonts w:eastAsia="Times New Roman" w:cs="Times New Roman"/>
                <w:szCs w:val="24"/>
                <w:lang w:eastAsia="cs-CZ"/>
              </w:rPr>
            </w:pPr>
            <w:r w:rsidRPr="002A440F">
              <w:rPr>
                <w:rFonts w:eastAsia="Times New Roman" w:cs="Times New Roman"/>
                <w:szCs w:val="24"/>
                <w:lang w:eastAsia="cs-CZ"/>
              </w:rPr>
              <w:t>2</w:t>
            </w:r>
          </w:p>
        </w:tc>
        <w:tc>
          <w:tcPr>
            <w:tcW w:w="1278" w:type="dxa"/>
            <w:tcBorders>
              <w:top w:val="single" w:sz="4" w:space="0" w:color="7F7F7F" w:themeColor="text1" w:themeTint="80"/>
            </w:tcBorders>
            <w:shd w:val="clear" w:color="auto" w:fill="auto"/>
          </w:tcPr>
          <w:p w14:paraId="11692A91" w14:textId="77777777" w:rsidR="002A440F" w:rsidRPr="002A440F" w:rsidRDefault="002A440F" w:rsidP="002A440F">
            <w:pPr>
              <w:jc w:val="center"/>
              <w:rPr>
                <w:rFonts w:eastAsia="Times New Roman" w:cs="Times New Roman"/>
                <w:szCs w:val="24"/>
                <w:lang w:eastAsia="cs-CZ"/>
              </w:rPr>
            </w:pPr>
            <w:r w:rsidRPr="002A440F">
              <w:rPr>
                <w:rFonts w:eastAsia="Times New Roman" w:cs="Times New Roman"/>
                <w:szCs w:val="24"/>
                <w:lang w:eastAsia="cs-CZ"/>
              </w:rPr>
              <w:t>3</w:t>
            </w:r>
          </w:p>
        </w:tc>
        <w:tc>
          <w:tcPr>
            <w:tcW w:w="1124" w:type="dxa"/>
            <w:tcBorders>
              <w:top w:val="single" w:sz="4" w:space="0" w:color="7F7F7F" w:themeColor="text1" w:themeTint="80"/>
            </w:tcBorders>
            <w:shd w:val="clear" w:color="auto" w:fill="auto"/>
          </w:tcPr>
          <w:p w14:paraId="0A92A96A" w14:textId="77777777" w:rsidR="002A440F" w:rsidRPr="002A440F" w:rsidRDefault="002A440F" w:rsidP="002A440F">
            <w:pPr>
              <w:jc w:val="center"/>
              <w:rPr>
                <w:rFonts w:eastAsia="Times New Roman" w:cs="Times New Roman"/>
                <w:szCs w:val="24"/>
                <w:lang w:eastAsia="cs-CZ"/>
              </w:rPr>
            </w:pPr>
            <w:r w:rsidRPr="002A440F">
              <w:rPr>
                <w:rFonts w:eastAsia="Times New Roman" w:cs="Times New Roman"/>
                <w:szCs w:val="24"/>
                <w:lang w:eastAsia="cs-CZ"/>
              </w:rPr>
              <w:t>4</w:t>
            </w:r>
          </w:p>
        </w:tc>
      </w:tr>
      <w:tr w:rsidR="002A440F" w:rsidRPr="002A440F" w14:paraId="429F160B" w14:textId="77777777" w:rsidTr="002A440F">
        <w:trPr>
          <w:trHeight w:val="334"/>
        </w:trPr>
        <w:tc>
          <w:tcPr>
            <w:tcW w:w="4082" w:type="dxa"/>
            <w:shd w:val="clear" w:color="auto" w:fill="auto"/>
          </w:tcPr>
          <w:p w14:paraId="5DD7E4A1" w14:textId="77777777" w:rsidR="002A440F" w:rsidRPr="002A440F" w:rsidRDefault="002A440F" w:rsidP="002A440F">
            <w:pPr>
              <w:spacing w:before="40"/>
              <w:rPr>
                <w:rFonts w:eastAsia="Times New Roman" w:cs="Times New Roman"/>
                <w:b/>
                <w:lang w:eastAsia="cs-CZ"/>
              </w:rPr>
            </w:pPr>
            <w:r w:rsidRPr="002A440F">
              <w:rPr>
                <w:rFonts w:eastAsia="Times New Roman" w:cs="Times New Roman"/>
                <w:b/>
                <w:lang w:eastAsia="cs-CZ"/>
              </w:rPr>
              <w:t xml:space="preserve">Výdaje na výzkum, vývoj a inovace </w:t>
            </w:r>
          </w:p>
          <w:p w14:paraId="3E6AEE8C" w14:textId="77777777" w:rsidR="002A440F" w:rsidRPr="002A440F" w:rsidRDefault="002A440F" w:rsidP="002A440F">
            <w:pPr>
              <w:rPr>
                <w:rFonts w:eastAsia="Times New Roman" w:cs="Times New Roman"/>
                <w:lang w:eastAsia="cs-CZ"/>
              </w:rPr>
            </w:pPr>
            <w:r w:rsidRPr="002A440F">
              <w:rPr>
                <w:rFonts w:eastAsia="Times New Roman" w:cs="Times New Roman"/>
                <w:lang w:eastAsia="cs-CZ"/>
              </w:rPr>
              <w:t>v tom:</w:t>
            </w:r>
          </w:p>
        </w:tc>
        <w:tc>
          <w:tcPr>
            <w:tcW w:w="1361" w:type="dxa"/>
            <w:shd w:val="clear" w:color="auto" w:fill="auto"/>
          </w:tcPr>
          <w:p w14:paraId="274E4694" w14:textId="77777777" w:rsidR="002A440F" w:rsidRPr="002A440F" w:rsidRDefault="002A440F" w:rsidP="002A440F">
            <w:pPr>
              <w:spacing w:before="81"/>
              <w:jc w:val="right"/>
              <w:rPr>
                <w:rFonts w:eastAsia="Times New Roman" w:cs="Times New Roman"/>
                <w:b/>
                <w:lang w:eastAsia="cs-CZ"/>
              </w:rPr>
            </w:pPr>
            <w:r w:rsidRPr="002A440F">
              <w:rPr>
                <w:rFonts w:eastAsia="Times New Roman" w:cs="Times New Roman"/>
                <w:b/>
                <w:lang w:eastAsia="cs-CZ"/>
              </w:rPr>
              <w:t>40 907</w:t>
            </w:r>
          </w:p>
        </w:tc>
        <w:tc>
          <w:tcPr>
            <w:tcW w:w="1260" w:type="dxa"/>
            <w:shd w:val="clear" w:color="auto" w:fill="auto"/>
          </w:tcPr>
          <w:p w14:paraId="00F66DD1" w14:textId="77777777" w:rsidR="002A440F" w:rsidRPr="002A440F" w:rsidRDefault="002A440F" w:rsidP="002A440F">
            <w:pPr>
              <w:spacing w:before="81"/>
              <w:jc w:val="right"/>
              <w:rPr>
                <w:rFonts w:eastAsia="Times New Roman" w:cs="Times New Roman"/>
                <w:b/>
                <w:lang w:eastAsia="cs-CZ"/>
              </w:rPr>
            </w:pPr>
            <w:r w:rsidRPr="002A440F">
              <w:rPr>
                <w:rFonts w:eastAsia="Times New Roman" w:cs="Times New Roman"/>
                <w:b/>
                <w:lang w:eastAsia="cs-CZ"/>
              </w:rPr>
              <w:t>16 603</w:t>
            </w:r>
          </w:p>
        </w:tc>
        <w:tc>
          <w:tcPr>
            <w:tcW w:w="1278" w:type="dxa"/>
            <w:shd w:val="clear" w:color="auto" w:fill="auto"/>
          </w:tcPr>
          <w:p w14:paraId="08DF9A6F" w14:textId="77777777" w:rsidR="002A440F" w:rsidRPr="002A440F" w:rsidRDefault="002A440F" w:rsidP="002A440F">
            <w:pPr>
              <w:spacing w:before="81"/>
              <w:jc w:val="right"/>
              <w:rPr>
                <w:rFonts w:eastAsia="Times New Roman" w:cs="Times New Roman"/>
                <w:b/>
                <w:lang w:eastAsia="cs-CZ"/>
              </w:rPr>
            </w:pPr>
            <w:r w:rsidRPr="002A440F">
              <w:rPr>
                <w:rFonts w:eastAsia="Times New Roman" w:cs="Times New Roman"/>
                <w:b/>
                <w:lang w:eastAsia="cs-CZ"/>
              </w:rPr>
              <w:t>30 000</w:t>
            </w:r>
          </w:p>
        </w:tc>
        <w:tc>
          <w:tcPr>
            <w:tcW w:w="1124" w:type="dxa"/>
            <w:shd w:val="clear" w:color="auto" w:fill="auto"/>
          </w:tcPr>
          <w:p w14:paraId="05344DF3" w14:textId="77777777" w:rsidR="002A440F" w:rsidRPr="002A440F" w:rsidRDefault="002A440F" w:rsidP="002A440F">
            <w:pPr>
              <w:spacing w:before="81"/>
              <w:jc w:val="right"/>
              <w:rPr>
                <w:rFonts w:eastAsia="Times New Roman" w:cs="Times New Roman"/>
                <w:b/>
                <w:lang w:eastAsia="cs-CZ"/>
              </w:rPr>
            </w:pPr>
            <w:r w:rsidRPr="002A440F">
              <w:rPr>
                <w:rFonts w:eastAsia="Times New Roman" w:cs="Times New Roman"/>
                <w:b/>
                <w:lang w:eastAsia="cs-CZ"/>
              </w:rPr>
              <w:t>180,69</w:t>
            </w:r>
          </w:p>
        </w:tc>
      </w:tr>
      <w:tr w:rsidR="002A440F" w:rsidRPr="002A440F" w14:paraId="00295B51" w14:textId="77777777" w:rsidTr="002A440F">
        <w:tc>
          <w:tcPr>
            <w:tcW w:w="4082" w:type="dxa"/>
            <w:shd w:val="clear" w:color="auto" w:fill="auto"/>
          </w:tcPr>
          <w:p w14:paraId="6C1D6D03" w14:textId="77777777" w:rsidR="002A440F" w:rsidRPr="002A440F" w:rsidRDefault="002A440F" w:rsidP="002A440F">
            <w:pPr>
              <w:rPr>
                <w:rFonts w:eastAsia="Times New Roman" w:cs="Times New Roman"/>
                <w:lang w:eastAsia="cs-CZ"/>
              </w:rPr>
            </w:pPr>
            <w:r w:rsidRPr="002A440F">
              <w:rPr>
                <w:rFonts w:eastAsia="Times New Roman" w:cs="Times New Roman"/>
                <w:lang w:eastAsia="cs-CZ"/>
              </w:rPr>
              <w:t>institucionální podpora</w:t>
            </w:r>
          </w:p>
        </w:tc>
        <w:tc>
          <w:tcPr>
            <w:tcW w:w="1361" w:type="dxa"/>
            <w:shd w:val="clear" w:color="auto" w:fill="auto"/>
          </w:tcPr>
          <w:p w14:paraId="3FEBF97C" w14:textId="77777777" w:rsidR="002A440F" w:rsidRPr="002A440F" w:rsidRDefault="002A440F" w:rsidP="002A440F">
            <w:pPr>
              <w:jc w:val="right"/>
              <w:rPr>
                <w:rFonts w:eastAsia="Times New Roman" w:cs="Times New Roman"/>
                <w:lang w:eastAsia="cs-CZ"/>
              </w:rPr>
            </w:pPr>
            <w:r w:rsidRPr="002A440F">
              <w:rPr>
                <w:rFonts w:eastAsia="Times New Roman" w:cs="Times New Roman"/>
                <w:lang w:eastAsia="cs-CZ"/>
              </w:rPr>
              <w:t>40 907</w:t>
            </w:r>
          </w:p>
        </w:tc>
        <w:tc>
          <w:tcPr>
            <w:tcW w:w="1260" w:type="dxa"/>
            <w:shd w:val="clear" w:color="auto" w:fill="auto"/>
          </w:tcPr>
          <w:p w14:paraId="5ACEEB61" w14:textId="77777777" w:rsidR="002A440F" w:rsidRPr="002A440F" w:rsidRDefault="002A440F" w:rsidP="002A440F">
            <w:pPr>
              <w:jc w:val="right"/>
              <w:rPr>
                <w:rFonts w:eastAsia="Times New Roman" w:cs="Times New Roman"/>
                <w:lang w:eastAsia="cs-CZ"/>
              </w:rPr>
            </w:pPr>
            <w:r w:rsidRPr="002A440F">
              <w:rPr>
                <w:rFonts w:eastAsia="Times New Roman" w:cs="Times New Roman"/>
                <w:lang w:eastAsia="cs-CZ"/>
              </w:rPr>
              <w:t>16 603</w:t>
            </w:r>
          </w:p>
        </w:tc>
        <w:tc>
          <w:tcPr>
            <w:tcW w:w="1278" w:type="dxa"/>
            <w:shd w:val="clear" w:color="auto" w:fill="auto"/>
          </w:tcPr>
          <w:p w14:paraId="4F28C034" w14:textId="77777777" w:rsidR="002A440F" w:rsidRPr="002A440F" w:rsidRDefault="002A440F" w:rsidP="002A440F">
            <w:pPr>
              <w:jc w:val="right"/>
              <w:rPr>
                <w:rFonts w:eastAsia="Times New Roman" w:cs="Times New Roman"/>
                <w:lang w:eastAsia="cs-CZ"/>
              </w:rPr>
            </w:pPr>
            <w:r w:rsidRPr="002A440F">
              <w:rPr>
                <w:rFonts w:eastAsia="Times New Roman" w:cs="Times New Roman"/>
                <w:lang w:eastAsia="cs-CZ"/>
              </w:rPr>
              <w:t>30 000</w:t>
            </w:r>
          </w:p>
        </w:tc>
        <w:tc>
          <w:tcPr>
            <w:tcW w:w="1124" w:type="dxa"/>
            <w:shd w:val="clear" w:color="auto" w:fill="auto"/>
          </w:tcPr>
          <w:p w14:paraId="69626E2B" w14:textId="77777777" w:rsidR="002A440F" w:rsidRPr="002A440F" w:rsidRDefault="002A440F" w:rsidP="002A440F">
            <w:pPr>
              <w:jc w:val="right"/>
              <w:rPr>
                <w:rFonts w:eastAsia="Times New Roman" w:cs="Times New Roman"/>
                <w:lang w:eastAsia="cs-CZ"/>
              </w:rPr>
            </w:pPr>
            <w:r w:rsidRPr="002A440F">
              <w:rPr>
                <w:rFonts w:eastAsia="Times New Roman" w:cs="Times New Roman"/>
                <w:lang w:eastAsia="cs-CZ"/>
              </w:rPr>
              <w:t>180,69</w:t>
            </w:r>
          </w:p>
        </w:tc>
      </w:tr>
    </w:tbl>
    <w:p w14:paraId="4DA0D0EC" w14:textId="7809CA49" w:rsidR="002A440F" w:rsidRPr="0088307E" w:rsidRDefault="002A440F" w:rsidP="002A440F">
      <w:pPr>
        <w:keepLines/>
        <w:spacing w:before="240" w:after="240" w:line="276" w:lineRule="auto"/>
        <w:rPr>
          <w:rFonts w:eastAsia="Times New Roman" w:cs="Times New Roman"/>
          <w:iCs/>
          <w:szCs w:val="24"/>
          <w:lang w:eastAsia="cs-CZ"/>
        </w:rPr>
      </w:pPr>
      <w:r w:rsidRPr="0088307E">
        <w:rPr>
          <w:rFonts w:eastAsia="Times New Roman" w:cs="Times New Roman"/>
          <w:iCs/>
          <w:szCs w:val="24"/>
          <w:lang w:eastAsia="cs-CZ"/>
        </w:rPr>
        <w:t xml:space="preserve">V porovnání s rokem 2022 došlo k navýšení investičních institucionálních prostředků   </w:t>
      </w:r>
      <w:r>
        <w:rPr>
          <w:rFonts w:eastAsia="Times New Roman" w:cs="Times New Roman"/>
          <w:iCs/>
          <w:szCs w:val="24"/>
          <w:lang w:eastAsia="cs-CZ"/>
        </w:rPr>
        <w:t xml:space="preserve">                      </w:t>
      </w:r>
      <w:r w:rsidRPr="0088307E">
        <w:rPr>
          <w:rFonts w:eastAsia="Times New Roman" w:cs="Times New Roman"/>
          <w:iCs/>
          <w:szCs w:val="24"/>
          <w:lang w:eastAsia="cs-CZ"/>
        </w:rPr>
        <w:t xml:space="preserve">o 13 397 tis. Kč. Navýšení je provedeno na úkor neinvestičních  </w:t>
      </w:r>
      <w:proofErr w:type="spellStart"/>
      <w:r w:rsidRPr="0088307E">
        <w:rPr>
          <w:rFonts w:eastAsia="Times New Roman" w:cs="Times New Roman"/>
          <w:iCs/>
          <w:szCs w:val="24"/>
          <w:lang w:eastAsia="cs-CZ"/>
        </w:rPr>
        <w:t>institiucionálních</w:t>
      </w:r>
      <w:proofErr w:type="spellEnd"/>
      <w:r w:rsidRPr="0088307E">
        <w:rPr>
          <w:rFonts w:eastAsia="Times New Roman" w:cs="Times New Roman"/>
          <w:iCs/>
          <w:szCs w:val="24"/>
          <w:lang w:eastAsia="cs-CZ"/>
        </w:rPr>
        <w:t xml:space="preserve"> prostředků</w:t>
      </w:r>
      <w:r w:rsidRPr="002A440F">
        <w:rPr>
          <w:rFonts w:eastAsia="Times New Roman" w:cs="Times New Roman"/>
          <w:iCs/>
          <w:szCs w:val="24"/>
          <w:lang w:eastAsia="cs-CZ"/>
        </w:rPr>
        <w:t xml:space="preserve"> </w:t>
      </w:r>
      <w:r>
        <w:rPr>
          <w:rFonts w:eastAsia="Times New Roman" w:cs="Times New Roman"/>
          <w:iCs/>
          <w:szCs w:val="24"/>
          <w:lang w:eastAsia="cs-CZ"/>
        </w:rPr>
        <w:t xml:space="preserve">při zachování celkového objemu dotace na úrovni roku 2022. </w:t>
      </w:r>
    </w:p>
    <w:p w14:paraId="2D7BC4CE" w14:textId="5647B171" w:rsidR="002A440F" w:rsidRDefault="002A440F" w:rsidP="002A440F">
      <w:pPr>
        <w:keepLines/>
        <w:spacing w:before="240" w:after="240" w:line="276" w:lineRule="auto"/>
        <w:rPr>
          <w:rFonts w:eastAsia="Times New Roman" w:cs="Times New Roman"/>
          <w:iCs/>
          <w:szCs w:val="24"/>
          <w:lang w:eastAsia="cs-CZ"/>
        </w:rPr>
      </w:pPr>
      <w:r w:rsidRPr="0088307E">
        <w:rPr>
          <w:rFonts w:eastAsia="Times New Roman" w:cs="Times New Roman"/>
          <w:b/>
          <w:iCs/>
          <w:szCs w:val="24"/>
          <w:lang w:eastAsia="cs-CZ"/>
        </w:rPr>
        <w:t>Investiční institucionální prostředky ve výši 30 000 tis. Kč</w:t>
      </w:r>
      <w:r w:rsidRPr="0088307E">
        <w:rPr>
          <w:rFonts w:eastAsia="Times New Roman" w:cs="Times New Roman"/>
          <w:iCs/>
          <w:szCs w:val="24"/>
          <w:lang w:eastAsia="cs-CZ"/>
        </w:rPr>
        <w:t xml:space="preserve"> budou použity na obnovy či rozšíření výzkumné infrastruktury (stroje a zařízení) a rekonstrukci objektu instituce.</w:t>
      </w:r>
    </w:p>
    <w:p w14:paraId="176F2ADF" w14:textId="69B88D39" w:rsidR="002A440F" w:rsidRPr="0088307E" w:rsidRDefault="002A440F" w:rsidP="002A440F">
      <w:pPr>
        <w:keepLines/>
        <w:spacing w:before="240" w:after="240" w:line="276" w:lineRule="auto"/>
        <w:rPr>
          <w:rFonts w:eastAsia="Times New Roman" w:cs="Times New Roman"/>
          <w:iCs/>
          <w:szCs w:val="24"/>
          <w:lang w:eastAsia="cs-CZ"/>
        </w:rPr>
      </w:pPr>
      <w:r w:rsidRPr="002A440F">
        <w:rPr>
          <w:rFonts w:eastAsia="Times New Roman" w:cs="Times New Roman"/>
          <w:iCs/>
          <w:szCs w:val="24"/>
          <w:lang w:eastAsia="cs-CZ"/>
        </w:rPr>
        <w:t>Tyto  investiční prostředky jsou vedeny v informačním systému ZED.</w:t>
      </w:r>
    </w:p>
    <w:p w14:paraId="1967183E" w14:textId="77777777" w:rsidR="002A440F" w:rsidRPr="0088307E" w:rsidRDefault="002A440F" w:rsidP="0088307E"/>
    <w:p w14:paraId="3EC48680" w14:textId="6E22396C" w:rsidR="00316A6C" w:rsidRPr="0088307E" w:rsidRDefault="00316A6C" w:rsidP="0088307E">
      <w:pPr>
        <w:pStyle w:val="Nadpis3"/>
        <w:rPr>
          <w:b w:val="0"/>
          <w:bCs w:val="0"/>
        </w:rPr>
      </w:pPr>
      <w:bookmarkStart w:id="203" w:name="_Toc115787244"/>
      <w:bookmarkStart w:id="204" w:name="_Toc115787834"/>
      <w:bookmarkStart w:id="205" w:name="_Toc115787245"/>
      <w:bookmarkStart w:id="206" w:name="_Toc115787835"/>
      <w:bookmarkStart w:id="207" w:name="_Toc115787246"/>
      <w:bookmarkStart w:id="208" w:name="_Toc115787836"/>
      <w:bookmarkStart w:id="209" w:name="_Toc78386793"/>
      <w:bookmarkStart w:id="210" w:name="_Toc115787837"/>
      <w:bookmarkEnd w:id="203"/>
      <w:bookmarkEnd w:id="204"/>
      <w:bookmarkEnd w:id="205"/>
      <w:bookmarkEnd w:id="206"/>
      <w:bookmarkEnd w:id="207"/>
      <w:bookmarkEnd w:id="208"/>
      <w:r w:rsidRPr="0088307E">
        <w:t>Kapitálové výdaje (prostředky EU – programovací období 2021-2027), vedené mimo programové financování EDS/SMVS</w:t>
      </w:r>
      <w:bookmarkEnd w:id="209"/>
      <w:bookmarkEnd w:id="210"/>
    </w:p>
    <w:p w14:paraId="1468C09B" w14:textId="1F6AA602" w:rsidR="00316A6C" w:rsidRPr="00E8518E" w:rsidRDefault="00CB5445" w:rsidP="00DD0BDE">
      <w:pPr>
        <w:pStyle w:val="Styl1"/>
        <w:spacing w:after="200"/>
        <w:rPr>
          <w:color w:val="FF0000"/>
        </w:rPr>
      </w:pPr>
      <w:r w:rsidRPr="002238F2">
        <w:t xml:space="preserve">Ze schváleného závazného objemu pro sestavení návrhu rozpočtu na rok 2023 </w:t>
      </w:r>
      <w:r w:rsidRPr="002238F2">
        <w:br/>
        <w:t xml:space="preserve">je na prostředky EU (programovací období 2021-2027) </w:t>
      </w:r>
      <w:r w:rsidRPr="002238F2">
        <w:rPr>
          <w:b/>
        </w:rPr>
        <w:t xml:space="preserve">vyčleněna částka v celkové výši  </w:t>
      </w:r>
      <w:r w:rsidRPr="00E8518E">
        <w:rPr>
          <w:b/>
          <w:color w:val="FF0000"/>
        </w:rPr>
        <w:br/>
      </w:r>
      <w:r w:rsidRPr="002238F2">
        <w:rPr>
          <w:b/>
        </w:rPr>
        <w:t xml:space="preserve">23 603 693  tis. Kč. </w:t>
      </w:r>
      <w:r w:rsidRPr="002238F2">
        <w:t>Jedná se o kapitálové výdaje vedené v</w:t>
      </w:r>
      <w:r>
        <w:t xml:space="preserve"> informačním </w:t>
      </w:r>
      <w:r w:rsidRPr="002238F2">
        <w:t>systému ZED</w:t>
      </w:r>
      <w:r>
        <w:t>.</w:t>
      </w:r>
      <w:r w:rsidRPr="002238F2">
        <w:t xml:space="preserve"> </w:t>
      </w:r>
    </w:p>
    <w:p w14:paraId="11B1C790" w14:textId="77777777" w:rsidR="00316A6C" w:rsidRPr="0088307E" w:rsidRDefault="00316A6C" w:rsidP="00D1426E">
      <w:pPr>
        <w:pStyle w:val="Styl1"/>
        <w:spacing w:before="200" w:after="120"/>
      </w:pPr>
      <w:r w:rsidRPr="0088307E">
        <w:t xml:space="preserve">Členění výdajů podle </w:t>
      </w:r>
      <w:proofErr w:type="spellStart"/>
      <w:r w:rsidRPr="0088307E">
        <w:t>hospodářsko</w:t>
      </w:r>
      <w:proofErr w:type="spellEnd"/>
      <w:r w:rsidRPr="0088307E">
        <w:t xml:space="preserve"> právní formy konečných příjemců celkem zobrazuje následující tabulka.     </w:t>
      </w:r>
    </w:p>
    <w:p w14:paraId="6C419D33" w14:textId="581E4E66" w:rsidR="00316A6C" w:rsidRDefault="00316A6C" w:rsidP="00A4652C">
      <w:pPr>
        <w:pStyle w:val="Titulek"/>
        <w:rPr>
          <w:noProof/>
        </w:rPr>
      </w:pPr>
      <w:r w:rsidRPr="0088307E">
        <w:t xml:space="preserve">Tabulka č. </w:t>
      </w:r>
      <w:fldSimple w:instr=" SEQ Tabulka \* ARABIC ">
        <w:r w:rsidR="00F80947">
          <w:rPr>
            <w:noProof/>
          </w:rPr>
          <w:t>27</w:t>
        </w:r>
      </w:fldSimple>
      <w:r w:rsidRPr="0088307E">
        <w:rPr>
          <w:noProof/>
        </w:rPr>
        <w:t xml:space="preserve"> Výdaje EU vedené mimo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18"/>
        <w:gridCol w:w="1417"/>
        <w:gridCol w:w="1418"/>
        <w:gridCol w:w="1349"/>
        <w:gridCol w:w="1077"/>
      </w:tblGrid>
      <w:tr w:rsidR="00CB5445" w:rsidRPr="0040603C" w14:paraId="1E876305" w14:textId="77777777" w:rsidTr="00CB5445">
        <w:tc>
          <w:tcPr>
            <w:tcW w:w="38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17DFD8A"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Ukazatel</w:t>
            </w:r>
          </w:p>
        </w:tc>
        <w:tc>
          <w:tcPr>
            <w:tcW w:w="141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97473BF"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Skutečnost</w:t>
            </w:r>
          </w:p>
          <w:p w14:paraId="43892D58"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202</w:t>
            </w:r>
            <w:r>
              <w:rPr>
                <w:rFonts w:eastAsia="Times New Roman" w:cs="Times New Roman"/>
                <w:b/>
                <w:lang w:eastAsia="cs-CZ"/>
              </w:rPr>
              <w:t>1</w:t>
            </w:r>
          </w:p>
        </w:tc>
        <w:tc>
          <w:tcPr>
            <w:tcW w:w="14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09D6356"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Schválený rozpočet</w:t>
            </w:r>
          </w:p>
          <w:p w14:paraId="30F88FF8"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2022</w:t>
            </w:r>
          </w:p>
        </w:tc>
        <w:tc>
          <w:tcPr>
            <w:tcW w:w="1349"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AB7D9A3"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Návrh</w:t>
            </w:r>
          </w:p>
          <w:p w14:paraId="0A251E91"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rozpočtu</w:t>
            </w:r>
          </w:p>
          <w:p w14:paraId="4D126276"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202</w:t>
            </w:r>
            <w:r>
              <w:rPr>
                <w:rFonts w:eastAsia="Times New Roman" w:cs="Times New Roman"/>
                <w:b/>
                <w:lang w:eastAsia="cs-CZ"/>
              </w:rPr>
              <w:t>3</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5583523"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Index</w:t>
            </w:r>
          </w:p>
          <w:p w14:paraId="33FB6B9D"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202</w:t>
            </w:r>
            <w:r>
              <w:rPr>
                <w:rFonts w:eastAsia="Times New Roman" w:cs="Times New Roman"/>
                <w:b/>
                <w:lang w:eastAsia="cs-CZ"/>
              </w:rPr>
              <w:t>3</w:t>
            </w:r>
            <w:r w:rsidRPr="0040603C">
              <w:rPr>
                <w:rFonts w:eastAsia="Times New Roman" w:cs="Times New Roman"/>
                <w:b/>
                <w:lang w:eastAsia="cs-CZ"/>
              </w:rPr>
              <w:t>/</w:t>
            </w:r>
            <w:r w:rsidRPr="0040603C">
              <w:rPr>
                <w:rFonts w:eastAsia="Times New Roman" w:cs="Times New Roman"/>
                <w:b/>
                <w:lang w:eastAsia="cs-CZ"/>
              </w:rPr>
              <w:br/>
              <w:t>202</w:t>
            </w:r>
            <w:r>
              <w:rPr>
                <w:rFonts w:eastAsia="Times New Roman" w:cs="Times New Roman"/>
                <w:b/>
                <w:lang w:eastAsia="cs-CZ"/>
              </w:rPr>
              <w:t>2</w:t>
            </w:r>
          </w:p>
          <w:p w14:paraId="4F5C2F17" w14:textId="77777777" w:rsidR="00CB5445" w:rsidRPr="0040603C" w:rsidRDefault="00CB5445" w:rsidP="00CB5445">
            <w:pPr>
              <w:jc w:val="center"/>
              <w:rPr>
                <w:rFonts w:eastAsia="Times New Roman" w:cs="Times New Roman"/>
                <w:b/>
                <w:lang w:eastAsia="cs-CZ"/>
              </w:rPr>
            </w:pPr>
            <w:r w:rsidRPr="0040603C">
              <w:rPr>
                <w:rFonts w:eastAsia="Times New Roman" w:cs="Times New Roman"/>
                <w:b/>
                <w:lang w:eastAsia="cs-CZ"/>
              </w:rPr>
              <w:t>(v %)</w:t>
            </w:r>
          </w:p>
        </w:tc>
      </w:tr>
      <w:tr w:rsidR="00CB5445" w:rsidRPr="0040603C" w14:paraId="76803C01" w14:textId="77777777" w:rsidTr="00CB5445">
        <w:tc>
          <w:tcPr>
            <w:tcW w:w="3818" w:type="dxa"/>
            <w:tcBorders>
              <w:top w:val="single" w:sz="4" w:space="0" w:color="7F7F7F" w:themeColor="text1" w:themeTint="80"/>
              <w:bottom w:val="single" w:sz="8" w:space="0" w:color="7F7F7F" w:themeColor="text1" w:themeTint="80"/>
            </w:tcBorders>
            <w:shd w:val="clear" w:color="auto" w:fill="auto"/>
          </w:tcPr>
          <w:p w14:paraId="4AEE6C3D" w14:textId="77777777" w:rsidR="00CB5445" w:rsidRPr="0040603C" w:rsidRDefault="00CB5445" w:rsidP="00CB5445">
            <w:pPr>
              <w:jc w:val="center"/>
              <w:rPr>
                <w:rFonts w:eastAsia="Times New Roman" w:cs="Times New Roman"/>
                <w:lang w:eastAsia="cs-CZ"/>
              </w:rPr>
            </w:pPr>
            <w:r w:rsidRPr="0040603C">
              <w:rPr>
                <w:rFonts w:eastAsia="Times New Roman" w:cs="Times New Roman"/>
                <w:lang w:eastAsia="cs-CZ"/>
              </w:rPr>
              <w:t>a</w:t>
            </w:r>
          </w:p>
        </w:tc>
        <w:tc>
          <w:tcPr>
            <w:tcW w:w="1417" w:type="dxa"/>
            <w:tcBorders>
              <w:top w:val="single" w:sz="4" w:space="0" w:color="7F7F7F" w:themeColor="text1" w:themeTint="80"/>
              <w:bottom w:val="single" w:sz="8" w:space="0" w:color="7F7F7F" w:themeColor="text1" w:themeTint="80"/>
            </w:tcBorders>
            <w:shd w:val="clear" w:color="auto" w:fill="auto"/>
          </w:tcPr>
          <w:p w14:paraId="37BB4D8E" w14:textId="77777777" w:rsidR="00CB5445" w:rsidRPr="0040603C" w:rsidRDefault="00CB5445" w:rsidP="00CB5445">
            <w:pPr>
              <w:jc w:val="center"/>
              <w:rPr>
                <w:rFonts w:eastAsia="Times New Roman" w:cs="Times New Roman"/>
                <w:lang w:eastAsia="cs-CZ"/>
              </w:rPr>
            </w:pPr>
            <w:r w:rsidRPr="0040603C">
              <w:rPr>
                <w:rFonts w:eastAsia="Times New Roman" w:cs="Times New Roman"/>
                <w:lang w:eastAsia="cs-CZ"/>
              </w:rPr>
              <w:t>1</w:t>
            </w:r>
          </w:p>
        </w:tc>
        <w:tc>
          <w:tcPr>
            <w:tcW w:w="1418" w:type="dxa"/>
            <w:tcBorders>
              <w:top w:val="single" w:sz="4" w:space="0" w:color="7F7F7F" w:themeColor="text1" w:themeTint="80"/>
              <w:bottom w:val="single" w:sz="8" w:space="0" w:color="7F7F7F" w:themeColor="text1" w:themeTint="80"/>
            </w:tcBorders>
            <w:shd w:val="clear" w:color="auto" w:fill="auto"/>
          </w:tcPr>
          <w:p w14:paraId="279B21EB" w14:textId="77777777" w:rsidR="00CB5445" w:rsidRPr="0040603C" w:rsidRDefault="00CB5445" w:rsidP="00CB5445">
            <w:pPr>
              <w:jc w:val="center"/>
              <w:rPr>
                <w:rFonts w:eastAsia="Times New Roman" w:cs="Times New Roman"/>
                <w:lang w:eastAsia="cs-CZ"/>
              </w:rPr>
            </w:pPr>
            <w:r w:rsidRPr="0040603C">
              <w:rPr>
                <w:rFonts w:eastAsia="Times New Roman" w:cs="Times New Roman"/>
                <w:lang w:eastAsia="cs-CZ"/>
              </w:rPr>
              <w:t>2</w:t>
            </w:r>
          </w:p>
        </w:tc>
        <w:tc>
          <w:tcPr>
            <w:tcW w:w="1349" w:type="dxa"/>
            <w:tcBorders>
              <w:top w:val="single" w:sz="4" w:space="0" w:color="7F7F7F" w:themeColor="text1" w:themeTint="80"/>
              <w:bottom w:val="single" w:sz="8" w:space="0" w:color="7F7F7F" w:themeColor="text1" w:themeTint="80"/>
            </w:tcBorders>
            <w:shd w:val="clear" w:color="auto" w:fill="auto"/>
          </w:tcPr>
          <w:p w14:paraId="05710C57" w14:textId="77777777" w:rsidR="00CB5445" w:rsidRPr="0040603C" w:rsidRDefault="00CB5445" w:rsidP="00CB5445">
            <w:pPr>
              <w:jc w:val="center"/>
              <w:rPr>
                <w:rFonts w:eastAsia="Times New Roman" w:cs="Times New Roman"/>
                <w:lang w:eastAsia="cs-CZ"/>
              </w:rPr>
            </w:pPr>
            <w:r w:rsidRPr="0040603C">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14:paraId="5CF32285" w14:textId="77777777" w:rsidR="00CB5445" w:rsidRPr="0040603C" w:rsidRDefault="00CB5445" w:rsidP="00CB5445">
            <w:pPr>
              <w:jc w:val="center"/>
              <w:rPr>
                <w:rFonts w:eastAsia="Times New Roman" w:cs="Times New Roman"/>
                <w:lang w:eastAsia="cs-CZ"/>
              </w:rPr>
            </w:pPr>
            <w:r w:rsidRPr="0040603C">
              <w:rPr>
                <w:rFonts w:eastAsia="Times New Roman" w:cs="Times New Roman"/>
                <w:lang w:eastAsia="cs-CZ"/>
              </w:rPr>
              <w:t>4</w:t>
            </w:r>
          </w:p>
        </w:tc>
      </w:tr>
      <w:tr w:rsidR="00CB5445" w:rsidRPr="002238F2" w14:paraId="5E76AACF" w14:textId="77777777" w:rsidTr="00CB5445">
        <w:tc>
          <w:tcPr>
            <w:tcW w:w="3818" w:type="dxa"/>
            <w:tcBorders>
              <w:top w:val="single" w:sz="8" w:space="0" w:color="7F7F7F" w:themeColor="text1" w:themeTint="80"/>
              <w:bottom w:val="single" w:sz="8" w:space="0" w:color="7F7F7F" w:themeColor="text1" w:themeTint="80"/>
            </w:tcBorders>
            <w:shd w:val="clear" w:color="auto" w:fill="auto"/>
          </w:tcPr>
          <w:p w14:paraId="308ADD96" w14:textId="6873E2B7" w:rsidR="00CB5445" w:rsidRPr="0040603C" w:rsidRDefault="00E91F32" w:rsidP="00CB5445">
            <w:pPr>
              <w:rPr>
                <w:rFonts w:eastAsia="Times New Roman" w:cs="Times New Roman"/>
                <w:b/>
                <w:lang w:eastAsia="cs-CZ"/>
              </w:rPr>
            </w:pPr>
            <w:r>
              <w:rPr>
                <w:rFonts w:eastAsia="Times New Roman" w:cs="Times New Roman"/>
                <w:b/>
                <w:lang w:eastAsia="cs-CZ"/>
              </w:rPr>
              <w:t>Kapitálové</w:t>
            </w:r>
            <w:r w:rsidR="00CB5445" w:rsidRPr="0040603C">
              <w:rPr>
                <w:rFonts w:eastAsia="Times New Roman" w:cs="Times New Roman"/>
                <w:b/>
                <w:lang w:eastAsia="cs-CZ"/>
              </w:rPr>
              <w:t xml:space="preserve"> výdaje - prostředky EU vedené mimo EDS/SMVS </w:t>
            </w:r>
            <w:r w:rsidR="00CB5445" w:rsidRPr="0040603C">
              <w:rPr>
                <w:rFonts w:eastAsia="Times New Roman" w:cs="Times New Roman"/>
                <w:lang w:eastAsia="cs-CZ"/>
              </w:rPr>
              <w:t>v tom:</w:t>
            </w:r>
          </w:p>
        </w:tc>
        <w:tc>
          <w:tcPr>
            <w:tcW w:w="1417" w:type="dxa"/>
            <w:tcBorders>
              <w:top w:val="single" w:sz="8" w:space="0" w:color="7F7F7F" w:themeColor="text1" w:themeTint="80"/>
              <w:bottom w:val="single" w:sz="8" w:space="0" w:color="7F7F7F" w:themeColor="text1" w:themeTint="80"/>
            </w:tcBorders>
            <w:shd w:val="clear" w:color="auto" w:fill="auto"/>
            <w:vAlign w:val="center"/>
          </w:tcPr>
          <w:p w14:paraId="5A639AA2" w14:textId="77777777" w:rsidR="00CB5445" w:rsidRPr="0040603C" w:rsidRDefault="00CB5445" w:rsidP="00CB5445">
            <w:pPr>
              <w:tabs>
                <w:tab w:val="right" w:pos="1059"/>
              </w:tabs>
              <w:jc w:val="right"/>
              <w:rPr>
                <w:rFonts w:eastAsia="Times New Roman" w:cs="Times New Roman"/>
                <w:b/>
                <w:lang w:eastAsia="cs-CZ"/>
              </w:rPr>
            </w:pPr>
            <w:r w:rsidRPr="0040603C">
              <w:rPr>
                <w:rFonts w:eastAsia="Times New Roman" w:cs="Times New Roman"/>
                <w:b/>
                <w:lang w:eastAsia="cs-CZ"/>
              </w:rPr>
              <w:tab/>
              <w:t>0</w:t>
            </w:r>
          </w:p>
        </w:tc>
        <w:tc>
          <w:tcPr>
            <w:tcW w:w="1418" w:type="dxa"/>
            <w:tcBorders>
              <w:top w:val="single" w:sz="8" w:space="0" w:color="7F7F7F" w:themeColor="text1" w:themeTint="80"/>
              <w:bottom w:val="single" w:sz="8" w:space="0" w:color="7F7F7F" w:themeColor="text1" w:themeTint="80"/>
            </w:tcBorders>
            <w:shd w:val="clear" w:color="auto" w:fill="auto"/>
            <w:vAlign w:val="center"/>
          </w:tcPr>
          <w:p w14:paraId="3A301C35" w14:textId="77777777" w:rsidR="00CB5445" w:rsidRPr="0040603C" w:rsidRDefault="00CB5445" w:rsidP="00CB5445">
            <w:pPr>
              <w:jc w:val="right"/>
              <w:rPr>
                <w:rFonts w:eastAsia="Times New Roman" w:cs="Times New Roman"/>
                <w:b/>
                <w:lang w:eastAsia="cs-CZ"/>
              </w:rPr>
            </w:pPr>
            <w:r w:rsidRPr="0040603C">
              <w:rPr>
                <w:rFonts w:eastAsia="Times New Roman" w:cs="Times New Roman"/>
                <w:b/>
                <w:lang w:eastAsia="cs-CZ"/>
              </w:rPr>
              <w:t>27 213 660</w:t>
            </w:r>
          </w:p>
        </w:tc>
        <w:tc>
          <w:tcPr>
            <w:tcW w:w="1349" w:type="dxa"/>
            <w:tcBorders>
              <w:top w:val="single" w:sz="8" w:space="0" w:color="7F7F7F" w:themeColor="text1" w:themeTint="80"/>
              <w:bottom w:val="single" w:sz="8" w:space="0" w:color="7F7F7F" w:themeColor="text1" w:themeTint="80"/>
            </w:tcBorders>
            <w:shd w:val="clear" w:color="auto" w:fill="auto"/>
            <w:vAlign w:val="center"/>
          </w:tcPr>
          <w:p w14:paraId="62B6F18C" w14:textId="77777777" w:rsidR="00CB5445" w:rsidRPr="002238F2" w:rsidRDefault="00CB5445" w:rsidP="00CB5445">
            <w:pPr>
              <w:jc w:val="right"/>
              <w:rPr>
                <w:rFonts w:eastAsia="Times New Roman" w:cs="Times New Roman"/>
                <w:b/>
                <w:lang w:eastAsia="cs-CZ"/>
              </w:rPr>
            </w:pPr>
            <w:r w:rsidRPr="002238F2">
              <w:rPr>
                <w:rFonts w:eastAsia="Times New Roman" w:cs="Times New Roman"/>
                <w:b/>
                <w:lang w:eastAsia="cs-CZ"/>
              </w:rPr>
              <w:t>23 603 693</w:t>
            </w:r>
          </w:p>
        </w:tc>
        <w:tc>
          <w:tcPr>
            <w:tcW w:w="1077" w:type="dxa"/>
            <w:tcBorders>
              <w:top w:val="single" w:sz="8" w:space="0" w:color="7F7F7F" w:themeColor="text1" w:themeTint="80"/>
              <w:bottom w:val="single" w:sz="8" w:space="0" w:color="7F7F7F" w:themeColor="text1" w:themeTint="80"/>
            </w:tcBorders>
            <w:shd w:val="clear" w:color="auto" w:fill="auto"/>
            <w:vAlign w:val="center"/>
          </w:tcPr>
          <w:p w14:paraId="1F5D6EF7" w14:textId="77777777" w:rsidR="00CB5445" w:rsidRPr="002238F2" w:rsidRDefault="00CB5445" w:rsidP="00CB5445">
            <w:pPr>
              <w:jc w:val="right"/>
              <w:rPr>
                <w:rFonts w:eastAsia="Times New Roman" w:cs="Times New Roman"/>
                <w:b/>
                <w:color w:val="000000" w:themeColor="text1"/>
                <w:lang w:eastAsia="cs-CZ"/>
              </w:rPr>
            </w:pPr>
            <w:r w:rsidRPr="002238F2">
              <w:rPr>
                <w:rFonts w:eastAsia="Times New Roman" w:cs="Times New Roman"/>
                <w:b/>
                <w:color w:val="000000" w:themeColor="text1"/>
                <w:lang w:eastAsia="cs-CZ"/>
              </w:rPr>
              <w:t>86,73</w:t>
            </w:r>
          </w:p>
        </w:tc>
      </w:tr>
      <w:tr w:rsidR="00CB5445" w:rsidRPr="002238F2" w14:paraId="2815FD7B" w14:textId="77777777" w:rsidTr="00CB5445">
        <w:tc>
          <w:tcPr>
            <w:tcW w:w="3818" w:type="dxa"/>
            <w:tcBorders>
              <w:top w:val="single" w:sz="8" w:space="0" w:color="7F7F7F" w:themeColor="text1" w:themeTint="80"/>
            </w:tcBorders>
            <w:shd w:val="clear" w:color="auto" w:fill="auto"/>
          </w:tcPr>
          <w:p w14:paraId="0983A011" w14:textId="77777777" w:rsidR="00CB5445" w:rsidRPr="0040603C" w:rsidRDefault="00CB5445" w:rsidP="00CB5445">
            <w:pPr>
              <w:rPr>
                <w:rFonts w:eastAsia="Times New Roman" w:cs="Times New Roman"/>
                <w:lang w:eastAsia="cs-CZ"/>
              </w:rPr>
            </w:pPr>
            <w:r w:rsidRPr="0040603C">
              <w:rPr>
                <w:rFonts w:eastAsia="Times New Roman" w:cs="Times New Roman"/>
                <w:lang w:eastAsia="cs-CZ"/>
              </w:rPr>
              <w:t>podnikatelské subjekty</w:t>
            </w:r>
          </w:p>
        </w:tc>
        <w:tc>
          <w:tcPr>
            <w:tcW w:w="1417" w:type="dxa"/>
            <w:tcBorders>
              <w:top w:val="single" w:sz="8" w:space="0" w:color="7F7F7F" w:themeColor="text1" w:themeTint="80"/>
            </w:tcBorders>
            <w:shd w:val="clear" w:color="auto" w:fill="auto"/>
            <w:vAlign w:val="center"/>
          </w:tcPr>
          <w:p w14:paraId="19A06FFD" w14:textId="77777777" w:rsidR="00CB5445" w:rsidRPr="0040603C" w:rsidRDefault="00CB5445" w:rsidP="00CB5445">
            <w:pPr>
              <w:jc w:val="right"/>
              <w:rPr>
                <w:rFonts w:eastAsia="Times New Roman" w:cs="Times New Roman"/>
                <w:lang w:eastAsia="cs-CZ"/>
              </w:rPr>
            </w:pPr>
            <w:r w:rsidRPr="0040603C">
              <w:rPr>
                <w:rFonts w:eastAsia="Times New Roman" w:cs="Times New Roman"/>
                <w:lang w:eastAsia="cs-CZ"/>
              </w:rPr>
              <w:t>0</w:t>
            </w:r>
          </w:p>
        </w:tc>
        <w:tc>
          <w:tcPr>
            <w:tcW w:w="1418" w:type="dxa"/>
            <w:tcBorders>
              <w:top w:val="single" w:sz="8" w:space="0" w:color="7F7F7F" w:themeColor="text1" w:themeTint="80"/>
            </w:tcBorders>
            <w:shd w:val="clear" w:color="auto" w:fill="auto"/>
            <w:vAlign w:val="center"/>
          </w:tcPr>
          <w:p w14:paraId="3AF4FF26" w14:textId="77777777" w:rsidR="00CB5445" w:rsidRPr="0040603C" w:rsidRDefault="00CB5445" w:rsidP="00CB5445">
            <w:pPr>
              <w:jc w:val="right"/>
              <w:rPr>
                <w:rFonts w:eastAsia="Times New Roman" w:cs="Times New Roman"/>
                <w:lang w:eastAsia="cs-CZ"/>
              </w:rPr>
            </w:pPr>
            <w:r w:rsidRPr="0040603C">
              <w:rPr>
                <w:rFonts w:eastAsia="Times New Roman" w:cs="Times New Roman"/>
                <w:lang w:eastAsia="cs-CZ"/>
              </w:rPr>
              <w:t>516 500</w:t>
            </w:r>
          </w:p>
        </w:tc>
        <w:tc>
          <w:tcPr>
            <w:tcW w:w="1349" w:type="dxa"/>
            <w:tcBorders>
              <w:top w:val="single" w:sz="8" w:space="0" w:color="7F7F7F" w:themeColor="text1" w:themeTint="80"/>
            </w:tcBorders>
            <w:shd w:val="clear" w:color="auto" w:fill="auto"/>
            <w:vAlign w:val="center"/>
          </w:tcPr>
          <w:p w14:paraId="63ED1E28" w14:textId="77777777" w:rsidR="00CB5445" w:rsidRPr="002238F2" w:rsidRDefault="00CB5445" w:rsidP="00CB5445">
            <w:pPr>
              <w:jc w:val="right"/>
              <w:rPr>
                <w:rFonts w:eastAsia="Times New Roman" w:cs="Times New Roman"/>
                <w:lang w:eastAsia="cs-CZ"/>
              </w:rPr>
            </w:pPr>
            <w:r w:rsidRPr="002238F2">
              <w:rPr>
                <w:rFonts w:eastAsia="Times New Roman" w:cs="Times New Roman"/>
                <w:lang w:eastAsia="cs-CZ"/>
              </w:rPr>
              <w:t>310 000</w:t>
            </w:r>
          </w:p>
        </w:tc>
        <w:tc>
          <w:tcPr>
            <w:tcW w:w="1077" w:type="dxa"/>
            <w:tcBorders>
              <w:top w:val="single" w:sz="8" w:space="0" w:color="7F7F7F" w:themeColor="text1" w:themeTint="80"/>
            </w:tcBorders>
            <w:shd w:val="clear" w:color="auto" w:fill="auto"/>
            <w:vAlign w:val="center"/>
          </w:tcPr>
          <w:p w14:paraId="1AAADE11" w14:textId="77777777" w:rsidR="00CB5445" w:rsidRPr="002238F2" w:rsidRDefault="00CB5445" w:rsidP="00CB5445">
            <w:pPr>
              <w:jc w:val="right"/>
              <w:rPr>
                <w:rFonts w:eastAsia="Times New Roman" w:cs="Times New Roman"/>
                <w:color w:val="000000" w:themeColor="text1"/>
                <w:lang w:eastAsia="cs-CZ"/>
              </w:rPr>
            </w:pPr>
            <w:r w:rsidRPr="002238F2">
              <w:rPr>
                <w:rFonts w:eastAsia="Times New Roman" w:cs="Times New Roman"/>
                <w:color w:val="000000" w:themeColor="text1"/>
                <w:lang w:eastAsia="cs-CZ"/>
              </w:rPr>
              <w:t>60,02</w:t>
            </w:r>
          </w:p>
        </w:tc>
      </w:tr>
      <w:tr w:rsidR="00CB5445" w:rsidRPr="002238F2" w14:paraId="2B69E69E" w14:textId="77777777" w:rsidTr="00CB5445">
        <w:tc>
          <w:tcPr>
            <w:tcW w:w="3818" w:type="dxa"/>
            <w:shd w:val="clear" w:color="auto" w:fill="auto"/>
          </w:tcPr>
          <w:p w14:paraId="6EAA2036" w14:textId="77777777" w:rsidR="00CB5445" w:rsidRPr="0040603C" w:rsidRDefault="00CB5445" w:rsidP="00CB5445">
            <w:pPr>
              <w:rPr>
                <w:rFonts w:eastAsia="Times New Roman" w:cs="Times New Roman"/>
                <w:lang w:eastAsia="cs-CZ"/>
              </w:rPr>
            </w:pPr>
            <w:r w:rsidRPr="0040603C">
              <w:rPr>
                <w:rFonts w:eastAsia="Times New Roman" w:cs="Times New Roman"/>
                <w:lang w:eastAsia="cs-CZ"/>
              </w:rPr>
              <w:t>státní fondy</w:t>
            </w:r>
          </w:p>
        </w:tc>
        <w:tc>
          <w:tcPr>
            <w:tcW w:w="1417" w:type="dxa"/>
            <w:shd w:val="clear" w:color="auto" w:fill="auto"/>
            <w:vAlign w:val="center"/>
          </w:tcPr>
          <w:p w14:paraId="0FA2B13B" w14:textId="77777777" w:rsidR="00CB5445" w:rsidRPr="0040603C" w:rsidRDefault="00CB5445" w:rsidP="00CB5445">
            <w:pPr>
              <w:jc w:val="right"/>
              <w:rPr>
                <w:rFonts w:eastAsia="Times New Roman" w:cs="Times New Roman"/>
                <w:lang w:eastAsia="cs-CZ"/>
              </w:rPr>
            </w:pPr>
            <w:r w:rsidRPr="0040603C">
              <w:rPr>
                <w:rFonts w:eastAsia="Times New Roman" w:cs="Times New Roman"/>
                <w:lang w:eastAsia="cs-CZ"/>
              </w:rPr>
              <w:t>0</w:t>
            </w:r>
          </w:p>
        </w:tc>
        <w:tc>
          <w:tcPr>
            <w:tcW w:w="1418" w:type="dxa"/>
            <w:shd w:val="clear" w:color="auto" w:fill="auto"/>
            <w:vAlign w:val="center"/>
          </w:tcPr>
          <w:p w14:paraId="6F75D06A" w14:textId="77777777" w:rsidR="00CB5445" w:rsidRPr="0040603C" w:rsidRDefault="00CB5445" w:rsidP="00CB5445">
            <w:pPr>
              <w:jc w:val="right"/>
              <w:rPr>
                <w:rFonts w:eastAsia="Times New Roman" w:cs="Times New Roman"/>
                <w:lang w:eastAsia="cs-CZ"/>
              </w:rPr>
            </w:pPr>
            <w:r w:rsidRPr="0040603C">
              <w:rPr>
                <w:rFonts w:eastAsia="Times New Roman" w:cs="Times New Roman"/>
                <w:lang w:eastAsia="cs-CZ"/>
              </w:rPr>
              <w:t>26 697 160</w:t>
            </w:r>
          </w:p>
        </w:tc>
        <w:tc>
          <w:tcPr>
            <w:tcW w:w="1349" w:type="dxa"/>
            <w:shd w:val="clear" w:color="auto" w:fill="auto"/>
            <w:vAlign w:val="center"/>
          </w:tcPr>
          <w:p w14:paraId="15C96440" w14:textId="77777777" w:rsidR="00CB5445" w:rsidRPr="002238F2" w:rsidRDefault="00CB5445" w:rsidP="00CB5445">
            <w:pPr>
              <w:jc w:val="right"/>
              <w:rPr>
                <w:rFonts w:eastAsia="Times New Roman" w:cs="Times New Roman"/>
                <w:lang w:eastAsia="cs-CZ"/>
              </w:rPr>
            </w:pPr>
            <w:r w:rsidRPr="002238F2">
              <w:rPr>
                <w:rFonts w:eastAsia="Times New Roman" w:cs="Times New Roman"/>
                <w:lang w:eastAsia="cs-CZ"/>
              </w:rPr>
              <w:t>23 293 693</w:t>
            </w:r>
          </w:p>
        </w:tc>
        <w:tc>
          <w:tcPr>
            <w:tcW w:w="1077" w:type="dxa"/>
            <w:shd w:val="clear" w:color="auto" w:fill="auto"/>
            <w:vAlign w:val="center"/>
          </w:tcPr>
          <w:p w14:paraId="6A17BAE6" w14:textId="77777777" w:rsidR="00CB5445" w:rsidRPr="002238F2" w:rsidRDefault="00CB5445" w:rsidP="00CB5445">
            <w:pPr>
              <w:jc w:val="right"/>
              <w:rPr>
                <w:rFonts w:eastAsia="Times New Roman" w:cs="Times New Roman"/>
                <w:color w:val="000000" w:themeColor="text1"/>
                <w:lang w:eastAsia="cs-CZ"/>
              </w:rPr>
            </w:pPr>
            <w:r w:rsidRPr="002238F2">
              <w:rPr>
                <w:rFonts w:eastAsia="Times New Roman" w:cs="Times New Roman"/>
                <w:color w:val="000000" w:themeColor="text1"/>
                <w:lang w:eastAsia="cs-CZ"/>
              </w:rPr>
              <w:t>87,25</w:t>
            </w:r>
          </w:p>
        </w:tc>
      </w:tr>
    </w:tbl>
    <w:p w14:paraId="0C5F50D0" w14:textId="77777777" w:rsidR="00CB5445" w:rsidRPr="0088307E" w:rsidRDefault="00CB5445" w:rsidP="0088307E"/>
    <w:p w14:paraId="03A957CB" w14:textId="77777777" w:rsidR="00CB5445" w:rsidRDefault="00CB5445" w:rsidP="00CB5445">
      <w:pPr>
        <w:pStyle w:val="Styl1"/>
        <w:spacing w:after="200"/>
        <w:rPr>
          <w:rStyle w:val="FontStyle27"/>
          <w:color w:val="000000" w:themeColor="text1"/>
          <w:sz w:val="24"/>
          <w:szCs w:val="24"/>
        </w:rPr>
      </w:pPr>
      <w:r w:rsidRPr="00AB2392">
        <w:rPr>
          <w:color w:val="000000" w:themeColor="text1"/>
        </w:rPr>
        <w:t>Finanční prostředky jsou určeny na společné projekty EU a ČR (Operační program Doprava 2021</w:t>
      </w:r>
      <w:r>
        <w:rPr>
          <w:color w:val="000000" w:themeColor="text1"/>
        </w:rPr>
        <w:t>+</w:t>
      </w:r>
      <w:r w:rsidRPr="00AB2392">
        <w:rPr>
          <w:color w:val="000000" w:themeColor="text1"/>
        </w:rPr>
        <w:t>, Komunitární programy –</w:t>
      </w:r>
      <w:r>
        <w:rPr>
          <w:color w:val="000000" w:themeColor="text1"/>
        </w:rPr>
        <w:t xml:space="preserve"> </w:t>
      </w:r>
      <w:r w:rsidRPr="00AB2392">
        <w:rPr>
          <w:color w:val="000000" w:themeColor="text1"/>
        </w:rPr>
        <w:t xml:space="preserve">Nástroj pro propojení Evropy </w:t>
      </w:r>
      <w:r w:rsidRPr="007E73BD">
        <w:rPr>
          <w:color w:val="000000" w:themeColor="text1"/>
        </w:rPr>
        <w:t>2021+</w:t>
      </w:r>
      <w:r w:rsidRPr="00AB2392">
        <w:rPr>
          <w:color w:val="000000" w:themeColor="text1"/>
        </w:rPr>
        <w:t xml:space="preserve"> (CEF2) a Národní plán obnovy</w:t>
      </w:r>
      <w:r>
        <w:rPr>
          <w:color w:val="000000" w:themeColor="text1"/>
        </w:rPr>
        <w:t xml:space="preserve"> </w:t>
      </w:r>
      <w:r w:rsidRPr="00AB2392">
        <w:rPr>
          <w:color w:val="000000" w:themeColor="text1"/>
        </w:rPr>
        <w:t>-</w:t>
      </w:r>
      <w:r>
        <w:rPr>
          <w:color w:val="000000" w:themeColor="text1"/>
        </w:rPr>
        <w:t xml:space="preserve"> </w:t>
      </w:r>
      <w:r w:rsidRPr="00AB2392">
        <w:rPr>
          <w:color w:val="000000" w:themeColor="text1"/>
        </w:rPr>
        <w:t>R</w:t>
      </w:r>
      <w:r>
        <w:rPr>
          <w:color w:val="000000" w:themeColor="text1"/>
        </w:rPr>
        <w:t>R</w:t>
      </w:r>
      <w:r w:rsidRPr="00AB2392">
        <w:rPr>
          <w:color w:val="000000" w:themeColor="text1"/>
        </w:rPr>
        <w:t>F).</w:t>
      </w:r>
      <w:r w:rsidRPr="00AB2392">
        <w:rPr>
          <w:rStyle w:val="FontStyle27"/>
          <w:color w:val="000000" w:themeColor="text1"/>
          <w:sz w:val="24"/>
          <w:szCs w:val="24"/>
        </w:rPr>
        <w:t xml:space="preserve">  </w:t>
      </w:r>
    </w:p>
    <w:p w14:paraId="1299C8E9" w14:textId="77777777" w:rsidR="00CB5445" w:rsidRDefault="00CB5445" w:rsidP="00CB5445">
      <w:pPr>
        <w:pStyle w:val="Styl1"/>
        <w:spacing w:after="200"/>
        <w:rPr>
          <w:color w:val="000000" w:themeColor="text1"/>
        </w:rPr>
      </w:pPr>
      <w:r>
        <w:rPr>
          <w:color w:val="000000" w:themeColor="text1"/>
        </w:rPr>
        <w:t>Prostředky EU (investiční)</w:t>
      </w:r>
      <w:r w:rsidRPr="001A4A31">
        <w:rPr>
          <w:color w:val="000000" w:themeColor="text1"/>
        </w:rPr>
        <w:t xml:space="preserve"> vedené v </w:t>
      </w:r>
      <w:r>
        <w:rPr>
          <w:color w:val="000000" w:themeColor="text1"/>
        </w:rPr>
        <w:t>ZED</w:t>
      </w:r>
      <w:r w:rsidRPr="001A4A31">
        <w:rPr>
          <w:color w:val="000000" w:themeColor="text1"/>
        </w:rPr>
        <w:t xml:space="preserve"> určené pro podnikatelské subjekty jsou pro rozpočtový rok 2023 navrženy v celkové výši </w:t>
      </w:r>
      <w:r>
        <w:rPr>
          <w:color w:val="000000" w:themeColor="text1"/>
        </w:rPr>
        <w:t>310 000</w:t>
      </w:r>
      <w:r w:rsidRPr="001A4A31">
        <w:rPr>
          <w:color w:val="000000" w:themeColor="text1"/>
        </w:rPr>
        <w:t xml:space="preserve"> tis. Kč</w:t>
      </w:r>
      <w:r>
        <w:rPr>
          <w:color w:val="000000" w:themeColor="text1"/>
        </w:rPr>
        <w:t>. Jedná se o prostředky Operačního programu Doprava 2021+ (CF).</w:t>
      </w:r>
    </w:p>
    <w:p w14:paraId="30BD5508" w14:textId="77777777" w:rsidR="00CB5445" w:rsidRDefault="00CB5445" w:rsidP="00CB5445">
      <w:pPr>
        <w:pStyle w:val="Styl1"/>
        <w:spacing w:after="200"/>
        <w:rPr>
          <w:rStyle w:val="FontStyle27"/>
          <w:color w:val="000000" w:themeColor="text1"/>
          <w:sz w:val="24"/>
          <w:szCs w:val="24"/>
        </w:rPr>
      </w:pPr>
      <w:r>
        <w:rPr>
          <w:color w:val="000000" w:themeColor="text1"/>
        </w:rPr>
        <w:t xml:space="preserve">Prostředky EU (investiční) vedené v ZED jsou pro Státní fond dopravní infrastruktury navrženy pro rozpočtový rok 2023 v celkové výši 23 293 693 tis. Kč. Finanční prostředky jsou určeny: </w:t>
      </w:r>
      <w:r>
        <w:rPr>
          <w:rStyle w:val="FontStyle27"/>
          <w:color w:val="000000" w:themeColor="text1"/>
          <w:sz w:val="24"/>
          <w:szCs w:val="24"/>
        </w:rPr>
        <w:t xml:space="preserve"> </w:t>
      </w:r>
    </w:p>
    <w:p w14:paraId="6A73EB32" w14:textId="77777777" w:rsidR="00CB5445" w:rsidRPr="007E73BD" w:rsidRDefault="00CB5445" w:rsidP="00CB5445">
      <w:pPr>
        <w:pStyle w:val="Odstavecseseznamem"/>
        <w:numPr>
          <w:ilvl w:val="0"/>
          <w:numId w:val="43"/>
        </w:numPr>
        <w:spacing w:before="120"/>
      </w:pPr>
      <w:r w:rsidRPr="007E73BD">
        <w:t>na Operační program Doprava 2021+ (ERDF) ve výši 537 118 tis. Kč,</w:t>
      </w:r>
    </w:p>
    <w:p w14:paraId="7C12CE74" w14:textId="066283D8" w:rsidR="00CB5445" w:rsidRPr="007E73BD" w:rsidRDefault="00CB5445" w:rsidP="00CB5445">
      <w:pPr>
        <w:pStyle w:val="Odstavecseseznamem"/>
        <w:numPr>
          <w:ilvl w:val="0"/>
          <w:numId w:val="43"/>
        </w:numPr>
        <w:spacing w:before="120"/>
      </w:pPr>
      <w:r w:rsidRPr="007E73BD">
        <w:t>na Operační program Doprava 2021</w:t>
      </w:r>
      <w:r w:rsidR="006353B9">
        <w:t>+</w:t>
      </w:r>
      <w:r w:rsidRPr="007E73BD">
        <w:t xml:space="preserve"> (CF) ve výši  14 651 370 tis. Kč, </w:t>
      </w:r>
    </w:p>
    <w:p w14:paraId="78872A8E" w14:textId="77777777" w:rsidR="00CB5445" w:rsidRPr="007E73BD" w:rsidRDefault="00CB5445" w:rsidP="00CB5445">
      <w:pPr>
        <w:pStyle w:val="Odstavecseseznamem"/>
        <w:numPr>
          <w:ilvl w:val="0"/>
          <w:numId w:val="43"/>
        </w:numPr>
        <w:spacing w:before="120"/>
      </w:pPr>
      <w:r w:rsidRPr="007E73BD">
        <w:t xml:space="preserve">na Komunitární programy -  Nástroj pro propojení Evropy 2021+ (CEF2) ve výši                     5 101 746 tis. Kč, </w:t>
      </w:r>
    </w:p>
    <w:p w14:paraId="74787182" w14:textId="77777777" w:rsidR="00CB5445" w:rsidRPr="007E73BD" w:rsidRDefault="00CB5445" w:rsidP="00CB5445">
      <w:pPr>
        <w:pStyle w:val="Odstavecseseznamem"/>
        <w:numPr>
          <w:ilvl w:val="0"/>
          <w:numId w:val="43"/>
        </w:numPr>
        <w:spacing w:before="120"/>
      </w:pPr>
      <w:r w:rsidRPr="007E73BD">
        <w:t>na Národní plán obnovy – RRF  ve výši 3 003 459 tis. Kč.</w:t>
      </w:r>
    </w:p>
    <w:p w14:paraId="5A245CEA" w14:textId="77777777" w:rsidR="00BB459E" w:rsidRPr="0088307E" w:rsidRDefault="00BB459E" w:rsidP="00D1426E">
      <w:pPr>
        <w:pStyle w:val="Nadpis2"/>
        <w:spacing w:before="160" w:after="160"/>
      </w:pPr>
      <w:bookmarkStart w:id="211" w:name="_Toc115787248"/>
      <w:bookmarkStart w:id="212" w:name="_Toc115787838"/>
      <w:bookmarkStart w:id="213" w:name="_Toc115787839"/>
      <w:bookmarkEnd w:id="211"/>
      <w:bookmarkEnd w:id="212"/>
      <w:r w:rsidRPr="0088307E">
        <w:t>Výdaje vedené v informačním systému programového financování EDS/SMVS</w:t>
      </w:r>
      <w:bookmarkEnd w:id="200"/>
      <w:bookmarkEnd w:id="201"/>
      <w:bookmarkEnd w:id="202"/>
      <w:bookmarkEnd w:id="213"/>
      <w:r w:rsidRPr="0088307E">
        <w:t xml:space="preserve"> </w:t>
      </w:r>
    </w:p>
    <w:p w14:paraId="467A9F49" w14:textId="0DAB5537" w:rsidR="00483BEA" w:rsidRPr="00E8518E" w:rsidRDefault="00483BEA" w:rsidP="00367790">
      <w:pPr>
        <w:pStyle w:val="Styl1"/>
        <w:spacing w:before="160" w:after="160"/>
        <w:rPr>
          <w:color w:val="FF0000"/>
        </w:rPr>
      </w:pPr>
      <w:bookmarkStart w:id="214" w:name="_Toc304375451"/>
      <w:bookmarkStart w:id="215" w:name="_Toc305406309"/>
      <w:bookmarkStart w:id="216" w:name="_Toc462314402"/>
      <w:bookmarkStart w:id="217" w:name="_Toc489274109"/>
      <w:r w:rsidRPr="0040603C">
        <w:t xml:space="preserve">Ze schváleného závazného objemu pro sestavení návrhu rozpočtu na rok 2023 </w:t>
      </w:r>
      <w:r w:rsidRPr="0040603C">
        <w:br/>
        <w:t xml:space="preserve">je </w:t>
      </w:r>
      <w:r w:rsidRPr="0040603C">
        <w:rPr>
          <w:b/>
        </w:rPr>
        <w:t xml:space="preserve">na výdaje vedené v informačním systému programového financování EDS/SMVS (výdaje určené na financování programů) vyčleněna částka v celkové                                                            </w:t>
      </w:r>
      <w:r w:rsidRPr="0014098F">
        <w:rPr>
          <w:b/>
          <w:color w:val="000000" w:themeColor="text1"/>
        </w:rPr>
        <w:t xml:space="preserve">výši </w:t>
      </w:r>
      <w:r w:rsidRPr="00520616">
        <w:rPr>
          <w:b/>
          <w:color w:val="000000" w:themeColor="text1"/>
        </w:rPr>
        <w:t>69 570 915 tis. Kč</w:t>
      </w:r>
      <w:r w:rsidRPr="00520616">
        <w:rPr>
          <w:color w:val="000000" w:themeColor="text1"/>
        </w:rPr>
        <w:t xml:space="preserve">, v  tom kapitálové výdaje 53 042 571 tis. Kč, běžné výdaje </w:t>
      </w:r>
      <w:r w:rsidRPr="00520616">
        <w:rPr>
          <w:color w:val="000000" w:themeColor="text1"/>
        </w:rPr>
        <w:br/>
        <w:t>16 528 344 tis. Kč. Z celkové částky 69 570 915 tis. Kč jsou prostředky státního rozpočtu                      65 02</w:t>
      </w:r>
      <w:r>
        <w:rPr>
          <w:color w:val="000000" w:themeColor="text1"/>
        </w:rPr>
        <w:t>7</w:t>
      </w:r>
      <w:r w:rsidRPr="00520616">
        <w:rPr>
          <w:color w:val="000000" w:themeColor="text1"/>
        </w:rPr>
        <w:t xml:space="preserve"> 398  tis. Kč a prostředky fondů EU 4 543 517 tis. Kč. Členění výdajů vedených v informačním systému programového financování EDS/SMVS podle </w:t>
      </w:r>
      <w:proofErr w:type="spellStart"/>
      <w:r w:rsidRPr="00520616">
        <w:rPr>
          <w:color w:val="000000" w:themeColor="text1"/>
        </w:rPr>
        <w:t>hospodářsko</w:t>
      </w:r>
      <w:proofErr w:type="spellEnd"/>
      <w:r w:rsidRPr="00520616">
        <w:rPr>
          <w:color w:val="000000" w:themeColor="text1"/>
        </w:rPr>
        <w:t xml:space="preserve"> právní</w:t>
      </w:r>
      <w:r w:rsidR="000C3E5E">
        <w:rPr>
          <w:color w:val="000000" w:themeColor="text1"/>
        </w:rPr>
        <w:t xml:space="preserve"> formy konečných příjemců</w:t>
      </w:r>
      <w:r w:rsidRPr="00520616">
        <w:rPr>
          <w:color w:val="000000" w:themeColor="text1"/>
        </w:rPr>
        <w:t xml:space="preserve"> zobrazuje následující tabulka.                                                                                              </w:t>
      </w:r>
    </w:p>
    <w:p w14:paraId="5CE03C73" w14:textId="062BB3FC" w:rsidR="004B2F70" w:rsidRDefault="004B2F70" w:rsidP="004B2F70">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28</w:t>
      </w:r>
      <w:r w:rsidRPr="0088307E">
        <w:rPr>
          <w:noProof/>
        </w:rPr>
        <w:fldChar w:fldCharType="end"/>
      </w:r>
      <w:r w:rsidRPr="0088307E">
        <w:rPr>
          <w:noProof/>
        </w:rPr>
        <w:t xml:space="preserve"> Výdaje vedené v EDS/SMVS (v tis. Kč)</w:t>
      </w:r>
    </w:p>
    <w:tbl>
      <w:tblPr>
        <w:tblStyle w:val="Svtltabulkasmkou1zvraznn5"/>
        <w:tblW w:w="9079" w:type="dxa"/>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3818"/>
        <w:gridCol w:w="1488"/>
        <w:gridCol w:w="1335"/>
        <w:gridCol w:w="1361"/>
        <w:gridCol w:w="1077"/>
      </w:tblGrid>
      <w:tr w:rsidR="000A15A9" w:rsidRPr="0040603C" w14:paraId="53E3E5D8" w14:textId="77777777" w:rsidTr="00DC64B4">
        <w:trPr>
          <w:tblHeader/>
        </w:trPr>
        <w:tc>
          <w:tcPr>
            <w:tcW w:w="381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46DCCC1"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Ukazatel</w:t>
            </w:r>
          </w:p>
        </w:tc>
        <w:tc>
          <w:tcPr>
            <w:tcW w:w="148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354DDF2"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Skutečnost</w:t>
            </w:r>
          </w:p>
          <w:p w14:paraId="09D3563C"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2021</w:t>
            </w:r>
          </w:p>
        </w:tc>
        <w:tc>
          <w:tcPr>
            <w:tcW w:w="1335"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B9FF84E"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Schválený rozpočet</w:t>
            </w:r>
          </w:p>
          <w:p w14:paraId="13058285"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2022</w:t>
            </w:r>
          </w:p>
        </w:tc>
        <w:tc>
          <w:tcPr>
            <w:tcW w:w="1361"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56CF0A9"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Návrh</w:t>
            </w:r>
          </w:p>
          <w:p w14:paraId="4F595866"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rozpočtu</w:t>
            </w:r>
          </w:p>
          <w:p w14:paraId="31A130D9"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2023</w:t>
            </w:r>
          </w:p>
        </w:tc>
        <w:tc>
          <w:tcPr>
            <w:tcW w:w="107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FDBCEF9"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Index</w:t>
            </w:r>
          </w:p>
          <w:p w14:paraId="7E9FEDA3"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2023/</w:t>
            </w:r>
            <w:r w:rsidRPr="0040603C">
              <w:rPr>
                <w:rFonts w:eastAsia="Times New Roman" w:cs="Times New Roman"/>
                <w:b/>
                <w:lang w:eastAsia="cs-CZ"/>
              </w:rPr>
              <w:br/>
              <w:t>2022</w:t>
            </w:r>
          </w:p>
          <w:p w14:paraId="586C757B" w14:textId="77777777" w:rsidR="000A15A9" w:rsidRPr="0040603C" w:rsidRDefault="000A15A9" w:rsidP="00DC64B4">
            <w:pPr>
              <w:jc w:val="center"/>
              <w:rPr>
                <w:rFonts w:eastAsia="Times New Roman" w:cs="Times New Roman"/>
                <w:b/>
                <w:lang w:eastAsia="cs-CZ"/>
              </w:rPr>
            </w:pPr>
            <w:r w:rsidRPr="0040603C">
              <w:rPr>
                <w:rFonts w:eastAsia="Times New Roman" w:cs="Times New Roman"/>
                <w:b/>
                <w:lang w:eastAsia="cs-CZ"/>
              </w:rPr>
              <w:t>(v %)</w:t>
            </w:r>
          </w:p>
        </w:tc>
      </w:tr>
      <w:tr w:rsidR="000A15A9" w:rsidRPr="0040603C" w14:paraId="281050B8" w14:textId="77777777" w:rsidTr="00DC64B4">
        <w:trPr>
          <w:tblHeader/>
        </w:trPr>
        <w:tc>
          <w:tcPr>
            <w:tcW w:w="3818" w:type="dxa"/>
            <w:tcBorders>
              <w:top w:val="single" w:sz="4" w:space="0" w:color="7F7F7F" w:themeColor="text1" w:themeTint="80"/>
              <w:bottom w:val="single" w:sz="8" w:space="0" w:color="7F7F7F" w:themeColor="text1" w:themeTint="80"/>
            </w:tcBorders>
            <w:shd w:val="clear" w:color="auto" w:fill="auto"/>
          </w:tcPr>
          <w:p w14:paraId="68F57A77" w14:textId="77777777" w:rsidR="000A15A9" w:rsidRPr="0040603C" w:rsidRDefault="000A15A9" w:rsidP="00DC64B4">
            <w:pPr>
              <w:jc w:val="center"/>
              <w:rPr>
                <w:rFonts w:eastAsia="Times New Roman" w:cs="Times New Roman"/>
                <w:lang w:eastAsia="cs-CZ"/>
              </w:rPr>
            </w:pPr>
            <w:r w:rsidRPr="0040603C">
              <w:rPr>
                <w:rFonts w:eastAsia="Times New Roman" w:cs="Times New Roman"/>
                <w:lang w:eastAsia="cs-CZ"/>
              </w:rPr>
              <w:t>a</w:t>
            </w:r>
          </w:p>
        </w:tc>
        <w:tc>
          <w:tcPr>
            <w:tcW w:w="1488" w:type="dxa"/>
            <w:tcBorders>
              <w:top w:val="single" w:sz="4" w:space="0" w:color="7F7F7F" w:themeColor="text1" w:themeTint="80"/>
              <w:bottom w:val="single" w:sz="8" w:space="0" w:color="7F7F7F" w:themeColor="text1" w:themeTint="80"/>
            </w:tcBorders>
            <w:shd w:val="clear" w:color="auto" w:fill="auto"/>
          </w:tcPr>
          <w:p w14:paraId="2C680FC2" w14:textId="77777777" w:rsidR="000A15A9" w:rsidRPr="0040603C" w:rsidRDefault="000A15A9" w:rsidP="00DC64B4">
            <w:pPr>
              <w:jc w:val="center"/>
              <w:rPr>
                <w:rFonts w:eastAsia="Times New Roman" w:cs="Times New Roman"/>
                <w:lang w:eastAsia="cs-CZ"/>
              </w:rPr>
            </w:pPr>
            <w:r w:rsidRPr="0040603C">
              <w:rPr>
                <w:rFonts w:eastAsia="Times New Roman" w:cs="Times New Roman"/>
                <w:lang w:eastAsia="cs-CZ"/>
              </w:rPr>
              <w:t>1</w:t>
            </w:r>
          </w:p>
        </w:tc>
        <w:tc>
          <w:tcPr>
            <w:tcW w:w="1335" w:type="dxa"/>
            <w:tcBorders>
              <w:top w:val="single" w:sz="4" w:space="0" w:color="7F7F7F" w:themeColor="text1" w:themeTint="80"/>
              <w:bottom w:val="single" w:sz="8" w:space="0" w:color="7F7F7F" w:themeColor="text1" w:themeTint="80"/>
            </w:tcBorders>
            <w:shd w:val="clear" w:color="auto" w:fill="auto"/>
          </w:tcPr>
          <w:p w14:paraId="2F3147DD" w14:textId="77777777" w:rsidR="000A15A9" w:rsidRPr="0040603C" w:rsidRDefault="000A15A9" w:rsidP="00DC64B4">
            <w:pPr>
              <w:jc w:val="center"/>
              <w:rPr>
                <w:rFonts w:eastAsia="Times New Roman" w:cs="Times New Roman"/>
                <w:lang w:eastAsia="cs-CZ"/>
              </w:rPr>
            </w:pPr>
            <w:r w:rsidRPr="0040603C">
              <w:rPr>
                <w:rFonts w:eastAsia="Times New Roman" w:cs="Times New Roman"/>
                <w:lang w:eastAsia="cs-CZ"/>
              </w:rPr>
              <w:t>2</w:t>
            </w:r>
          </w:p>
        </w:tc>
        <w:tc>
          <w:tcPr>
            <w:tcW w:w="1361" w:type="dxa"/>
            <w:tcBorders>
              <w:top w:val="single" w:sz="4" w:space="0" w:color="7F7F7F" w:themeColor="text1" w:themeTint="80"/>
              <w:bottom w:val="single" w:sz="8" w:space="0" w:color="7F7F7F" w:themeColor="text1" w:themeTint="80"/>
            </w:tcBorders>
            <w:shd w:val="clear" w:color="auto" w:fill="auto"/>
          </w:tcPr>
          <w:p w14:paraId="109EC094" w14:textId="77777777" w:rsidR="000A15A9" w:rsidRPr="0040603C" w:rsidRDefault="000A15A9" w:rsidP="00DC64B4">
            <w:pPr>
              <w:jc w:val="center"/>
              <w:rPr>
                <w:rFonts w:eastAsia="Times New Roman" w:cs="Times New Roman"/>
                <w:lang w:eastAsia="cs-CZ"/>
              </w:rPr>
            </w:pPr>
            <w:r w:rsidRPr="0040603C">
              <w:rPr>
                <w:rFonts w:eastAsia="Times New Roman" w:cs="Times New Roman"/>
                <w:lang w:eastAsia="cs-CZ"/>
              </w:rPr>
              <w:t>3</w:t>
            </w:r>
          </w:p>
        </w:tc>
        <w:tc>
          <w:tcPr>
            <w:tcW w:w="1077" w:type="dxa"/>
            <w:tcBorders>
              <w:top w:val="single" w:sz="4" w:space="0" w:color="7F7F7F" w:themeColor="text1" w:themeTint="80"/>
              <w:bottom w:val="single" w:sz="8" w:space="0" w:color="7F7F7F" w:themeColor="text1" w:themeTint="80"/>
            </w:tcBorders>
            <w:shd w:val="clear" w:color="auto" w:fill="auto"/>
          </w:tcPr>
          <w:p w14:paraId="354EB8B2" w14:textId="77777777" w:rsidR="000A15A9" w:rsidRPr="0040603C" w:rsidRDefault="000A15A9" w:rsidP="00DC64B4">
            <w:pPr>
              <w:jc w:val="center"/>
              <w:rPr>
                <w:rFonts w:eastAsia="Times New Roman" w:cs="Times New Roman"/>
                <w:lang w:eastAsia="cs-CZ"/>
              </w:rPr>
            </w:pPr>
            <w:r w:rsidRPr="0040603C">
              <w:rPr>
                <w:rFonts w:eastAsia="Times New Roman" w:cs="Times New Roman"/>
                <w:lang w:eastAsia="cs-CZ"/>
              </w:rPr>
              <w:t>4</w:t>
            </w:r>
          </w:p>
        </w:tc>
      </w:tr>
      <w:tr w:rsidR="000A15A9" w:rsidRPr="00E8518E" w14:paraId="5052D64B" w14:textId="77777777" w:rsidTr="00DC64B4">
        <w:trPr>
          <w:tblHeader/>
        </w:trPr>
        <w:tc>
          <w:tcPr>
            <w:tcW w:w="3818" w:type="dxa"/>
            <w:tcBorders>
              <w:top w:val="single" w:sz="8" w:space="0" w:color="7F7F7F" w:themeColor="text1" w:themeTint="80"/>
              <w:bottom w:val="single" w:sz="8" w:space="0" w:color="7F7F7F" w:themeColor="text1" w:themeTint="80"/>
            </w:tcBorders>
            <w:shd w:val="clear" w:color="auto" w:fill="auto"/>
          </w:tcPr>
          <w:p w14:paraId="14F56456" w14:textId="77777777" w:rsidR="000A15A9" w:rsidRPr="0040603C" w:rsidRDefault="000A15A9" w:rsidP="00DC64B4">
            <w:pPr>
              <w:rPr>
                <w:rFonts w:eastAsia="Times New Roman" w:cs="Times New Roman"/>
                <w:b/>
                <w:lang w:eastAsia="cs-CZ"/>
              </w:rPr>
            </w:pPr>
            <w:r w:rsidRPr="0040603C">
              <w:rPr>
                <w:rFonts w:eastAsia="Times New Roman" w:cs="Times New Roman"/>
                <w:b/>
                <w:lang w:eastAsia="cs-CZ"/>
              </w:rPr>
              <w:t xml:space="preserve">Výdaje vedené v EDS/SMVS </w:t>
            </w:r>
            <w:r w:rsidRPr="0040603C">
              <w:rPr>
                <w:rFonts w:eastAsia="Times New Roman" w:cs="Times New Roman"/>
                <w:lang w:eastAsia="cs-CZ"/>
              </w:rPr>
              <w:t>v tom:</w:t>
            </w:r>
          </w:p>
        </w:tc>
        <w:tc>
          <w:tcPr>
            <w:tcW w:w="1488" w:type="dxa"/>
            <w:tcBorders>
              <w:top w:val="single" w:sz="8" w:space="0" w:color="7F7F7F" w:themeColor="text1" w:themeTint="80"/>
              <w:bottom w:val="single" w:sz="8" w:space="0" w:color="7F7F7F" w:themeColor="text1" w:themeTint="80"/>
            </w:tcBorders>
            <w:shd w:val="clear" w:color="auto" w:fill="auto"/>
            <w:vAlign w:val="center"/>
          </w:tcPr>
          <w:p w14:paraId="2516E147" w14:textId="2C7854A1" w:rsidR="000A15A9" w:rsidRPr="00520616" w:rsidRDefault="00437616" w:rsidP="00DC64B4">
            <w:pPr>
              <w:tabs>
                <w:tab w:val="right" w:pos="720"/>
              </w:tabs>
              <w:jc w:val="right"/>
              <w:rPr>
                <w:rFonts w:eastAsia="Times New Roman" w:cs="Times New Roman"/>
                <w:b/>
                <w:color w:val="000000" w:themeColor="text1"/>
                <w:lang w:eastAsia="cs-CZ"/>
              </w:rPr>
            </w:pPr>
            <w:r>
              <w:rPr>
                <w:rFonts w:eastAsia="Times New Roman" w:cs="Times New Roman"/>
                <w:b/>
                <w:color w:val="000000" w:themeColor="text1"/>
                <w:lang w:eastAsia="cs-CZ"/>
              </w:rPr>
              <w:tab/>
              <w:t>90 812 877</w:t>
            </w:r>
          </w:p>
        </w:tc>
        <w:tc>
          <w:tcPr>
            <w:tcW w:w="1335" w:type="dxa"/>
            <w:tcBorders>
              <w:top w:val="single" w:sz="8" w:space="0" w:color="7F7F7F" w:themeColor="text1" w:themeTint="80"/>
              <w:bottom w:val="single" w:sz="8" w:space="0" w:color="7F7F7F" w:themeColor="text1" w:themeTint="80"/>
            </w:tcBorders>
            <w:shd w:val="clear" w:color="auto" w:fill="auto"/>
            <w:vAlign w:val="center"/>
          </w:tcPr>
          <w:p w14:paraId="79CD36CF" w14:textId="77777777" w:rsidR="000A15A9" w:rsidRPr="00520616" w:rsidRDefault="000A15A9" w:rsidP="00DC64B4">
            <w:pPr>
              <w:jc w:val="right"/>
              <w:rPr>
                <w:rFonts w:eastAsia="Times New Roman" w:cs="Times New Roman"/>
                <w:b/>
                <w:color w:val="000000" w:themeColor="text1"/>
                <w:lang w:eastAsia="cs-CZ"/>
              </w:rPr>
            </w:pPr>
            <w:r w:rsidRPr="00520616">
              <w:rPr>
                <w:rFonts w:eastAsia="Times New Roman" w:cs="Times New Roman"/>
                <w:b/>
                <w:color w:val="000000" w:themeColor="text1"/>
                <w:lang w:eastAsia="cs-CZ"/>
              </w:rPr>
              <w:t>66 795 702</w:t>
            </w:r>
          </w:p>
        </w:tc>
        <w:tc>
          <w:tcPr>
            <w:tcW w:w="1361" w:type="dxa"/>
            <w:tcBorders>
              <w:top w:val="single" w:sz="8" w:space="0" w:color="7F7F7F" w:themeColor="text1" w:themeTint="80"/>
              <w:bottom w:val="single" w:sz="8" w:space="0" w:color="7F7F7F" w:themeColor="text1" w:themeTint="80"/>
            </w:tcBorders>
            <w:shd w:val="clear" w:color="auto" w:fill="auto"/>
            <w:vAlign w:val="center"/>
          </w:tcPr>
          <w:p w14:paraId="50BC911E" w14:textId="77777777" w:rsidR="000A15A9" w:rsidRPr="00E8518E" w:rsidRDefault="000A15A9" w:rsidP="00DC64B4">
            <w:pPr>
              <w:jc w:val="right"/>
              <w:rPr>
                <w:rFonts w:eastAsia="Times New Roman" w:cs="Times New Roman"/>
                <w:b/>
                <w:color w:val="FF0000"/>
                <w:lang w:eastAsia="cs-CZ"/>
              </w:rPr>
            </w:pPr>
            <w:r w:rsidRPr="00520616">
              <w:rPr>
                <w:rFonts w:eastAsia="Times New Roman" w:cs="Times New Roman"/>
                <w:b/>
                <w:color w:val="000000" w:themeColor="text1"/>
                <w:lang w:eastAsia="cs-CZ"/>
              </w:rPr>
              <w:t>69 570 915</w:t>
            </w:r>
          </w:p>
        </w:tc>
        <w:tc>
          <w:tcPr>
            <w:tcW w:w="1077" w:type="dxa"/>
            <w:tcBorders>
              <w:top w:val="single" w:sz="8" w:space="0" w:color="7F7F7F" w:themeColor="text1" w:themeTint="80"/>
              <w:bottom w:val="single" w:sz="8" w:space="0" w:color="7F7F7F" w:themeColor="text1" w:themeTint="80"/>
            </w:tcBorders>
            <w:shd w:val="clear" w:color="auto" w:fill="auto"/>
            <w:vAlign w:val="center"/>
          </w:tcPr>
          <w:p w14:paraId="6D1817B8" w14:textId="77777777" w:rsidR="000A15A9" w:rsidRPr="00503DA2" w:rsidRDefault="000A15A9" w:rsidP="00DC64B4">
            <w:pPr>
              <w:jc w:val="right"/>
              <w:rPr>
                <w:rFonts w:eastAsia="Times New Roman" w:cs="Times New Roman"/>
                <w:b/>
                <w:color w:val="000000" w:themeColor="text1"/>
                <w:lang w:eastAsia="cs-CZ"/>
              </w:rPr>
            </w:pPr>
            <w:r w:rsidRPr="00503DA2">
              <w:rPr>
                <w:rFonts w:eastAsia="Times New Roman" w:cs="Times New Roman"/>
                <w:b/>
                <w:color w:val="000000" w:themeColor="text1"/>
                <w:lang w:eastAsia="cs-CZ"/>
              </w:rPr>
              <w:t>104,15</w:t>
            </w:r>
          </w:p>
        </w:tc>
      </w:tr>
      <w:tr w:rsidR="000A15A9" w:rsidRPr="00E8518E" w14:paraId="49AC9C44" w14:textId="77777777" w:rsidTr="00DC64B4">
        <w:trPr>
          <w:tblHeader/>
        </w:trPr>
        <w:tc>
          <w:tcPr>
            <w:tcW w:w="3818" w:type="dxa"/>
            <w:tcBorders>
              <w:top w:val="single" w:sz="8" w:space="0" w:color="7F7F7F" w:themeColor="text1" w:themeTint="80"/>
            </w:tcBorders>
            <w:shd w:val="clear" w:color="auto" w:fill="auto"/>
          </w:tcPr>
          <w:p w14:paraId="14F3DD2E" w14:textId="77777777" w:rsidR="000A15A9" w:rsidRPr="0040603C" w:rsidRDefault="000A15A9" w:rsidP="00DC64B4">
            <w:pPr>
              <w:rPr>
                <w:rFonts w:eastAsia="Times New Roman" w:cs="Times New Roman"/>
                <w:lang w:eastAsia="cs-CZ"/>
              </w:rPr>
            </w:pPr>
            <w:r w:rsidRPr="0040603C">
              <w:rPr>
                <w:rFonts w:eastAsia="Times New Roman" w:cs="Times New Roman"/>
                <w:lang w:eastAsia="cs-CZ"/>
              </w:rPr>
              <w:t>organizační složky státu</w:t>
            </w:r>
          </w:p>
        </w:tc>
        <w:tc>
          <w:tcPr>
            <w:tcW w:w="1488" w:type="dxa"/>
            <w:tcBorders>
              <w:top w:val="single" w:sz="8" w:space="0" w:color="7F7F7F" w:themeColor="text1" w:themeTint="80"/>
            </w:tcBorders>
            <w:shd w:val="clear" w:color="auto" w:fill="auto"/>
            <w:vAlign w:val="center"/>
          </w:tcPr>
          <w:p w14:paraId="6A78F0B2"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193 486</w:t>
            </w:r>
          </w:p>
        </w:tc>
        <w:tc>
          <w:tcPr>
            <w:tcW w:w="1335" w:type="dxa"/>
            <w:tcBorders>
              <w:top w:val="single" w:sz="8" w:space="0" w:color="7F7F7F" w:themeColor="text1" w:themeTint="80"/>
            </w:tcBorders>
            <w:shd w:val="clear" w:color="auto" w:fill="auto"/>
            <w:vAlign w:val="center"/>
          </w:tcPr>
          <w:p w14:paraId="3CB6C557"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165 105</w:t>
            </w:r>
          </w:p>
        </w:tc>
        <w:tc>
          <w:tcPr>
            <w:tcW w:w="1361" w:type="dxa"/>
            <w:tcBorders>
              <w:top w:val="single" w:sz="8" w:space="0" w:color="7F7F7F" w:themeColor="text1" w:themeTint="80"/>
            </w:tcBorders>
            <w:shd w:val="clear" w:color="auto" w:fill="auto"/>
            <w:vAlign w:val="center"/>
          </w:tcPr>
          <w:p w14:paraId="4ABD6AEE" w14:textId="77777777" w:rsidR="000A15A9" w:rsidRPr="00E8518E" w:rsidRDefault="000A15A9" w:rsidP="00DC64B4">
            <w:pPr>
              <w:jc w:val="right"/>
              <w:rPr>
                <w:rFonts w:eastAsia="Times New Roman" w:cs="Times New Roman"/>
                <w:color w:val="FF0000"/>
                <w:lang w:eastAsia="cs-CZ"/>
              </w:rPr>
            </w:pPr>
            <w:r w:rsidRPr="00520616">
              <w:rPr>
                <w:rFonts w:eastAsia="Times New Roman" w:cs="Times New Roman"/>
                <w:color w:val="000000" w:themeColor="text1"/>
                <w:lang w:eastAsia="cs-CZ"/>
              </w:rPr>
              <w:t>197 398</w:t>
            </w:r>
          </w:p>
        </w:tc>
        <w:tc>
          <w:tcPr>
            <w:tcW w:w="1077" w:type="dxa"/>
            <w:tcBorders>
              <w:top w:val="single" w:sz="8" w:space="0" w:color="7F7F7F" w:themeColor="text1" w:themeTint="80"/>
            </w:tcBorders>
            <w:shd w:val="clear" w:color="auto" w:fill="auto"/>
            <w:vAlign w:val="center"/>
          </w:tcPr>
          <w:p w14:paraId="5FBBFB82" w14:textId="77777777" w:rsidR="000A15A9" w:rsidRPr="00503DA2" w:rsidRDefault="000A15A9" w:rsidP="00DC64B4">
            <w:pPr>
              <w:jc w:val="right"/>
              <w:rPr>
                <w:rFonts w:eastAsia="Times New Roman" w:cs="Times New Roman"/>
                <w:color w:val="000000" w:themeColor="text1"/>
                <w:lang w:eastAsia="cs-CZ"/>
              </w:rPr>
            </w:pPr>
            <w:r w:rsidRPr="00503DA2">
              <w:rPr>
                <w:rFonts w:eastAsia="Times New Roman" w:cs="Times New Roman"/>
                <w:color w:val="000000" w:themeColor="text1"/>
                <w:lang w:eastAsia="cs-CZ"/>
              </w:rPr>
              <w:t>119,56</w:t>
            </w:r>
          </w:p>
        </w:tc>
      </w:tr>
      <w:tr w:rsidR="000A15A9" w:rsidRPr="00E8518E" w14:paraId="7CFD2FCB" w14:textId="77777777" w:rsidTr="00DC64B4">
        <w:trPr>
          <w:tblHeader/>
        </w:trPr>
        <w:tc>
          <w:tcPr>
            <w:tcW w:w="3818" w:type="dxa"/>
            <w:shd w:val="clear" w:color="auto" w:fill="auto"/>
          </w:tcPr>
          <w:p w14:paraId="7DF3C812" w14:textId="1E7BFB2A" w:rsidR="000A15A9" w:rsidRPr="0040603C" w:rsidRDefault="00B20749">
            <w:pPr>
              <w:rPr>
                <w:rFonts w:eastAsia="Times New Roman" w:cs="Times New Roman"/>
                <w:lang w:eastAsia="cs-CZ"/>
              </w:rPr>
            </w:pPr>
            <w:r>
              <w:rPr>
                <w:rFonts w:eastAsia="Times New Roman" w:cs="Times New Roman"/>
                <w:lang w:eastAsia="cs-CZ"/>
              </w:rPr>
              <w:t>p</w:t>
            </w:r>
            <w:r w:rsidR="000A15A9" w:rsidRPr="0040603C">
              <w:rPr>
                <w:rFonts w:eastAsia="Times New Roman" w:cs="Times New Roman"/>
                <w:lang w:eastAsia="cs-CZ"/>
              </w:rPr>
              <w:t>říspěvkové</w:t>
            </w:r>
            <w:r w:rsidR="000A15A9">
              <w:rPr>
                <w:rFonts w:eastAsia="Times New Roman" w:cs="Times New Roman"/>
                <w:lang w:eastAsia="cs-CZ"/>
              </w:rPr>
              <w:t xml:space="preserve"> a podobné</w:t>
            </w:r>
            <w:r w:rsidR="000A15A9" w:rsidRPr="0040603C">
              <w:rPr>
                <w:rFonts w:eastAsia="Times New Roman" w:cs="Times New Roman"/>
                <w:lang w:eastAsia="cs-CZ"/>
              </w:rPr>
              <w:t xml:space="preserve"> organizace</w:t>
            </w:r>
          </w:p>
        </w:tc>
        <w:tc>
          <w:tcPr>
            <w:tcW w:w="1488" w:type="dxa"/>
            <w:shd w:val="clear" w:color="auto" w:fill="auto"/>
            <w:vAlign w:val="center"/>
          </w:tcPr>
          <w:p w14:paraId="0C4F65E9"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8 061</w:t>
            </w:r>
          </w:p>
        </w:tc>
        <w:tc>
          <w:tcPr>
            <w:tcW w:w="1335" w:type="dxa"/>
            <w:shd w:val="clear" w:color="auto" w:fill="auto"/>
            <w:vAlign w:val="center"/>
          </w:tcPr>
          <w:p w14:paraId="5D05496D"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198 364</w:t>
            </w:r>
          </w:p>
        </w:tc>
        <w:tc>
          <w:tcPr>
            <w:tcW w:w="1361" w:type="dxa"/>
            <w:shd w:val="clear" w:color="auto" w:fill="auto"/>
            <w:vAlign w:val="center"/>
          </w:tcPr>
          <w:p w14:paraId="2EDEB3C4" w14:textId="77777777" w:rsidR="000A15A9" w:rsidRPr="00E8518E" w:rsidRDefault="000A15A9" w:rsidP="00DC64B4">
            <w:pPr>
              <w:jc w:val="right"/>
              <w:rPr>
                <w:rFonts w:eastAsia="Times New Roman" w:cs="Times New Roman"/>
                <w:color w:val="FF0000"/>
                <w:lang w:eastAsia="cs-CZ"/>
              </w:rPr>
            </w:pPr>
            <w:r w:rsidRPr="00520616">
              <w:rPr>
                <w:rFonts w:eastAsia="Times New Roman" w:cs="Times New Roman"/>
                <w:color w:val="000000" w:themeColor="text1"/>
                <w:lang w:eastAsia="cs-CZ"/>
              </w:rPr>
              <w:t>292 721</w:t>
            </w:r>
          </w:p>
        </w:tc>
        <w:tc>
          <w:tcPr>
            <w:tcW w:w="1077" w:type="dxa"/>
            <w:shd w:val="clear" w:color="auto" w:fill="auto"/>
            <w:vAlign w:val="center"/>
          </w:tcPr>
          <w:p w14:paraId="30A31F86" w14:textId="77777777" w:rsidR="000A15A9" w:rsidRPr="00503DA2" w:rsidRDefault="000A15A9" w:rsidP="00DC64B4">
            <w:pPr>
              <w:jc w:val="right"/>
              <w:rPr>
                <w:rFonts w:eastAsia="Times New Roman" w:cs="Times New Roman"/>
                <w:color w:val="000000" w:themeColor="text1"/>
                <w:lang w:eastAsia="cs-CZ"/>
              </w:rPr>
            </w:pPr>
            <w:r w:rsidRPr="00503DA2">
              <w:rPr>
                <w:rFonts w:eastAsia="Times New Roman" w:cs="Times New Roman"/>
                <w:color w:val="000000" w:themeColor="text1"/>
                <w:lang w:eastAsia="cs-CZ"/>
              </w:rPr>
              <w:t>147,57</w:t>
            </w:r>
          </w:p>
        </w:tc>
      </w:tr>
      <w:tr w:rsidR="000A15A9" w:rsidRPr="00E8518E" w14:paraId="46A5820D" w14:textId="77777777" w:rsidTr="00DC64B4">
        <w:trPr>
          <w:tblHeader/>
        </w:trPr>
        <w:tc>
          <w:tcPr>
            <w:tcW w:w="3818" w:type="dxa"/>
            <w:shd w:val="clear" w:color="auto" w:fill="auto"/>
          </w:tcPr>
          <w:p w14:paraId="181F6FF7" w14:textId="77777777" w:rsidR="000A15A9" w:rsidRPr="0040603C" w:rsidRDefault="000A15A9" w:rsidP="00DC64B4">
            <w:pPr>
              <w:rPr>
                <w:rFonts w:eastAsia="Times New Roman" w:cs="Times New Roman"/>
                <w:lang w:eastAsia="cs-CZ"/>
              </w:rPr>
            </w:pPr>
            <w:r w:rsidRPr="0040603C">
              <w:rPr>
                <w:rFonts w:eastAsia="Times New Roman" w:cs="Times New Roman"/>
                <w:lang w:eastAsia="cs-CZ"/>
              </w:rPr>
              <w:t>podnikatelské subjekty</w:t>
            </w:r>
          </w:p>
        </w:tc>
        <w:tc>
          <w:tcPr>
            <w:tcW w:w="1488" w:type="dxa"/>
            <w:shd w:val="clear" w:color="auto" w:fill="auto"/>
            <w:vAlign w:val="center"/>
          </w:tcPr>
          <w:p w14:paraId="09171BE5"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87 538</w:t>
            </w:r>
          </w:p>
        </w:tc>
        <w:tc>
          <w:tcPr>
            <w:tcW w:w="1335" w:type="dxa"/>
            <w:shd w:val="clear" w:color="auto" w:fill="auto"/>
            <w:vAlign w:val="center"/>
          </w:tcPr>
          <w:p w14:paraId="5695C667"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3 294 777</w:t>
            </w:r>
          </w:p>
        </w:tc>
        <w:tc>
          <w:tcPr>
            <w:tcW w:w="1361" w:type="dxa"/>
            <w:shd w:val="clear" w:color="auto" w:fill="auto"/>
            <w:vAlign w:val="center"/>
          </w:tcPr>
          <w:p w14:paraId="4AE94FAF"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5 000</w:t>
            </w:r>
          </w:p>
        </w:tc>
        <w:tc>
          <w:tcPr>
            <w:tcW w:w="1077" w:type="dxa"/>
            <w:shd w:val="clear" w:color="auto" w:fill="auto"/>
            <w:vAlign w:val="center"/>
          </w:tcPr>
          <w:p w14:paraId="73A2C67C" w14:textId="77777777" w:rsidR="000A15A9" w:rsidRPr="00503DA2" w:rsidRDefault="000A15A9" w:rsidP="00DC64B4">
            <w:pPr>
              <w:jc w:val="right"/>
              <w:rPr>
                <w:rFonts w:eastAsia="Times New Roman" w:cs="Times New Roman"/>
                <w:color w:val="000000" w:themeColor="text1"/>
                <w:lang w:eastAsia="cs-CZ"/>
              </w:rPr>
            </w:pPr>
            <w:r w:rsidRPr="00503DA2">
              <w:rPr>
                <w:rFonts w:eastAsia="Times New Roman" w:cs="Times New Roman"/>
                <w:color w:val="000000" w:themeColor="text1"/>
                <w:lang w:eastAsia="cs-CZ"/>
              </w:rPr>
              <w:t>0,15</w:t>
            </w:r>
          </w:p>
        </w:tc>
      </w:tr>
      <w:tr w:rsidR="000A15A9" w:rsidRPr="00E8518E" w14:paraId="53FB19EE" w14:textId="77777777" w:rsidTr="00DC64B4">
        <w:trPr>
          <w:tblHeader/>
        </w:trPr>
        <w:tc>
          <w:tcPr>
            <w:tcW w:w="3818" w:type="dxa"/>
            <w:shd w:val="clear" w:color="auto" w:fill="auto"/>
          </w:tcPr>
          <w:p w14:paraId="567B0211" w14:textId="77777777" w:rsidR="000A15A9" w:rsidRPr="0040603C" w:rsidRDefault="000A15A9" w:rsidP="00DC64B4">
            <w:pPr>
              <w:rPr>
                <w:rFonts w:eastAsia="Times New Roman" w:cs="Times New Roman"/>
                <w:lang w:eastAsia="cs-CZ"/>
              </w:rPr>
            </w:pPr>
            <w:r w:rsidRPr="0040603C">
              <w:rPr>
                <w:rFonts w:eastAsia="Times New Roman" w:cs="Times New Roman"/>
                <w:lang w:eastAsia="cs-CZ"/>
              </w:rPr>
              <w:t>neziskové a podobné organizace</w:t>
            </w:r>
          </w:p>
        </w:tc>
        <w:tc>
          <w:tcPr>
            <w:tcW w:w="1488" w:type="dxa"/>
            <w:shd w:val="clear" w:color="auto" w:fill="auto"/>
            <w:vAlign w:val="center"/>
          </w:tcPr>
          <w:p w14:paraId="480B1BBE"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1 244</w:t>
            </w:r>
          </w:p>
        </w:tc>
        <w:tc>
          <w:tcPr>
            <w:tcW w:w="1335" w:type="dxa"/>
            <w:shd w:val="clear" w:color="auto" w:fill="auto"/>
            <w:vAlign w:val="center"/>
          </w:tcPr>
          <w:p w14:paraId="6D34327E"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0</w:t>
            </w:r>
          </w:p>
        </w:tc>
        <w:tc>
          <w:tcPr>
            <w:tcW w:w="1361" w:type="dxa"/>
            <w:shd w:val="clear" w:color="auto" w:fill="auto"/>
            <w:vAlign w:val="center"/>
          </w:tcPr>
          <w:p w14:paraId="06821040"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0</w:t>
            </w:r>
          </w:p>
        </w:tc>
        <w:tc>
          <w:tcPr>
            <w:tcW w:w="1077" w:type="dxa"/>
            <w:shd w:val="clear" w:color="auto" w:fill="auto"/>
            <w:vAlign w:val="center"/>
          </w:tcPr>
          <w:p w14:paraId="46B6201F" w14:textId="77777777" w:rsidR="000A15A9" w:rsidRPr="00503DA2" w:rsidRDefault="000A15A9" w:rsidP="00DC64B4">
            <w:pPr>
              <w:jc w:val="right"/>
              <w:rPr>
                <w:rFonts w:eastAsia="Times New Roman" w:cs="Times New Roman"/>
                <w:color w:val="000000" w:themeColor="text1"/>
                <w:lang w:eastAsia="cs-CZ"/>
              </w:rPr>
            </w:pPr>
            <w:r w:rsidRPr="00503DA2">
              <w:rPr>
                <w:rFonts w:eastAsia="Times New Roman" w:cs="Times New Roman"/>
                <w:color w:val="000000" w:themeColor="text1"/>
                <w:lang w:eastAsia="cs-CZ"/>
              </w:rPr>
              <w:t>x</w:t>
            </w:r>
          </w:p>
        </w:tc>
      </w:tr>
      <w:tr w:rsidR="000A15A9" w:rsidRPr="00E8518E" w14:paraId="1C886721" w14:textId="77777777" w:rsidTr="00DC64B4">
        <w:trPr>
          <w:tblHeader/>
        </w:trPr>
        <w:tc>
          <w:tcPr>
            <w:tcW w:w="3818" w:type="dxa"/>
            <w:shd w:val="clear" w:color="auto" w:fill="auto"/>
          </w:tcPr>
          <w:p w14:paraId="631EA30A" w14:textId="77777777" w:rsidR="000A15A9" w:rsidRPr="0040603C" w:rsidRDefault="000A15A9" w:rsidP="00DC64B4">
            <w:pPr>
              <w:rPr>
                <w:rFonts w:eastAsia="Times New Roman" w:cs="Times New Roman"/>
                <w:lang w:eastAsia="cs-CZ"/>
              </w:rPr>
            </w:pPr>
            <w:r w:rsidRPr="0040603C">
              <w:rPr>
                <w:rFonts w:eastAsia="Times New Roman" w:cs="Times New Roman"/>
                <w:lang w:eastAsia="cs-CZ"/>
              </w:rPr>
              <w:t>státní fondy</w:t>
            </w:r>
          </w:p>
        </w:tc>
        <w:tc>
          <w:tcPr>
            <w:tcW w:w="1488" w:type="dxa"/>
            <w:shd w:val="clear" w:color="auto" w:fill="auto"/>
            <w:vAlign w:val="center"/>
          </w:tcPr>
          <w:p w14:paraId="29619FD5"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90 522 548</w:t>
            </w:r>
          </w:p>
        </w:tc>
        <w:tc>
          <w:tcPr>
            <w:tcW w:w="1335" w:type="dxa"/>
            <w:shd w:val="clear" w:color="auto" w:fill="auto"/>
            <w:vAlign w:val="center"/>
          </w:tcPr>
          <w:p w14:paraId="213D891F" w14:textId="77777777" w:rsidR="000A15A9" w:rsidRPr="00520616" w:rsidRDefault="000A15A9" w:rsidP="00DC64B4">
            <w:pPr>
              <w:jc w:val="right"/>
              <w:rPr>
                <w:rFonts w:eastAsia="Times New Roman" w:cs="Times New Roman"/>
                <w:color w:val="000000" w:themeColor="text1"/>
                <w:lang w:eastAsia="cs-CZ"/>
              </w:rPr>
            </w:pPr>
            <w:r w:rsidRPr="00520616">
              <w:rPr>
                <w:rFonts w:eastAsia="Times New Roman" w:cs="Times New Roman"/>
                <w:color w:val="000000" w:themeColor="text1"/>
                <w:lang w:eastAsia="cs-CZ"/>
              </w:rPr>
              <w:t>63 137 456</w:t>
            </w:r>
          </w:p>
        </w:tc>
        <w:tc>
          <w:tcPr>
            <w:tcW w:w="1361" w:type="dxa"/>
            <w:shd w:val="clear" w:color="auto" w:fill="auto"/>
            <w:vAlign w:val="center"/>
          </w:tcPr>
          <w:p w14:paraId="50C21C77" w14:textId="77777777" w:rsidR="000A15A9" w:rsidRPr="00E8518E" w:rsidRDefault="000A15A9" w:rsidP="00DC64B4">
            <w:pPr>
              <w:jc w:val="right"/>
              <w:rPr>
                <w:rFonts w:eastAsia="Times New Roman" w:cs="Times New Roman"/>
                <w:color w:val="FF0000"/>
                <w:lang w:eastAsia="cs-CZ"/>
              </w:rPr>
            </w:pPr>
            <w:r w:rsidRPr="00520616">
              <w:rPr>
                <w:rFonts w:eastAsia="Times New Roman" w:cs="Times New Roman"/>
                <w:color w:val="000000" w:themeColor="text1"/>
                <w:lang w:eastAsia="cs-CZ"/>
              </w:rPr>
              <w:t>69 075 796</w:t>
            </w:r>
          </w:p>
        </w:tc>
        <w:tc>
          <w:tcPr>
            <w:tcW w:w="1077" w:type="dxa"/>
            <w:shd w:val="clear" w:color="auto" w:fill="auto"/>
            <w:vAlign w:val="center"/>
          </w:tcPr>
          <w:p w14:paraId="41CACF88" w14:textId="77777777" w:rsidR="000A15A9" w:rsidRPr="00503DA2" w:rsidRDefault="000A15A9" w:rsidP="00DC64B4">
            <w:pPr>
              <w:jc w:val="right"/>
              <w:rPr>
                <w:rFonts w:eastAsia="Times New Roman" w:cs="Times New Roman"/>
                <w:color w:val="000000" w:themeColor="text1"/>
                <w:lang w:eastAsia="cs-CZ"/>
              </w:rPr>
            </w:pPr>
            <w:r w:rsidRPr="00503DA2">
              <w:rPr>
                <w:rFonts w:eastAsia="Times New Roman" w:cs="Times New Roman"/>
                <w:color w:val="000000" w:themeColor="text1"/>
                <w:lang w:eastAsia="cs-CZ"/>
              </w:rPr>
              <w:t>109,41</w:t>
            </w:r>
          </w:p>
        </w:tc>
      </w:tr>
    </w:tbl>
    <w:p w14:paraId="38C5DE6D" w14:textId="4170BEDF" w:rsidR="000A15A9" w:rsidRPr="0088307E" w:rsidRDefault="000A15A9" w:rsidP="00367790">
      <w:pPr>
        <w:pStyle w:val="Styl1"/>
        <w:spacing w:after="120"/>
        <w:rPr>
          <w:rFonts w:eastAsiaTheme="minorHAnsi" w:cstheme="minorBidi"/>
          <w:szCs w:val="22"/>
        </w:rPr>
      </w:pPr>
      <w:r w:rsidRPr="007D2954">
        <w:t xml:space="preserve">Výdaje vedené v informačním systému programového financování EDS/SMVS jsou oproti </w:t>
      </w:r>
      <w:r w:rsidRPr="007D2954">
        <w:rPr>
          <w:color w:val="000000" w:themeColor="text1"/>
        </w:rPr>
        <w:t xml:space="preserve">schválenému rozpočtu na rok 2022 vyšší o 2 775 213 tis. Kč, tj. o 4,15  %.  </w:t>
      </w:r>
      <w:r>
        <w:rPr>
          <w:color w:val="000000" w:themeColor="text1"/>
        </w:rPr>
        <w:t>V absolutním vyjádření dochází k navýšení především u prostředků určených pro Státní fond dopravní infrastruktury na krytí deficitu příjmů a výdajů SFDI.</w:t>
      </w:r>
    </w:p>
    <w:p w14:paraId="237023D9" w14:textId="1FB755D7" w:rsidR="00BB459E" w:rsidRPr="0088307E" w:rsidRDefault="00BB459E" w:rsidP="00367790">
      <w:pPr>
        <w:pStyle w:val="Nadpis3"/>
        <w:spacing w:before="120"/>
      </w:pPr>
      <w:bookmarkStart w:id="218" w:name="_Toc115787310"/>
      <w:bookmarkStart w:id="219" w:name="_Toc115787900"/>
      <w:bookmarkStart w:id="220" w:name="_Toc115787901"/>
      <w:bookmarkEnd w:id="218"/>
      <w:bookmarkEnd w:id="219"/>
      <w:r w:rsidRPr="0088307E">
        <w:t>Organizační složky státu</w:t>
      </w:r>
      <w:bookmarkEnd w:id="214"/>
      <w:bookmarkEnd w:id="215"/>
      <w:bookmarkEnd w:id="216"/>
      <w:bookmarkEnd w:id="217"/>
      <w:bookmarkEnd w:id="220"/>
    </w:p>
    <w:p w14:paraId="61A23A7D" w14:textId="67D757B5" w:rsidR="004678AB" w:rsidRPr="004678AB" w:rsidRDefault="004678AB" w:rsidP="0088307E">
      <w:pPr>
        <w:pStyle w:val="Styl1"/>
      </w:pPr>
      <w:bookmarkStart w:id="221" w:name="_Toc304375452"/>
      <w:bookmarkStart w:id="222" w:name="_Toc305406310"/>
      <w:bookmarkStart w:id="223" w:name="_Toc462314403"/>
      <w:bookmarkStart w:id="224" w:name="_Toc489274110"/>
      <w:r w:rsidRPr="004678AB">
        <w:t>Výdaje vedené v EDS/SMVS jsou pro rozpočtový rok 2023 u organizačních složek státu</w:t>
      </w:r>
      <w:r w:rsidRPr="004678AB">
        <w:rPr>
          <w:b/>
          <w:bCs/>
        </w:rPr>
        <w:t xml:space="preserve"> </w:t>
      </w:r>
      <w:r w:rsidRPr="004678AB">
        <w:t xml:space="preserve">navrženy v celkové výši </w:t>
      </w:r>
      <w:r>
        <w:t>19</w:t>
      </w:r>
      <w:r w:rsidRPr="004678AB">
        <w:t>7 398 tis. Kč</w:t>
      </w:r>
      <w:r w:rsidR="000E00C2">
        <w:t>.</w:t>
      </w:r>
      <w:r w:rsidRPr="004678AB">
        <w:t xml:space="preserve"> Druhové členění výdajů vykazuje následující tabulka.                                                                                                                                                    </w:t>
      </w:r>
    </w:p>
    <w:p w14:paraId="27AAA694" w14:textId="57F1A61E" w:rsidR="004678AB" w:rsidRPr="004678AB" w:rsidRDefault="004678AB" w:rsidP="004678AB">
      <w:pPr>
        <w:keepNext/>
        <w:spacing w:before="120" w:after="120" w:line="240" w:lineRule="auto"/>
        <w:rPr>
          <w:rFonts w:eastAsia="Times New Roman" w:cs="Times New Roman"/>
          <w:b/>
          <w:bCs/>
          <w:noProof/>
          <w:sz w:val="20"/>
          <w:szCs w:val="20"/>
          <w:lang w:eastAsia="cs-CZ"/>
        </w:rPr>
      </w:pPr>
      <w:r w:rsidRPr="004678AB">
        <w:rPr>
          <w:rFonts w:eastAsia="Times New Roman" w:cs="Times New Roman"/>
          <w:b/>
          <w:bCs/>
          <w:sz w:val="20"/>
          <w:szCs w:val="20"/>
          <w:lang w:eastAsia="cs-CZ"/>
        </w:rPr>
        <w:t xml:space="preserve">Tabulka č. </w:t>
      </w:r>
      <w:r w:rsidR="00B3696F">
        <w:rPr>
          <w:rFonts w:eastAsia="Times New Roman" w:cs="Times New Roman"/>
          <w:b/>
          <w:bCs/>
          <w:sz w:val="20"/>
          <w:szCs w:val="20"/>
          <w:lang w:eastAsia="cs-CZ"/>
        </w:rPr>
        <w:t>29</w:t>
      </w:r>
      <w:r w:rsidRPr="004678AB">
        <w:rPr>
          <w:rFonts w:eastAsia="Times New Roman" w:cs="Times New Roman"/>
          <w:b/>
          <w:bCs/>
          <w:noProof/>
          <w:sz w:val="20"/>
          <w:szCs w:val="20"/>
          <w:lang w:eastAsia="cs-CZ"/>
        </w:rPr>
        <w:t xml:space="preserve"> Výdaje organizačních složek státu vedené v EDS/SMVS (v tis. Kč)</w:t>
      </w:r>
    </w:p>
    <w:tbl>
      <w:tblPr>
        <w:tblStyle w:val="Svtltabulkasmkou1zvraznn5"/>
        <w:tblW w:w="5002"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53"/>
        <w:gridCol w:w="1376"/>
        <w:gridCol w:w="1375"/>
        <w:gridCol w:w="1375"/>
        <w:gridCol w:w="1076"/>
      </w:tblGrid>
      <w:tr w:rsidR="004678AB" w:rsidRPr="004678AB" w14:paraId="59DBEC75" w14:textId="77777777" w:rsidTr="0011129C">
        <w:tc>
          <w:tcPr>
            <w:tcW w:w="212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C54C16"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Ukazatel</w:t>
            </w:r>
          </w:p>
        </w:tc>
        <w:tc>
          <w:tcPr>
            <w:tcW w:w="76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404DD68"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Skutečnost</w:t>
            </w:r>
          </w:p>
          <w:p w14:paraId="69AEAA75"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2021</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CCE35E0"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Schválený rozpočet</w:t>
            </w:r>
          </w:p>
          <w:p w14:paraId="3DF5B761"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2022</w:t>
            </w:r>
          </w:p>
        </w:tc>
        <w:tc>
          <w:tcPr>
            <w:tcW w:w="75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688D863"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Návrh</w:t>
            </w:r>
          </w:p>
          <w:p w14:paraId="1AE200C5"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rozpočtu</w:t>
            </w:r>
          </w:p>
          <w:p w14:paraId="6B443EE2"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2023</w:t>
            </w:r>
          </w:p>
        </w:tc>
        <w:tc>
          <w:tcPr>
            <w:tcW w:w="59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42D6295"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Index</w:t>
            </w:r>
          </w:p>
          <w:p w14:paraId="4C2BB8FB"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2023/</w:t>
            </w:r>
            <w:r w:rsidRPr="004678AB">
              <w:rPr>
                <w:rFonts w:eastAsia="Times New Roman" w:cs="Times New Roman"/>
                <w:b/>
                <w:lang w:eastAsia="cs-CZ"/>
              </w:rPr>
              <w:br/>
              <w:t>2022</w:t>
            </w:r>
          </w:p>
          <w:p w14:paraId="446460A1"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(v %)</w:t>
            </w:r>
          </w:p>
        </w:tc>
      </w:tr>
      <w:tr w:rsidR="004678AB" w:rsidRPr="004678AB" w14:paraId="277E139C" w14:textId="77777777" w:rsidTr="0011129C">
        <w:tc>
          <w:tcPr>
            <w:tcW w:w="2128" w:type="pct"/>
            <w:tcBorders>
              <w:top w:val="single" w:sz="4" w:space="0" w:color="7F7F7F" w:themeColor="text1" w:themeTint="80"/>
              <w:bottom w:val="single" w:sz="8" w:space="0" w:color="7F7F7F" w:themeColor="text1" w:themeTint="80"/>
            </w:tcBorders>
            <w:shd w:val="clear" w:color="auto" w:fill="auto"/>
          </w:tcPr>
          <w:p w14:paraId="650B3AE3"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a</w:t>
            </w:r>
          </w:p>
        </w:tc>
        <w:tc>
          <w:tcPr>
            <w:tcW w:w="760" w:type="pct"/>
            <w:tcBorders>
              <w:top w:val="single" w:sz="4" w:space="0" w:color="7F7F7F" w:themeColor="text1" w:themeTint="80"/>
              <w:bottom w:val="single" w:sz="8" w:space="0" w:color="7F7F7F" w:themeColor="text1" w:themeTint="80"/>
            </w:tcBorders>
            <w:shd w:val="clear" w:color="auto" w:fill="auto"/>
          </w:tcPr>
          <w:p w14:paraId="7ADF165D"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1</w:t>
            </w:r>
          </w:p>
        </w:tc>
        <w:tc>
          <w:tcPr>
            <w:tcW w:w="759" w:type="pct"/>
            <w:tcBorders>
              <w:top w:val="single" w:sz="4" w:space="0" w:color="7F7F7F" w:themeColor="text1" w:themeTint="80"/>
              <w:bottom w:val="single" w:sz="8" w:space="0" w:color="7F7F7F" w:themeColor="text1" w:themeTint="80"/>
            </w:tcBorders>
            <w:shd w:val="clear" w:color="auto" w:fill="auto"/>
          </w:tcPr>
          <w:p w14:paraId="5B69F04F"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2</w:t>
            </w:r>
          </w:p>
        </w:tc>
        <w:tc>
          <w:tcPr>
            <w:tcW w:w="759" w:type="pct"/>
            <w:tcBorders>
              <w:top w:val="single" w:sz="4" w:space="0" w:color="7F7F7F" w:themeColor="text1" w:themeTint="80"/>
              <w:bottom w:val="single" w:sz="8" w:space="0" w:color="7F7F7F" w:themeColor="text1" w:themeTint="80"/>
            </w:tcBorders>
            <w:shd w:val="clear" w:color="auto" w:fill="auto"/>
          </w:tcPr>
          <w:p w14:paraId="0A34F0BA"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3</w:t>
            </w:r>
          </w:p>
        </w:tc>
        <w:tc>
          <w:tcPr>
            <w:tcW w:w="594" w:type="pct"/>
            <w:tcBorders>
              <w:top w:val="single" w:sz="4" w:space="0" w:color="7F7F7F" w:themeColor="text1" w:themeTint="80"/>
              <w:bottom w:val="single" w:sz="8" w:space="0" w:color="7F7F7F" w:themeColor="text1" w:themeTint="80"/>
            </w:tcBorders>
            <w:shd w:val="clear" w:color="auto" w:fill="auto"/>
          </w:tcPr>
          <w:p w14:paraId="2C03C3DF"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4</w:t>
            </w:r>
          </w:p>
        </w:tc>
      </w:tr>
      <w:tr w:rsidR="004678AB" w:rsidRPr="004678AB" w14:paraId="4B1C4F8B" w14:textId="77777777" w:rsidTr="0011129C">
        <w:tc>
          <w:tcPr>
            <w:tcW w:w="2128" w:type="pct"/>
            <w:tcBorders>
              <w:top w:val="single" w:sz="8" w:space="0" w:color="7F7F7F" w:themeColor="text1" w:themeTint="80"/>
              <w:bottom w:val="single" w:sz="4" w:space="0" w:color="auto"/>
            </w:tcBorders>
            <w:shd w:val="clear" w:color="auto" w:fill="auto"/>
          </w:tcPr>
          <w:p w14:paraId="2AC31A18" w14:textId="77777777" w:rsidR="004678AB" w:rsidRPr="004678AB" w:rsidRDefault="004678AB" w:rsidP="004678AB">
            <w:pPr>
              <w:jc w:val="left"/>
              <w:rPr>
                <w:rFonts w:eastAsia="Times New Roman" w:cs="Times New Roman"/>
                <w:b/>
                <w:lang w:eastAsia="cs-CZ"/>
              </w:rPr>
            </w:pPr>
            <w:r w:rsidRPr="004678AB">
              <w:rPr>
                <w:rFonts w:eastAsia="Times New Roman" w:cs="Times New Roman"/>
                <w:b/>
                <w:lang w:eastAsia="cs-CZ"/>
              </w:rPr>
              <w:t xml:space="preserve">Organizační složky státu celkem </w:t>
            </w:r>
            <w:r w:rsidRPr="004678AB">
              <w:rPr>
                <w:rFonts w:eastAsia="Times New Roman" w:cs="Times New Roman"/>
                <w:b/>
                <w:lang w:eastAsia="cs-CZ"/>
              </w:rPr>
              <w:br/>
            </w:r>
            <w:r w:rsidRPr="004678AB">
              <w:rPr>
                <w:rFonts w:eastAsia="Times New Roman" w:cs="Times New Roman"/>
                <w:lang w:eastAsia="cs-CZ"/>
              </w:rPr>
              <w:t>v tom:</w:t>
            </w:r>
            <w:r w:rsidRPr="004678AB">
              <w:rPr>
                <w:rFonts w:eastAsia="Times New Roman" w:cs="Times New Roman"/>
                <w:b/>
                <w:lang w:eastAsia="cs-CZ"/>
              </w:rPr>
              <w:t xml:space="preserve"> </w:t>
            </w:r>
          </w:p>
        </w:tc>
        <w:tc>
          <w:tcPr>
            <w:tcW w:w="760" w:type="pct"/>
            <w:tcBorders>
              <w:top w:val="single" w:sz="8" w:space="0" w:color="7F7F7F" w:themeColor="text1" w:themeTint="80"/>
              <w:bottom w:val="single" w:sz="4" w:space="0" w:color="auto"/>
            </w:tcBorders>
            <w:shd w:val="clear" w:color="auto" w:fill="auto"/>
            <w:vAlign w:val="center"/>
          </w:tcPr>
          <w:p w14:paraId="19CCDD11" w14:textId="77777777" w:rsidR="004678AB" w:rsidRPr="004678AB" w:rsidRDefault="004678AB" w:rsidP="004678AB">
            <w:pPr>
              <w:jc w:val="right"/>
              <w:rPr>
                <w:rFonts w:eastAsia="Times New Roman" w:cs="Times New Roman"/>
                <w:b/>
                <w:lang w:eastAsia="cs-CZ"/>
              </w:rPr>
            </w:pPr>
            <w:r w:rsidRPr="004678AB">
              <w:rPr>
                <w:rFonts w:eastAsia="Times New Roman" w:cs="Times New Roman"/>
                <w:b/>
                <w:lang w:eastAsia="cs-CZ"/>
              </w:rPr>
              <w:t>193 486</w:t>
            </w:r>
          </w:p>
        </w:tc>
        <w:tc>
          <w:tcPr>
            <w:tcW w:w="759" w:type="pct"/>
            <w:tcBorders>
              <w:top w:val="single" w:sz="8" w:space="0" w:color="7F7F7F" w:themeColor="text1" w:themeTint="80"/>
              <w:bottom w:val="single" w:sz="4" w:space="0" w:color="auto"/>
            </w:tcBorders>
            <w:shd w:val="clear" w:color="auto" w:fill="auto"/>
            <w:vAlign w:val="center"/>
          </w:tcPr>
          <w:p w14:paraId="6349A08D" w14:textId="77777777" w:rsidR="004678AB" w:rsidRPr="004678AB" w:rsidRDefault="004678AB" w:rsidP="004678AB">
            <w:pPr>
              <w:jc w:val="right"/>
              <w:rPr>
                <w:rFonts w:eastAsia="Times New Roman" w:cs="Times New Roman"/>
                <w:b/>
                <w:lang w:eastAsia="cs-CZ"/>
              </w:rPr>
            </w:pPr>
            <w:r w:rsidRPr="004678AB">
              <w:rPr>
                <w:rFonts w:eastAsia="Times New Roman" w:cs="Times New Roman"/>
                <w:b/>
                <w:lang w:eastAsia="cs-CZ"/>
              </w:rPr>
              <w:t xml:space="preserve">165 105 </w:t>
            </w:r>
          </w:p>
        </w:tc>
        <w:tc>
          <w:tcPr>
            <w:tcW w:w="759" w:type="pct"/>
            <w:tcBorders>
              <w:top w:val="single" w:sz="8" w:space="0" w:color="7F7F7F" w:themeColor="text1" w:themeTint="80"/>
              <w:bottom w:val="single" w:sz="4" w:space="0" w:color="auto"/>
            </w:tcBorders>
            <w:shd w:val="clear" w:color="auto" w:fill="auto"/>
            <w:vAlign w:val="center"/>
          </w:tcPr>
          <w:p w14:paraId="1AA13716" w14:textId="77777777" w:rsidR="004678AB" w:rsidRPr="004678AB" w:rsidRDefault="004678AB" w:rsidP="004678AB">
            <w:pPr>
              <w:jc w:val="right"/>
              <w:rPr>
                <w:rFonts w:eastAsia="Times New Roman" w:cs="Times New Roman"/>
                <w:b/>
                <w:lang w:eastAsia="cs-CZ"/>
              </w:rPr>
            </w:pPr>
            <w:r w:rsidRPr="004678AB">
              <w:rPr>
                <w:rFonts w:eastAsia="Times New Roman" w:cs="Times New Roman"/>
                <w:b/>
                <w:lang w:eastAsia="cs-CZ"/>
              </w:rPr>
              <w:t xml:space="preserve">197 398 </w:t>
            </w:r>
          </w:p>
        </w:tc>
        <w:tc>
          <w:tcPr>
            <w:tcW w:w="594" w:type="pct"/>
            <w:tcBorders>
              <w:top w:val="single" w:sz="8" w:space="0" w:color="7F7F7F" w:themeColor="text1" w:themeTint="80"/>
              <w:bottom w:val="single" w:sz="4" w:space="0" w:color="auto"/>
            </w:tcBorders>
            <w:shd w:val="clear" w:color="auto" w:fill="auto"/>
            <w:vAlign w:val="center"/>
          </w:tcPr>
          <w:p w14:paraId="35CB161E" w14:textId="77777777" w:rsidR="004678AB" w:rsidRPr="004678AB" w:rsidRDefault="004678AB" w:rsidP="004678AB">
            <w:pPr>
              <w:jc w:val="right"/>
              <w:rPr>
                <w:rFonts w:eastAsia="Times New Roman" w:cs="Times New Roman"/>
                <w:b/>
                <w:lang w:eastAsia="cs-CZ"/>
              </w:rPr>
            </w:pPr>
            <w:r w:rsidRPr="004678AB">
              <w:rPr>
                <w:rFonts w:eastAsia="Times New Roman" w:cs="Times New Roman"/>
                <w:b/>
                <w:lang w:eastAsia="cs-CZ"/>
              </w:rPr>
              <w:t>119,56</w:t>
            </w:r>
          </w:p>
        </w:tc>
      </w:tr>
      <w:tr w:rsidR="004678AB" w:rsidRPr="004678AB" w14:paraId="0C7A01E1" w14:textId="77777777" w:rsidTr="0011129C">
        <w:tc>
          <w:tcPr>
            <w:tcW w:w="2128" w:type="pct"/>
            <w:tcBorders>
              <w:top w:val="single" w:sz="4" w:space="0" w:color="auto"/>
              <w:bottom w:val="nil"/>
            </w:tcBorders>
            <w:shd w:val="clear" w:color="auto" w:fill="auto"/>
          </w:tcPr>
          <w:p w14:paraId="18246EC0" w14:textId="77777777" w:rsidR="004678AB" w:rsidRPr="004678AB" w:rsidRDefault="004678AB" w:rsidP="004678AB">
            <w:pPr>
              <w:rPr>
                <w:rFonts w:eastAsia="Times New Roman" w:cs="Times New Roman"/>
                <w:lang w:eastAsia="cs-CZ"/>
              </w:rPr>
            </w:pPr>
            <w:r w:rsidRPr="004678AB">
              <w:rPr>
                <w:rFonts w:eastAsia="Times New Roman" w:cs="Times New Roman"/>
                <w:lang w:eastAsia="cs-CZ"/>
              </w:rPr>
              <w:t>běžné výdaje v tom:</w:t>
            </w:r>
          </w:p>
        </w:tc>
        <w:tc>
          <w:tcPr>
            <w:tcW w:w="760" w:type="pct"/>
            <w:tcBorders>
              <w:top w:val="single" w:sz="4" w:space="0" w:color="auto"/>
              <w:bottom w:val="nil"/>
            </w:tcBorders>
            <w:shd w:val="clear" w:color="auto" w:fill="auto"/>
            <w:vAlign w:val="center"/>
          </w:tcPr>
          <w:p w14:paraId="48B97AC4"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119 113</w:t>
            </w:r>
          </w:p>
        </w:tc>
        <w:tc>
          <w:tcPr>
            <w:tcW w:w="759" w:type="pct"/>
            <w:tcBorders>
              <w:top w:val="single" w:sz="4" w:space="0" w:color="auto"/>
              <w:bottom w:val="nil"/>
            </w:tcBorders>
            <w:shd w:val="clear" w:color="auto" w:fill="auto"/>
            <w:vAlign w:val="center"/>
          </w:tcPr>
          <w:p w14:paraId="0EA781D4"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87 383</w:t>
            </w:r>
          </w:p>
        </w:tc>
        <w:tc>
          <w:tcPr>
            <w:tcW w:w="759" w:type="pct"/>
            <w:tcBorders>
              <w:top w:val="single" w:sz="4" w:space="0" w:color="auto"/>
              <w:bottom w:val="nil"/>
            </w:tcBorders>
            <w:shd w:val="clear" w:color="auto" w:fill="auto"/>
            <w:vAlign w:val="center"/>
          </w:tcPr>
          <w:p w14:paraId="4B2C6693"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99 864</w:t>
            </w:r>
          </w:p>
        </w:tc>
        <w:tc>
          <w:tcPr>
            <w:tcW w:w="594" w:type="pct"/>
            <w:tcBorders>
              <w:top w:val="single" w:sz="4" w:space="0" w:color="auto"/>
              <w:bottom w:val="nil"/>
            </w:tcBorders>
            <w:shd w:val="clear" w:color="auto" w:fill="auto"/>
            <w:vAlign w:val="center"/>
          </w:tcPr>
          <w:p w14:paraId="0167F6F7"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114,28</w:t>
            </w:r>
          </w:p>
        </w:tc>
      </w:tr>
      <w:tr w:rsidR="004678AB" w:rsidRPr="004678AB" w14:paraId="623DA198" w14:textId="77777777" w:rsidTr="0011129C">
        <w:tc>
          <w:tcPr>
            <w:tcW w:w="2128" w:type="pct"/>
            <w:tcBorders>
              <w:top w:val="nil"/>
              <w:bottom w:val="nil"/>
              <w:right w:val="single" w:sz="4" w:space="0" w:color="7F7F7F" w:themeColor="text1" w:themeTint="80"/>
            </w:tcBorders>
            <w:shd w:val="clear" w:color="auto" w:fill="auto"/>
          </w:tcPr>
          <w:p w14:paraId="3FA6C54B" w14:textId="77777777" w:rsidR="004678AB" w:rsidRPr="004678AB" w:rsidRDefault="004678AB" w:rsidP="004678AB">
            <w:pPr>
              <w:rPr>
                <w:rFonts w:eastAsia="Times New Roman" w:cs="Times New Roman"/>
                <w:i/>
                <w:lang w:eastAsia="cs-CZ"/>
              </w:rPr>
            </w:pPr>
            <w:r w:rsidRPr="004678AB">
              <w:rPr>
                <w:rFonts w:eastAsia="Times New Roman" w:cs="Times New Roman"/>
                <w:i/>
                <w:lang w:eastAsia="cs-CZ"/>
              </w:rPr>
              <w:t xml:space="preserve">      prostředky SR</w:t>
            </w:r>
          </w:p>
        </w:tc>
        <w:tc>
          <w:tcPr>
            <w:tcW w:w="760"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7BEBA832"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119 105</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1AA07583"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87 383</w:t>
            </w:r>
          </w:p>
        </w:tc>
        <w:tc>
          <w:tcPr>
            <w:tcW w:w="759" w:type="pct"/>
            <w:tcBorders>
              <w:top w:val="nil"/>
              <w:left w:val="single" w:sz="2" w:space="0" w:color="7F7F7F" w:themeColor="text1" w:themeTint="80"/>
              <w:bottom w:val="nil"/>
              <w:right w:val="single" w:sz="2" w:space="0" w:color="7F7F7F" w:themeColor="text1" w:themeTint="80"/>
            </w:tcBorders>
            <w:shd w:val="clear" w:color="auto" w:fill="auto"/>
            <w:vAlign w:val="center"/>
          </w:tcPr>
          <w:p w14:paraId="18C8D312"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99 864</w:t>
            </w:r>
          </w:p>
        </w:tc>
        <w:tc>
          <w:tcPr>
            <w:tcW w:w="594" w:type="pct"/>
            <w:tcBorders>
              <w:top w:val="nil"/>
              <w:left w:val="single" w:sz="2" w:space="0" w:color="7F7F7F" w:themeColor="text1" w:themeTint="80"/>
              <w:bottom w:val="nil"/>
            </w:tcBorders>
            <w:shd w:val="clear" w:color="auto" w:fill="auto"/>
            <w:vAlign w:val="center"/>
          </w:tcPr>
          <w:p w14:paraId="6B562105"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114,28</w:t>
            </w:r>
          </w:p>
        </w:tc>
      </w:tr>
      <w:tr w:rsidR="004678AB" w:rsidRPr="004678AB" w14:paraId="6DC3181B" w14:textId="77777777" w:rsidTr="0011129C">
        <w:trPr>
          <w:trHeight w:val="372"/>
        </w:trPr>
        <w:tc>
          <w:tcPr>
            <w:tcW w:w="2128" w:type="pct"/>
            <w:tcBorders>
              <w:top w:val="nil"/>
              <w:bottom w:val="single" w:sz="4" w:space="0" w:color="7F7F7F" w:themeColor="text1" w:themeTint="80"/>
              <w:right w:val="single" w:sz="4" w:space="0" w:color="7F7F7F" w:themeColor="text1" w:themeTint="80"/>
            </w:tcBorders>
            <w:shd w:val="clear" w:color="auto" w:fill="auto"/>
          </w:tcPr>
          <w:p w14:paraId="716D29E5" w14:textId="77777777" w:rsidR="004678AB" w:rsidRPr="004678AB" w:rsidRDefault="004678AB" w:rsidP="004678AB">
            <w:pPr>
              <w:rPr>
                <w:rFonts w:eastAsia="Times New Roman" w:cs="Times New Roman"/>
                <w:i/>
                <w:lang w:eastAsia="cs-CZ"/>
              </w:rPr>
            </w:pPr>
            <w:r w:rsidRPr="004678AB">
              <w:rPr>
                <w:rFonts w:eastAsia="Times New Roman" w:cs="Times New Roman"/>
                <w:i/>
                <w:lang w:eastAsia="cs-CZ"/>
              </w:rPr>
              <w:t xml:space="preserve">      prostředky z fondů EU</w:t>
            </w:r>
          </w:p>
        </w:tc>
        <w:tc>
          <w:tcPr>
            <w:tcW w:w="760"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03ED22B1"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8</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3B589460"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0</w:t>
            </w:r>
          </w:p>
        </w:tc>
        <w:tc>
          <w:tcPr>
            <w:tcW w:w="759" w:type="pct"/>
            <w:tcBorders>
              <w:top w:val="nil"/>
              <w:left w:val="single" w:sz="2" w:space="0" w:color="7F7F7F" w:themeColor="text1" w:themeTint="80"/>
              <w:bottom w:val="single" w:sz="2" w:space="0" w:color="7F7F7F" w:themeColor="text1" w:themeTint="80"/>
              <w:right w:val="single" w:sz="2" w:space="0" w:color="7F7F7F" w:themeColor="text1" w:themeTint="80"/>
            </w:tcBorders>
            <w:shd w:val="clear" w:color="auto" w:fill="auto"/>
            <w:vAlign w:val="center"/>
          </w:tcPr>
          <w:p w14:paraId="504109EE"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0</w:t>
            </w:r>
          </w:p>
        </w:tc>
        <w:tc>
          <w:tcPr>
            <w:tcW w:w="594" w:type="pct"/>
            <w:tcBorders>
              <w:top w:val="nil"/>
              <w:left w:val="single" w:sz="2" w:space="0" w:color="7F7F7F" w:themeColor="text1" w:themeTint="80"/>
              <w:bottom w:val="single" w:sz="2" w:space="0" w:color="7F7F7F" w:themeColor="text1" w:themeTint="80"/>
            </w:tcBorders>
            <w:shd w:val="clear" w:color="auto" w:fill="auto"/>
            <w:vAlign w:val="center"/>
          </w:tcPr>
          <w:p w14:paraId="6A26CE3E"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x</w:t>
            </w:r>
          </w:p>
        </w:tc>
      </w:tr>
      <w:tr w:rsidR="004678AB" w:rsidRPr="004678AB" w14:paraId="66B53037" w14:textId="77777777" w:rsidTr="0011129C">
        <w:tc>
          <w:tcPr>
            <w:tcW w:w="2128" w:type="pct"/>
            <w:tcBorders>
              <w:top w:val="single" w:sz="4" w:space="0" w:color="7F7F7F" w:themeColor="text1" w:themeTint="80"/>
              <w:bottom w:val="nil"/>
            </w:tcBorders>
            <w:shd w:val="clear" w:color="auto" w:fill="auto"/>
          </w:tcPr>
          <w:p w14:paraId="7080C01D" w14:textId="77777777" w:rsidR="004678AB" w:rsidRPr="004678AB" w:rsidRDefault="004678AB" w:rsidP="004678AB">
            <w:pPr>
              <w:spacing w:before="40"/>
              <w:rPr>
                <w:rFonts w:eastAsia="Times New Roman" w:cs="Times New Roman"/>
                <w:lang w:eastAsia="cs-CZ"/>
              </w:rPr>
            </w:pPr>
            <w:r w:rsidRPr="004678AB">
              <w:rPr>
                <w:rFonts w:eastAsia="Times New Roman" w:cs="Times New Roman"/>
                <w:lang w:eastAsia="cs-CZ"/>
              </w:rPr>
              <w:t>kapitálové výdaje v tom:</w:t>
            </w:r>
          </w:p>
        </w:tc>
        <w:tc>
          <w:tcPr>
            <w:tcW w:w="760" w:type="pct"/>
            <w:tcBorders>
              <w:top w:val="single" w:sz="2" w:space="0" w:color="7F7F7F" w:themeColor="text1" w:themeTint="80"/>
              <w:bottom w:val="nil"/>
            </w:tcBorders>
            <w:shd w:val="clear" w:color="auto" w:fill="auto"/>
            <w:vAlign w:val="center"/>
          </w:tcPr>
          <w:p w14:paraId="1656FF90" w14:textId="77777777" w:rsidR="004678AB" w:rsidRPr="004678AB" w:rsidRDefault="004678AB" w:rsidP="004678AB">
            <w:pPr>
              <w:spacing w:before="40"/>
              <w:jc w:val="right"/>
              <w:rPr>
                <w:rFonts w:eastAsia="Times New Roman" w:cs="Times New Roman"/>
                <w:lang w:eastAsia="cs-CZ"/>
              </w:rPr>
            </w:pPr>
            <w:r w:rsidRPr="004678AB">
              <w:rPr>
                <w:rFonts w:eastAsia="Times New Roman" w:cs="Times New Roman"/>
                <w:lang w:eastAsia="cs-CZ"/>
              </w:rPr>
              <w:t>74 373</w:t>
            </w:r>
          </w:p>
        </w:tc>
        <w:tc>
          <w:tcPr>
            <w:tcW w:w="759" w:type="pct"/>
            <w:tcBorders>
              <w:top w:val="single" w:sz="2" w:space="0" w:color="7F7F7F" w:themeColor="text1" w:themeTint="80"/>
              <w:bottom w:val="nil"/>
            </w:tcBorders>
            <w:shd w:val="clear" w:color="auto" w:fill="auto"/>
            <w:vAlign w:val="center"/>
          </w:tcPr>
          <w:p w14:paraId="229707DD" w14:textId="77777777" w:rsidR="004678AB" w:rsidRPr="004678AB" w:rsidRDefault="004678AB" w:rsidP="004678AB">
            <w:pPr>
              <w:spacing w:before="40"/>
              <w:jc w:val="right"/>
              <w:rPr>
                <w:rFonts w:eastAsia="Times New Roman" w:cs="Times New Roman"/>
                <w:lang w:eastAsia="cs-CZ"/>
              </w:rPr>
            </w:pPr>
            <w:r w:rsidRPr="004678AB">
              <w:rPr>
                <w:rFonts w:eastAsia="Times New Roman" w:cs="Times New Roman"/>
                <w:lang w:eastAsia="cs-CZ"/>
              </w:rPr>
              <w:t>77 722</w:t>
            </w:r>
          </w:p>
        </w:tc>
        <w:tc>
          <w:tcPr>
            <w:tcW w:w="759" w:type="pct"/>
            <w:tcBorders>
              <w:top w:val="single" w:sz="2" w:space="0" w:color="7F7F7F" w:themeColor="text1" w:themeTint="80"/>
              <w:bottom w:val="nil"/>
            </w:tcBorders>
            <w:shd w:val="clear" w:color="auto" w:fill="auto"/>
            <w:vAlign w:val="center"/>
          </w:tcPr>
          <w:p w14:paraId="171566E1" w14:textId="77777777" w:rsidR="004678AB" w:rsidRPr="004678AB" w:rsidRDefault="004678AB" w:rsidP="004678AB">
            <w:pPr>
              <w:spacing w:before="40"/>
              <w:jc w:val="right"/>
              <w:rPr>
                <w:rFonts w:eastAsia="Times New Roman" w:cs="Times New Roman"/>
                <w:lang w:eastAsia="cs-CZ"/>
              </w:rPr>
            </w:pPr>
            <w:r w:rsidRPr="004678AB">
              <w:rPr>
                <w:rFonts w:eastAsia="Times New Roman" w:cs="Times New Roman"/>
                <w:lang w:eastAsia="cs-CZ"/>
              </w:rPr>
              <w:t>97 534</w:t>
            </w:r>
          </w:p>
        </w:tc>
        <w:tc>
          <w:tcPr>
            <w:tcW w:w="594" w:type="pct"/>
            <w:tcBorders>
              <w:top w:val="single" w:sz="2" w:space="0" w:color="7F7F7F" w:themeColor="text1" w:themeTint="80"/>
              <w:bottom w:val="nil"/>
            </w:tcBorders>
            <w:shd w:val="clear" w:color="auto" w:fill="auto"/>
            <w:vAlign w:val="center"/>
          </w:tcPr>
          <w:p w14:paraId="2B18850E" w14:textId="77777777" w:rsidR="004678AB" w:rsidRPr="004678AB" w:rsidRDefault="004678AB" w:rsidP="004678AB">
            <w:pPr>
              <w:spacing w:before="40"/>
              <w:jc w:val="right"/>
              <w:rPr>
                <w:rFonts w:eastAsia="Times New Roman" w:cs="Times New Roman"/>
                <w:lang w:eastAsia="cs-CZ"/>
              </w:rPr>
            </w:pPr>
            <w:r w:rsidRPr="004678AB">
              <w:rPr>
                <w:rFonts w:eastAsia="Times New Roman" w:cs="Times New Roman"/>
                <w:lang w:eastAsia="cs-CZ"/>
              </w:rPr>
              <w:t>125,49</w:t>
            </w:r>
          </w:p>
        </w:tc>
      </w:tr>
      <w:tr w:rsidR="004678AB" w:rsidRPr="004678AB" w14:paraId="2E86D1C5" w14:textId="77777777" w:rsidTr="0011129C">
        <w:tc>
          <w:tcPr>
            <w:tcW w:w="2128" w:type="pct"/>
            <w:tcBorders>
              <w:top w:val="nil"/>
              <w:bottom w:val="nil"/>
            </w:tcBorders>
            <w:shd w:val="clear" w:color="auto" w:fill="auto"/>
          </w:tcPr>
          <w:p w14:paraId="5007AEC8" w14:textId="77777777" w:rsidR="004678AB" w:rsidRPr="004678AB" w:rsidRDefault="004678AB" w:rsidP="004678AB">
            <w:pPr>
              <w:rPr>
                <w:rFonts w:eastAsia="Times New Roman" w:cs="Times New Roman"/>
                <w:i/>
                <w:lang w:eastAsia="cs-CZ"/>
              </w:rPr>
            </w:pPr>
            <w:r w:rsidRPr="004678AB">
              <w:rPr>
                <w:rFonts w:eastAsia="Times New Roman" w:cs="Times New Roman"/>
                <w:i/>
                <w:lang w:eastAsia="cs-CZ"/>
              </w:rPr>
              <w:t xml:space="preserve">      prostředky SR</w:t>
            </w:r>
          </w:p>
        </w:tc>
        <w:tc>
          <w:tcPr>
            <w:tcW w:w="760" w:type="pct"/>
            <w:tcBorders>
              <w:top w:val="nil"/>
              <w:bottom w:val="nil"/>
            </w:tcBorders>
            <w:shd w:val="clear" w:color="auto" w:fill="auto"/>
            <w:vAlign w:val="center"/>
          </w:tcPr>
          <w:p w14:paraId="51C911B6"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74 235</w:t>
            </w:r>
          </w:p>
        </w:tc>
        <w:tc>
          <w:tcPr>
            <w:tcW w:w="759" w:type="pct"/>
            <w:tcBorders>
              <w:top w:val="nil"/>
              <w:bottom w:val="nil"/>
            </w:tcBorders>
            <w:shd w:val="clear" w:color="auto" w:fill="auto"/>
            <w:vAlign w:val="center"/>
          </w:tcPr>
          <w:p w14:paraId="29B951E7"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74 297</w:t>
            </w:r>
          </w:p>
        </w:tc>
        <w:tc>
          <w:tcPr>
            <w:tcW w:w="759" w:type="pct"/>
            <w:tcBorders>
              <w:top w:val="nil"/>
              <w:bottom w:val="nil"/>
            </w:tcBorders>
            <w:shd w:val="clear" w:color="auto" w:fill="auto"/>
            <w:vAlign w:val="center"/>
          </w:tcPr>
          <w:p w14:paraId="4587DC24"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97 534</w:t>
            </w:r>
          </w:p>
        </w:tc>
        <w:tc>
          <w:tcPr>
            <w:tcW w:w="594" w:type="pct"/>
            <w:tcBorders>
              <w:top w:val="nil"/>
              <w:bottom w:val="nil"/>
            </w:tcBorders>
            <w:shd w:val="clear" w:color="auto" w:fill="auto"/>
            <w:vAlign w:val="center"/>
          </w:tcPr>
          <w:p w14:paraId="08152706"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131,28</w:t>
            </w:r>
          </w:p>
        </w:tc>
      </w:tr>
      <w:tr w:rsidR="004678AB" w:rsidRPr="004678AB" w14:paraId="653C17AE" w14:textId="77777777" w:rsidTr="0011129C">
        <w:tc>
          <w:tcPr>
            <w:tcW w:w="2128" w:type="pct"/>
            <w:tcBorders>
              <w:top w:val="nil"/>
              <w:bottom w:val="single" w:sz="8" w:space="0" w:color="7F7F7F" w:themeColor="text1" w:themeTint="80"/>
            </w:tcBorders>
            <w:shd w:val="clear" w:color="auto" w:fill="auto"/>
          </w:tcPr>
          <w:p w14:paraId="052A3C13" w14:textId="77777777" w:rsidR="004678AB" w:rsidRPr="004678AB" w:rsidRDefault="004678AB" w:rsidP="004678AB">
            <w:pPr>
              <w:rPr>
                <w:rFonts w:eastAsia="Times New Roman" w:cs="Times New Roman"/>
                <w:i/>
                <w:lang w:eastAsia="cs-CZ"/>
              </w:rPr>
            </w:pPr>
            <w:r w:rsidRPr="004678AB">
              <w:rPr>
                <w:rFonts w:eastAsia="Times New Roman" w:cs="Times New Roman"/>
                <w:i/>
                <w:lang w:eastAsia="cs-CZ"/>
              </w:rPr>
              <w:t xml:space="preserve">      prostředky z fondů EU</w:t>
            </w:r>
          </w:p>
        </w:tc>
        <w:tc>
          <w:tcPr>
            <w:tcW w:w="760" w:type="pct"/>
            <w:tcBorders>
              <w:top w:val="nil"/>
              <w:bottom w:val="single" w:sz="5" w:space="0" w:color="7F7F7F" w:themeColor="text1" w:themeTint="80"/>
            </w:tcBorders>
            <w:shd w:val="clear" w:color="auto" w:fill="auto"/>
            <w:vAlign w:val="center"/>
          </w:tcPr>
          <w:p w14:paraId="404F5FA5"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138</w:t>
            </w:r>
          </w:p>
        </w:tc>
        <w:tc>
          <w:tcPr>
            <w:tcW w:w="759" w:type="pct"/>
            <w:tcBorders>
              <w:top w:val="nil"/>
              <w:bottom w:val="single" w:sz="5" w:space="0" w:color="7F7F7F" w:themeColor="text1" w:themeTint="80"/>
            </w:tcBorders>
            <w:shd w:val="clear" w:color="auto" w:fill="auto"/>
            <w:vAlign w:val="center"/>
          </w:tcPr>
          <w:p w14:paraId="4015265E"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3 424</w:t>
            </w:r>
          </w:p>
        </w:tc>
        <w:tc>
          <w:tcPr>
            <w:tcW w:w="759" w:type="pct"/>
            <w:tcBorders>
              <w:top w:val="nil"/>
              <w:bottom w:val="single" w:sz="5" w:space="0" w:color="7F7F7F" w:themeColor="text1" w:themeTint="80"/>
            </w:tcBorders>
            <w:shd w:val="clear" w:color="auto" w:fill="auto"/>
            <w:vAlign w:val="center"/>
          </w:tcPr>
          <w:p w14:paraId="066DAD6F" w14:textId="77777777" w:rsidR="004678AB" w:rsidRPr="004678AB" w:rsidRDefault="004678AB" w:rsidP="004678AB">
            <w:pPr>
              <w:jc w:val="right"/>
              <w:rPr>
                <w:rFonts w:eastAsia="Times New Roman" w:cs="Times New Roman"/>
                <w:i/>
                <w:lang w:eastAsia="cs-CZ"/>
              </w:rPr>
            </w:pPr>
            <w:r w:rsidRPr="004678AB">
              <w:rPr>
                <w:rFonts w:eastAsia="Times New Roman" w:cs="Times New Roman"/>
                <w:i/>
                <w:lang w:eastAsia="cs-CZ"/>
              </w:rPr>
              <w:t>0</w:t>
            </w:r>
          </w:p>
        </w:tc>
        <w:tc>
          <w:tcPr>
            <w:tcW w:w="594" w:type="pct"/>
            <w:tcBorders>
              <w:top w:val="nil"/>
              <w:bottom w:val="single" w:sz="5" w:space="0" w:color="7F7F7F" w:themeColor="text1" w:themeTint="80"/>
            </w:tcBorders>
            <w:shd w:val="clear" w:color="auto" w:fill="auto"/>
            <w:vAlign w:val="center"/>
          </w:tcPr>
          <w:p w14:paraId="38A3212A" w14:textId="7C035311" w:rsidR="004678AB" w:rsidRPr="004678AB" w:rsidRDefault="00E71F6F" w:rsidP="004678AB">
            <w:pPr>
              <w:jc w:val="right"/>
              <w:rPr>
                <w:rFonts w:eastAsia="Times New Roman" w:cs="Times New Roman"/>
                <w:i/>
                <w:lang w:eastAsia="cs-CZ"/>
              </w:rPr>
            </w:pPr>
            <w:r>
              <w:rPr>
                <w:rFonts w:eastAsia="Times New Roman" w:cs="Times New Roman"/>
                <w:i/>
                <w:lang w:eastAsia="cs-CZ"/>
              </w:rPr>
              <w:t>0</w:t>
            </w:r>
          </w:p>
        </w:tc>
      </w:tr>
    </w:tbl>
    <w:p w14:paraId="4D655CBB" w14:textId="4608F97B" w:rsidR="004678AB" w:rsidRPr="004678AB" w:rsidRDefault="004678AB" w:rsidP="004678AB">
      <w:pPr>
        <w:keepLines/>
        <w:spacing w:before="240" w:after="240" w:line="276" w:lineRule="auto"/>
        <w:rPr>
          <w:rFonts w:eastAsia="Times New Roman" w:cs="Times New Roman"/>
          <w:iCs/>
          <w:szCs w:val="24"/>
          <w:lang w:eastAsia="cs-CZ"/>
        </w:rPr>
      </w:pPr>
      <w:r w:rsidRPr="004678AB">
        <w:rPr>
          <w:rFonts w:eastAsia="Times New Roman" w:cs="Times New Roman"/>
          <w:iCs/>
          <w:szCs w:val="24"/>
          <w:lang w:eastAsia="cs-CZ"/>
        </w:rPr>
        <w:t>Organizační složky státu v působnosti Ministerstva dopravy j</w:t>
      </w:r>
      <w:r w:rsidR="00841077">
        <w:rPr>
          <w:rFonts w:eastAsia="Times New Roman" w:cs="Times New Roman"/>
          <w:iCs/>
          <w:szCs w:val="24"/>
          <w:lang w:eastAsia="cs-CZ"/>
        </w:rPr>
        <w:t xml:space="preserve">sou orgány státní správy, </w:t>
      </w:r>
      <w:r w:rsidR="00841077">
        <w:rPr>
          <w:rFonts w:eastAsia="Times New Roman" w:cs="Times New Roman"/>
          <w:iCs/>
          <w:szCs w:val="24"/>
          <w:lang w:eastAsia="cs-CZ"/>
        </w:rPr>
        <w:br/>
        <w:t>tj. ú</w:t>
      </w:r>
      <w:r w:rsidRPr="004678AB">
        <w:rPr>
          <w:rFonts w:eastAsia="Times New Roman" w:cs="Times New Roman"/>
          <w:iCs/>
          <w:szCs w:val="24"/>
          <w:lang w:eastAsia="cs-CZ"/>
        </w:rPr>
        <w:t>střední orgán MD, Úřad pro civilní letectví, Státní plavební správa, Drážní úřad, Drážní inspekce, Ústav pro odborné zjišťování příčin leteckých nehod a ostatní organizační složky státu, tj. Ředitelství vodních cest ČR.</w:t>
      </w:r>
    </w:p>
    <w:p w14:paraId="44A348B3" w14:textId="77777777" w:rsidR="004678AB" w:rsidRPr="004678AB" w:rsidRDefault="004678AB" w:rsidP="004678AB">
      <w:pPr>
        <w:keepLines/>
        <w:spacing w:before="240" w:after="240" w:line="276" w:lineRule="auto"/>
        <w:rPr>
          <w:rFonts w:eastAsia="Times New Roman" w:cs="Times New Roman"/>
          <w:iCs/>
          <w:szCs w:val="24"/>
          <w:lang w:eastAsia="cs-CZ"/>
        </w:rPr>
      </w:pPr>
      <w:r w:rsidRPr="004678AB">
        <w:rPr>
          <w:rFonts w:eastAsia="Times New Roman" w:cs="Times New Roman"/>
          <w:iCs/>
          <w:szCs w:val="24"/>
          <w:lang w:eastAsia="cs-CZ"/>
        </w:rPr>
        <w:t xml:space="preserve">V dalším textu je uváděn návrh rozpočtu výdajů vedených v EDS/SMVS v členění dle konečných příjemců, tj. jednotlivých organizačních složek státu a v členění na jednotlivé programy. </w:t>
      </w:r>
    </w:p>
    <w:p w14:paraId="4728E1E7" w14:textId="77777777" w:rsidR="004678AB" w:rsidRPr="004678AB" w:rsidRDefault="004678AB" w:rsidP="004678AB">
      <w:pPr>
        <w:keepLines/>
        <w:spacing w:before="240" w:after="200" w:line="276" w:lineRule="auto"/>
        <w:rPr>
          <w:rFonts w:eastAsia="Times New Roman" w:cs="Times New Roman"/>
          <w:iCs/>
          <w:color w:val="FF0000"/>
          <w:szCs w:val="24"/>
          <w:lang w:eastAsia="cs-CZ"/>
        </w:rPr>
      </w:pPr>
      <w:r w:rsidRPr="004678AB">
        <w:rPr>
          <w:rFonts w:eastAsia="Times New Roman" w:cs="Times New Roman"/>
          <w:iCs/>
          <w:szCs w:val="24"/>
          <w:lang w:eastAsia="cs-CZ"/>
        </w:rPr>
        <w:t xml:space="preserve">Organizační složky státu jsou v roce 2023 účastníky programu 127 03 „Rozvoj a obnova materiálně technické základny systému řízení MD - OSS“, ve kterém budou dokončovány dlouhodobé projekty s rokem zahájení 2022 nebo dříve. Od roku 2023 budou zahajovány nové akce v  navazujícím programu 127 07 „Rozvoj a obnova materiálně technické základny systému řízení MD – OSS“. </w:t>
      </w:r>
    </w:p>
    <w:p w14:paraId="066F43D2" w14:textId="3F46C939" w:rsidR="004678AB" w:rsidRPr="004678AB" w:rsidRDefault="004678AB" w:rsidP="004678AB">
      <w:pPr>
        <w:spacing w:before="200" w:line="240" w:lineRule="auto"/>
        <w:rPr>
          <w:rFonts w:eastAsia="Times New Roman" w:cs="Times New Roman"/>
          <w:b/>
          <w:iCs/>
          <w:color w:val="FF0000"/>
          <w:szCs w:val="24"/>
          <w:u w:val="single"/>
          <w:lang w:eastAsia="cs-CZ"/>
        </w:rPr>
      </w:pPr>
      <w:r w:rsidRPr="004678AB">
        <w:t>Běžné výdaje jso</w:t>
      </w:r>
      <w:r w:rsidR="00841077">
        <w:t>u v roce 2023 navrženy pouze u ú</w:t>
      </w:r>
      <w:r w:rsidRPr="004678AB">
        <w:t xml:space="preserve">středního orgánu Ministerstva dopravy. </w:t>
      </w:r>
    </w:p>
    <w:p w14:paraId="75898E27" w14:textId="77777777" w:rsidR="004678AB" w:rsidRPr="004678AB" w:rsidRDefault="004678AB" w:rsidP="004678AB">
      <w:pPr>
        <w:spacing w:before="200" w:line="240" w:lineRule="auto"/>
        <w:rPr>
          <w:rFonts w:eastAsia="Times New Roman" w:cs="Times New Roman"/>
          <w:b/>
          <w:iCs/>
          <w:szCs w:val="24"/>
          <w:u w:val="single"/>
          <w:lang w:eastAsia="cs-CZ"/>
        </w:rPr>
      </w:pPr>
      <w:r w:rsidRPr="004678AB">
        <w:rPr>
          <w:rFonts w:eastAsia="Times New Roman" w:cs="Times New Roman"/>
          <w:b/>
          <w:iCs/>
          <w:szCs w:val="24"/>
          <w:u w:val="single"/>
          <w:lang w:eastAsia="cs-CZ"/>
        </w:rPr>
        <w:t xml:space="preserve">Ústřední orgán Ministerstvo dopravy </w:t>
      </w:r>
      <w:r w:rsidRPr="004678AB">
        <w:rPr>
          <w:rFonts w:eastAsia="Times New Roman" w:cs="Times New Roman"/>
          <w:b/>
          <w:bCs/>
          <w:szCs w:val="24"/>
          <w:lang w:eastAsia="cs-CZ"/>
        </w:rPr>
        <w:t xml:space="preserve">  </w:t>
      </w:r>
    </w:p>
    <w:p w14:paraId="391F5738" w14:textId="0378012D" w:rsidR="004678AB" w:rsidRPr="004678AB" w:rsidRDefault="004678AB" w:rsidP="004678AB">
      <w:pPr>
        <w:keepNext/>
        <w:spacing w:before="120" w:after="120" w:line="240" w:lineRule="auto"/>
        <w:rPr>
          <w:rFonts w:eastAsia="Times New Roman" w:cs="Times New Roman"/>
          <w:b/>
          <w:bCs/>
          <w:noProof/>
          <w:sz w:val="20"/>
          <w:szCs w:val="20"/>
          <w:lang w:eastAsia="cs-CZ"/>
        </w:rPr>
      </w:pPr>
      <w:r w:rsidRPr="004678AB">
        <w:rPr>
          <w:rFonts w:eastAsia="Times New Roman" w:cs="Times New Roman"/>
          <w:b/>
          <w:bCs/>
          <w:sz w:val="20"/>
          <w:szCs w:val="20"/>
          <w:lang w:eastAsia="cs-CZ"/>
        </w:rPr>
        <w:t xml:space="preserve">Tabulka č. </w:t>
      </w:r>
      <w:r w:rsidR="00B3696F">
        <w:rPr>
          <w:rFonts w:eastAsia="Times New Roman" w:cs="Times New Roman"/>
          <w:b/>
          <w:bCs/>
          <w:noProof/>
          <w:sz w:val="20"/>
          <w:szCs w:val="20"/>
          <w:lang w:eastAsia="cs-CZ"/>
        </w:rPr>
        <w:t xml:space="preserve">30 </w:t>
      </w:r>
      <w:r w:rsidR="00841077">
        <w:rPr>
          <w:rFonts w:eastAsia="Times New Roman" w:cs="Times New Roman"/>
          <w:b/>
          <w:bCs/>
          <w:noProof/>
          <w:sz w:val="20"/>
          <w:szCs w:val="20"/>
          <w:lang w:eastAsia="cs-CZ"/>
        </w:rPr>
        <w:t>Výdaje ú</w:t>
      </w:r>
      <w:r w:rsidRPr="004678AB">
        <w:rPr>
          <w:rFonts w:eastAsia="Times New Roman" w:cs="Times New Roman"/>
          <w:b/>
          <w:bCs/>
          <w:noProof/>
          <w:sz w:val="20"/>
          <w:szCs w:val="20"/>
          <w:lang w:eastAsia="cs-CZ"/>
        </w:rPr>
        <w:t>středního orgánu Ministerstva dopravy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545"/>
        <w:gridCol w:w="1133"/>
        <w:gridCol w:w="1135"/>
        <w:gridCol w:w="1133"/>
        <w:gridCol w:w="1137"/>
        <w:gridCol w:w="1133"/>
        <w:gridCol w:w="835"/>
      </w:tblGrid>
      <w:tr w:rsidR="004678AB" w:rsidRPr="004678AB" w14:paraId="255A4BE7" w14:textId="77777777" w:rsidTr="0011129C">
        <w:tc>
          <w:tcPr>
            <w:tcW w:w="140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261CC4D" w14:textId="77777777" w:rsidR="004678AB" w:rsidRPr="004678AB" w:rsidRDefault="004678AB" w:rsidP="004678AB">
            <w:pPr>
              <w:jc w:val="center"/>
              <w:rPr>
                <w:rFonts w:eastAsia="Times New Roman" w:cs="Times New Roman"/>
                <w:b/>
                <w:bCs/>
                <w:color w:val="FF0000"/>
                <w:lang w:eastAsia="cs-CZ"/>
              </w:rPr>
            </w:pPr>
            <w:r w:rsidRPr="004678AB">
              <w:rPr>
                <w:rFonts w:eastAsia="Times New Roman" w:cs="Times New Roman"/>
                <w:b/>
                <w:bCs/>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CE747FD"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Skutečnost 2021</w:t>
            </w:r>
          </w:p>
        </w:tc>
        <w:tc>
          <w:tcPr>
            <w:tcW w:w="1254"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FC1A095"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Schválený rozpočet 2022</w:t>
            </w:r>
          </w:p>
        </w:tc>
        <w:tc>
          <w:tcPr>
            <w:tcW w:w="108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23A65A5"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Návrh rozpočtu 2023</w:t>
            </w:r>
          </w:p>
        </w:tc>
      </w:tr>
      <w:tr w:rsidR="004678AB" w:rsidRPr="004678AB" w14:paraId="487AE45E" w14:textId="77777777" w:rsidTr="0011129C">
        <w:tc>
          <w:tcPr>
            <w:tcW w:w="140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41E920C" w14:textId="77777777" w:rsidR="004678AB" w:rsidRPr="004678AB" w:rsidRDefault="004678AB" w:rsidP="004678AB">
            <w:pPr>
              <w:rPr>
                <w:rFonts w:eastAsia="Times New Roman" w:cs="Times New Roman"/>
                <w:color w:val="FF0000"/>
                <w:lang w:eastAsia="cs-CZ"/>
              </w:rPr>
            </w:pP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3D58184"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0D696C4"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362DA1C"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SR</w:t>
            </w:r>
          </w:p>
        </w:tc>
        <w:tc>
          <w:tcPr>
            <w:tcW w:w="628"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2563625"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067F857"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SR</w:t>
            </w:r>
          </w:p>
        </w:tc>
        <w:tc>
          <w:tcPr>
            <w:tcW w:w="46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FAF05B7"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EU</w:t>
            </w:r>
          </w:p>
        </w:tc>
      </w:tr>
      <w:tr w:rsidR="004678AB" w:rsidRPr="004678AB" w14:paraId="0E6E0C41" w14:textId="77777777" w:rsidTr="0011129C">
        <w:tc>
          <w:tcPr>
            <w:tcW w:w="1406" w:type="pct"/>
            <w:tcBorders>
              <w:top w:val="single" w:sz="4" w:space="0" w:color="7F7F7F" w:themeColor="text1" w:themeTint="80"/>
              <w:bottom w:val="nil"/>
            </w:tcBorders>
            <w:shd w:val="clear" w:color="auto" w:fill="auto"/>
          </w:tcPr>
          <w:p w14:paraId="2D97CE67"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127 03</w:t>
            </w:r>
          </w:p>
        </w:tc>
        <w:tc>
          <w:tcPr>
            <w:tcW w:w="626" w:type="pct"/>
            <w:tcBorders>
              <w:top w:val="single" w:sz="4" w:space="0" w:color="7F7F7F" w:themeColor="text1" w:themeTint="80"/>
              <w:bottom w:val="nil"/>
            </w:tcBorders>
            <w:shd w:val="clear" w:color="auto" w:fill="auto"/>
            <w:vAlign w:val="center"/>
          </w:tcPr>
          <w:p w14:paraId="33D6209B"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 xml:space="preserve">179 364 </w:t>
            </w:r>
          </w:p>
        </w:tc>
        <w:tc>
          <w:tcPr>
            <w:tcW w:w="627" w:type="pct"/>
            <w:tcBorders>
              <w:top w:val="single" w:sz="4" w:space="0" w:color="7F7F7F" w:themeColor="text1" w:themeTint="80"/>
              <w:bottom w:val="nil"/>
            </w:tcBorders>
            <w:shd w:val="clear" w:color="auto" w:fill="auto"/>
            <w:vAlign w:val="center"/>
          </w:tcPr>
          <w:p w14:paraId="38ADB652"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 xml:space="preserve">           8</w:t>
            </w:r>
          </w:p>
        </w:tc>
        <w:tc>
          <w:tcPr>
            <w:tcW w:w="626" w:type="pct"/>
            <w:tcBorders>
              <w:top w:val="single" w:sz="4" w:space="0" w:color="7F7F7F" w:themeColor="text1" w:themeTint="80"/>
              <w:bottom w:val="nil"/>
            </w:tcBorders>
            <w:shd w:val="clear" w:color="auto" w:fill="auto"/>
            <w:vAlign w:val="center"/>
          </w:tcPr>
          <w:p w14:paraId="7B3843B9"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116 690</w:t>
            </w:r>
          </w:p>
        </w:tc>
        <w:tc>
          <w:tcPr>
            <w:tcW w:w="628" w:type="pct"/>
            <w:tcBorders>
              <w:top w:val="single" w:sz="4" w:space="0" w:color="7F7F7F" w:themeColor="text1" w:themeTint="80"/>
              <w:bottom w:val="nil"/>
            </w:tcBorders>
            <w:shd w:val="clear" w:color="auto" w:fill="auto"/>
            <w:vAlign w:val="center"/>
          </w:tcPr>
          <w:p w14:paraId="388B0B8A"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4946865F"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103 621</w:t>
            </w:r>
          </w:p>
        </w:tc>
        <w:tc>
          <w:tcPr>
            <w:tcW w:w="462" w:type="pct"/>
            <w:tcBorders>
              <w:top w:val="single" w:sz="4" w:space="0" w:color="7F7F7F" w:themeColor="text1" w:themeTint="80"/>
              <w:bottom w:val="nil"/>
            </w:tcBorders>
            <w:shd w:val="clear" w:color="auto" w:fill="auto"/>
            <w:vAlign w:val="center"/>
          </w:tcPr>
          <w:p w14:paraId="319DD12A"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r>
      <w:tr w:rsidR="004678AB" w:rsidRPr="004678AB" w14:paraId="45EC39EB" w14:textId="77777777" w:rsidTr="0011129C">
        <w:tc>
          <w:tcPr>
            <w:tcW w:w="1406" w:type="pct"/>
            <w:tcBorders>
              <w:top w:val="nil"/>
              <w:bottom w:val="single" w:sz="4" w:space="0" w:color="7F7F7F" w:themeColor="text1" w:themeTint="80"/>
            </w:tcBorders>
            <w:shd w:val="clear" w:color="auto" w:fill="auto"/>
          </w:tcPr>
          <w:p w14:paraId="2ED8E4D8" w14:textId="77777777" w:rsidR="004678AB" w:rsidRPr="004678AB" w:rsidRDefault="004678AB" w:rsidP="004678AB">
            <w:pPr>
              <w:jc w:val="center"/>
              <w:rPr>
                <w:rFonts w:eastAsia="Times New Roman" w:cs="Times New Roman"/>
                <w:i/>
                <w:iCs/>
                <w:lang w:eastAsia="cs-CZ"/>
              </w:rPr>
            </w:pPr>
            <w:r w:rsidRPr="004678AB">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14:paraId="51CFF408"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119 105</w:t>
            </w:r>
          </w:p>
        </w:tc>
        <w:tc>
          <w:tcPr>
            <w:tcW w:w="627" w:type="pct"/>
            <w:tcBorders>
              <w:top w:val="nil"/>
              <w:bottom w:val="single" w:sz="4" w:space="0" w:color="7F7F7F" w:themeColor="text1" w:themeTint="80"/>
            </w:tcBorders>
            <w:shd w:val="clear" w:color="auto" w:fill="auto"/>
            <w:vAlign w:val="center"/>
          </w:tcPr>
          <w:p w14:paraId="31D1AE46"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8</w:t>
            </w:r>
          </w:p>
        </w:tc>
        <w:tc>
          <w:tcPr>
            <w:tcW w:w="626" w:type="pct"/>
            <w:tcBorders>
              <w:top w:val="nil"/>
              <w:bottom w:val="single" w:sz="4" w:space="0" w:color="7F7F7F" w:themeColor="text1" w:themeTint="80"/>
            </w:tcBorders>
            <w:shd w:val="clear" w:color="auto" w:fill="auto"/>
            <w:vAlign w:val="center"/>
          </w:tcPr>
          <w:p w14:paraId="54178553"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73 210</w:t>
            </w:r>
          </w:p>
        </w:tc>
        <w:tc>
          <w:tcPr>
            <w:tcW w:w="628" w:type="pct"/>
            <w:tcBorders>
              <w:top w:val="nil"/>
              <w:bottom w:val="single" w:sz="4" w:space="0" w:color="7F7F7F" w:themeColor="text1" w:themeTint="80"/>
            </w:tcBorders>
            <w:shd w:val="clear" w:color="auto" w:fill="auto"/>
            <w:vAlign w:val="center"/>
          </w:tcPr>
          <w:p w14:paraId="2562AF73"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55F190A3"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60 232</w:t>
            </w:r>
          </w:p>
        </w:tc>
        <w:tc>
          <w:tcPr>
            <w:tcW w:w="462" w:type="pct"/>
            <w:tcBorders>
              <w:top w:val="nil"/>
              <w:bottom w:val="single" w:sz="4" w:space="0" w:color="7F7F7F" w:themeColor="text1" w:themeTint="80"/>
            </w:tcBorders>
            <w:shd w:val="clear" w:color="auto" w:fill="auto"/>
            <w:vAlign w:val="center"/>
          </w:tcPr>
          <w:p w14:paraId="2F46B075"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0</w:t>
            </w:r>
          </w:p>
        </w:tc>
      </w:tr>
      <w:tr w:rsidR="004678AB" w:rsidRPr="004678AB" w14:paraId="1CB1DA6B" w14:textId="77777777" w:rsidTr="0011129C">
        <w:tc>
          <w:tcPr>
            <w:tcW w:w="1406" w:type="pct"/>
            <w:tcBorders>
              <w:top w:val="single" w:sz="4" w:space="0" w:color="7F7F7F" w:themeColor="text1" w:themeTint="80"/>
              <w:bottom w:val="nil"/>
            </w:tcBorders>
            <w:shd w:val="clear" w:color="auto" w:fill="auto"/>
          </w:tcPr>
          <w:p w14:paraId="1276B5CE"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127 07</w:t>
            </w:r>
          </w:p>
        </w:tc>
        <w:tc>
          <w:tcPr>
            <w:tcW w:w="626" w:type="pct"/>
            <w:tcBorders>
              <w:top w:val="single" w:sz="4" w:space="0" w:color="7F7F7F" w:themeColor="text1" w:themeTint="80"/>
              <w:bottom w:val="nil"/>
            </w:tcBorders>
            <w:shd w:val="clear" w:color="auto" w:fill="auto"/>
            <w:vAlign w:val="center"/>
          </w:tcPr>
          <w:p w14:paraId="6F29539C"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7" w:type="pct"/>
            <w:tcBorders>
              <w:top w:val="single" w:sz="4" w:space="0" w:color="7F7F7F" w:themeColor="text1" w:themeTint="80"/>
              <w:bottom w:val="nil"/>
            </w:tcBorders>
            <w:shd w:val="clear" w:color="auto" w:fill="auto"/>
            <w:vAlign w:val="center"/>
          </w:tcPr>
          <w:p w14:paraId="1F797538"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1192AE67"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24 558</w:t>
            </w:r>
          </w:p>
        </w:tc>
        <w:tc>
          <w:tcPr>
            <w:tcW w:w="628" w:type="pct"/>
            <w:tcBorders>
              <w:top w:val="single" w:sz="4" w:space="0" w:color="7F7F7F" w:themeColor="text1" w:themeTint="80"/>
              <w:bottom w:val="nil"/>
            </w:tcBorders>
            <w:shd w:val="clear" w:color="auto" w:fill="auto"/>
            <w:vAlign w:val="center"/>
          </w:tcPr>
          <w:p w14:paraId="43395CB7"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0AA6B445"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72 827</w:t>
            </w:r>
          </w:p>
        </w:tc>
        <w:tc>
          <w:tcPr>
            <w:tcW w:w="462" w:type="pct"/>
            <w:tcBorders>
              <w:top w:val="single" w:sz="4" w:space="0" w:color="7F7F7F" w:themeColor="text1" w:themeTint="80"/>
              <w:bottom w:val="nil"/>
            </w:tcBorders>
            <w:shd w:val="clear" w:color="auto" w:fill="auto"/>
            <w:vAlign w:val="center"/>
          </w:tcPr>
          <w:p w14:paraId="385E8219"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r>
      <w:tr w:rsidR="004678AB" w:rsidRPr="004678AB" w14:paraId="38939189" w14:textId="77777777" w:rsidTr="0011129C">
        <w:tc>
          <w:tcPr>
            <w:tcW w:w="1406" w:type="pct"/>
            <w:tcBorders>
              <w:top w:val="nil"/>
              <w:bottom w:val="single" w:sz="4" w:space="0" w:color="7F7F7F" w:themeColor="text1" w:themeTint="80"/>
            </w:tcBorders>
            <w:shd w:val="clear" w:color="auto" w:fill="auto"/>
          </w:tcPr>
          <w:p w14:paraId="6E14EC79" w14:textId="77777777" w:rsidR="004678AB" w:rsidRPr="004678AB" w:rsidRDefault="004678AB" w:rsidP="004678AB">
            <w:pPr>
              <w:jc w:val="center"/>
              <w:rPr>
                <w:rFonts w:eastAsia="Times New Roman" w:cs="Times New Roman"/>
                <w:i/>
                <w:iCs/>
                <w:lang w:eastAsia="cs-CZ"/>
              </w:rPr>
            </w:pPr>
            <w:r w:rsidRPr="004678AB">
              <w:rPr>
                <w:rFonts w:eastAsia="Times New Roman" w:cs="Times New Roman"/>
                <w:i/>
                <w:iCs/>
                <w:lang w:eastAsia="cs-CZ"/>
              </w:rPr>
              <w:t>z toho: BV</w:t>
            </w:r>
          </w:p>
        </w:tc>
        <w:tc>
          <w:tcPr>
            <w:tcW w:w="626" w:type="pct"/>
            <w:tcBorders>
              <w:top w:val="nil"/>
              <w:bottom w:val="single" w:sz="4" w:space="0" w:color="7F7F7F" w:themeColor="text1" w:themeTint="80"/>
            </w:tcBorders>
            <w:shd w:val="clear" w:color="auto" w:fill="auto"/>
            <w:vAlign w:val="center"/>
          </w:tcPr>
          <w:p w14:paraId="33C0C13D"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0</w:t>
            </w:r>
          </w:p>
        </w:tc>
        <w:tc>
          <w:tcPr>
            <w:tcW w:w="627" w:type="pct"/>
            <w:tcBorders>
              <w:top w:val="nil"/>
              <w:bottom w:val="single" w:sz="4" w:space="0" w:color="7F7F7F" w:themeColor="text1" w:themeTint="80"/>
            </w:tcBorders>
            <w:shd w:val="clear" w:color="auto" w:fill="auto"/>
            <w:vAlign w:val="center"/>
          </w:tcPr>
          <w:p w14:paraId="04C20E91"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23B57624"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14 173</w:t>
            </w:r>
          </w:p>
        </w:tc>
        <w:tc>
          <w:tcPr>
            <w:tcW w:w="628" w:type="pct"/>
            <w:tcBorders>
              <w:top w:val="nil"/>
              <w:bottom w:val="single" w:sz="4" w:space="0" w:color="7F7F7F" w:themeColor="text1" w:themeTint="80"/>
            </w:tcBorders>
            <w:shd w:val="clear" w:color="auto" w:fill="auto"/>
            <w:vAlign w:val="center"/>
          </w:tcPr>
          <w:p w14:paraId="03821607"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0</w:t>
            </w:r>
          </w:p>
        </w:tc>
        <w:tc>
          <w:tcPr>
            <w:tcW w:w="626" w:type="pct"/>
            <w:tcBorders>
              <w:top w:val="nil"/>
              <w:bottom w:val="single" w:sz="4" w:space="0" w:color="7F7F7F" w:themeColor="text1" w:themeTint="80"/>
            </w:tcBorders>
            <w:shd w:val="clear" w:color="auto" w:fill="auto"/>
            <w:vAlign w:val="center"/>
          </w:tcPr>
          <w:p w14:paraId="3093C0F1"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39 632</w:t>
            </w:r>
          </w:p>
        </w:tc>
        <w:tc>
          <w:tcPr>
            <w:tcW w:w="462" w:type="pct"/>
            <w:tcBorders>
              <w:top w:val="nil"/>
              <w:bottom w:val="single" w:sz="4" w:space="0" w:color="7F7F7F" w:themeColor="text1" w:themeTint="80"/>
            </w:tcBorders>
            <w:shd w:val="clear" w:color="auto" w:fill="auto"/>
            <w:vAlign w:val="center"/>
          </w:tcPr>
          <w:p w14:paraId="2F5DB272" w14:textId="77777777" w:rsidR="004678AB" w:rsidRPr="004678AB" w:rsidRDefault="004678AB" w:rsidP="004678AB">
            <w:pPr>
              <w:jc w:val="right"/>
              <w:rPr>
                <w:rFonts w:eastAsia="Times New Roman" w:cs="Times New Roman"/>
                <w:i/>
                <w:iCs/>
                <w:lang w:eastAsia="cs-CZ"/>
              </w:rPr>
            </w:pPr>
            <w:r w:rsidRPr="004678AB">
              <w:rPr>
                <w:rFonts w:eastAsia="Times New Roman" w:cs="Times New Roman"/>
                <w:i/>
                <w:iCs/>
                <w:lang w:eastAsia="cs-CZ"/>
              </w:rPr>
              <w:t>0</w:t>
            </w:r>
          </w:p>
        </w:tc>
      </w:tr>
      <w:tr w:rsidR="004678AB" w:rsidRPr="004678AB" w14:paraId="6C0660A5" w14:textId="77777777" w:rsidTr="0011129C">
        <w:tc>
          <w:tcPr>
            <w:tcW w:w="1406" w:type="pct"/>
            <w:tcBorders>
              <w:top w:val="single" w:sz="8" w:space="0" w:color="7F7F7F" w:themeColor="text1" w:themeTint="80"/>
              <w:bottom w:val="single" w:sz="8" w:space="0" w:color="7F7F7F" w:themeColor="text1" w:themeTint="80"/>
            </w:tcBorders>
            <w:shd w:val="clear" w:color="auto" w:fill="auto"/>
          </w:tcPr>
          <w:p w14:paraId="1043119C" w14:textId="77777777" w:rsidR="004678AB" w:rsidRPr="004678AB" w:rsidRDefault="004678AB" w:rsidP="004678AB">
            <w:pPr>
              <w:jc w:val="center"/>
              <w:rPr>
                <w:rFonts w:eastAsia="Times New Roman" w:cs="Times New Roman"/>
                <w:i/>
                <w:iCs/>
                <w:color w:val="FF0000"/>
                <w:lang w:eastAsia="cs-CZ"/>
              </w:rPr>
            </w:pPr>
            <w:r w:rsidRPr="004678AB">
              <w:rPr>
                <w:rFonts w:eastAsia="Times New Roman" w:cs="Times New Roman"/>
                <w:b/>
                <w:bCs/>
                <w:lang w:eastAsia="cs-CZ"/>
              </w:rPr>
              <w:t>CELKEM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7807432B"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179 364</w:t>
            </w:r>
          </w:p>
        </w:tc>
        <w:tc>
          <w:tcPr>
            <w:tcW w:w="627" w:type="pct"/>
            <w:tcBorders>
              <w:top w:val="single" w:sz="8" w:space="0" w:color="7F7F7F" w:themeColor="text1" w:themeTint="80"/>
              <w:bottom w:val="single" w:sz="8" w:space="0" w:color="7F7F7F" w:themeColor="text1" w:themeTint="80"/>
            </w:tcBorders>
            <w:shd w:val="clear" w:color="auto" w:fill="auto"/>
            <w:vAlign w:val="center"/>
          </w:tcPr>
          <w:p w14:paraId="49A8BCFC"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8</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6966ECD5"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141 248</w:t>
            </w:r>
          </w:p>
        </w:tc>
        <w:tc>
          <w:tcPr>
            <w:tcW w:w="628" w:type="pct"/>
            <w:tcBorders>
              <w:top w:val="single" w:sz="8" w:space="0" w:color="7F7F7F" w:themeColor="text1" w:themeTint="80"/>
              <w:bottom w:val="single" w:sz="8" w:space="0" w:color="7F7F7F" w:themeColor="text1" w:themeTint="80"/>
            </w:tcBorders>
            <w:shd w:val="clear" w:color="auto" w:fill="auto"/>
            <w:vAlign w:val="center"/>
          </w:tcPr>
          <w:p w14:paraId="2C9886B0"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0</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7273E992"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176 448</w:t>
            </w:r>
          </w:p>
        </w:tc>
        <w:tc>
          <w:tcPr>
            <w:tcW w:w="462" w:type="pct"/>
            <w:tcBorders>
              <w:top w:val="single" w:sz="8" w:space="0" w:color="7F7F7F" w:themeColor="text1" w:themeTint="80"/>
              <w:bottom w:val="single" w:sz="8" w:space="0" w:color="7F7F7F" w:themeColor="text1" w:themeTint="80"/>
            </w:tcBorders>
            <w:shd w:val="clear" w:color="auto" w:fill="auto"/>
            <w:vAlign w:val="center"/>
          </w:tcPr>
          <w:p w14:paraId="63D48BDC"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0</w:t>
            </w:r>
          </w:p>
        </w:tc>
      </w:tr>
    </w:tbl>
    <w:p w14:paraId="4BB67F18" w14:textId="46FFBF94" w:rsidR="004678AB" w:rsidRPr="004678AB" w:rsidRDefault="00841077" w:rsidP="004678AB">
      <w:pPr>
        <w:keepLines/>
        <w:spacing w:before="240" w:after="240" w:line="276" w:lineRule="auto"/>
        <w:rPr>
          <w:rFonts w:eastAsia="Times New Roman" w:cs="Times New Roman"/>
          <w:iCs/>
          <w:szCs w:val="24"/>
          <w:lang w:eastAsia="cs-CZ"/>
        </w:rPr>
      </w:pPr>
      <w:r>
        <w:rPr>
          <w:rFonts w:eastAsia="Times New Roman" w:cs="Times New Roman"/>
          <w:iCs/>
          <w:szCs w:val="24"/>
          <w:lang w:eastAsia="cs-CZ"/>
        </w:rPr>
        <w:t>Pro ú</w:t>
      </w:r>
      <w:r w:rsidR="004678AB" w:rsidRPr="004678AB">
        <w:rPr>
          <w:rFonts w:eastAsia="Times New Roman" w:cs="Times New Roman"/>
          <w:bCs/>
          <w:iCs/>
          <w:szCs w:val="24"/>
          <w:lang w:eastAsia="cs-CZ"/>
        </w:rPr>
        <w:t xml:space="preserve">střední orgán MD jsou </w:t>
      </w:r>
      <w:r w:rsidR="004678AB" w:rsidRPr="004678AB">
        <w:rPr>
          <w:rFonts w:eastAsia="Times New Roman" w:cs="Times New Roman"/>
          <w:iCs/>
          <w:szCs w:val="24"/>
          <w:lang w:eastAsia="cs-CZ"/>
        </w:rPr>
        <w:t xml:space="preserve">navrženy výdaje na programové financování v celkové výši </w:t>
      </w:r>
      <w:r w:rsidR="004678AB" w:rsidRPr="004678AB">
        <w:rPr>
          <w:rFonts w:eastAsia="Times New Roman" w:cs="Times New Roman"/>
          <w:iCs/>
          <w:szCs w:val="24"/>
          <w:lang w:eastAsia="cs-CZ"/>
        </w:rPr>
        <w:br/>
      </w:r>
      <w:r w:rsidR="004678AB" w:rsidRPr="004678AB">
        <w:rPr>
          <w:rFonts w:eastAsia="Times New Roman" w:cs="Times New Roman"/>
          <w:b/>
          <w:iCs/>
          <w:szCs w:val="24"/>
          <w:lang w:eastAsia="cs-CZ"/>
        </w:rPr>
        <w:t>176 448</w:t>
      </w:r>
      <w:r w:rsidR="004678AB" w:rsidRPr="004678AB">
        <w:rPr>
          <w:rFonts w:eastAsia="Times New Roman" w:cs="Times New Roman"/>
          <w:b/>
          <w:bCs/>
          <w:iCs/>
          <w:szCs w:val="24"/>
          <w:lang w:eastAsia="cs-CZ"/>
        </w:rPr>
        <w:t xml:space="preserve"> tis. Kč</w:t>
      </w:r>
      <w:r w:rsidR="004678AB" w:rsidRPr="004678AB">
        <w:rPr>
          <w:rFonts w:eastAsia="Times New Roman" w:cs="Times New Roman"/>
          <w:iCs/>
          <w:szCs w:val="24"/>
          <w:lang w:eastAsia="cs-CZ"/>
        </w:rPr>
        <w:t>, z toho kapitálové výdaje 76 584 tis. Kč a běžné výdaje 99 864 tis. Kč.</w:t>
      </w:r>
    </w:p>
    <w:p w14:paraId="33369DF3" w14:textId="77777777" w:rsidR="004678AB" w:rsidRPr="004678AB" w:rsidRDefault="004678AB" w:rsidP="004678AB">
      <w:pPr>
        <w:spacing w:before="80" w:after="120" w:line="240" w:lineRule="auto"/>
        <w:rPr>
          <w:rFonts w:eastAsia="Times New Roman" w:cs="Times New Roman"/>
          <w:szCs w:val="24"/>
          <w:lang w:eastAsia="cs-CZ"/>
        </w:rPr>
      </w:pPr>
      <w:r w:rsidRPr="004678AB">
        <w:rPr>
          <w:rFonts w:eastAsia="Times New Roman" w:cs="Times New Roman"/>
          <w:szCs w:val="24"/>
          <w:lang w:eastAsia="cs-CZ"/>
        </w:rPr>
        <w:t xml:space="preserve">Celková částka </w:t>
      </w:r>
      <w:r w:rsidRPr="004678AB">
        <w:rPr>
          <w:rFonts w:eastAsia="Times New Roman" w:cs="Times New Roman"/>
          <w:b/>
          <w:szCs w:val="24"/>
          <w:lang w:eastAsia="cs-CZ"/>
        </w:rPr>
        <w:t>176 448 tis. Kč</w:t>
      </w:r>
      <w:r w:rsidRPr="004678AB">
        <w:rPr>
          <w:rFonts w:eastAsia="Times New Roman" w:cs="Times New Roman"/>
          <w:szCs w:val="24"/>
          <w:lang w:eastAsia="cs-CZ"/>
        </w:rPr>
        <w:t xml:space="preserve"> bude čerpána v programech 127 03 a 127 07:</w:t>
      </w:r>
    </w:p>
    <w:p w14:paraId="51565223" w14:textId="77777777" w:rsidR="004678AB" w:rsidRPr="004678AB" w:rsidRDefault="004678AB" w:rsidP="004678AB">
      <w:pPr>
        <w:numPr>
          <w:ilvl w:val="0"/>
          <w:numId w:val="39"/>
        </w:numPr>
        <w:tabs>
          <w:tab w:val="num" w:pos="2268"/>
        </w:tabs>
        <w:spacing w:after="40" w:line="240" w:lineRule="auto"/>
        <w:ind w:left="851" w:hanging="284"/>
        <w:rPr>
          <w:rFonts w:eastAsia="Times New Roman" w:cs="Times New Roman"/>
          <w:szCs w:val="24"/>
          <w:lang w:eastAsia="cs-CZ"/>
        </w:rPr>
      </w:pPr>
      <w:r w:rsidRPr="004678AB">
        <w:rPr>
          <w:rFonts w:eastAsia="Times New Roman" w:cs="Times New Roman"/>
          <w:szCs w:val="24"/>
          <w:lang w:eastAsia="cs-CZ"/>
        </w:rPr>
        <w:t xml:space="preserve">ve výši </w:t>
      </w:r>
      <w:r w:rsidRPr="004678AB">
        <w:rPr>
          <w:rFonts w:eastAsia="Times New Roman" w:cs="Times New Roman"/>
          <w:b/>
          <w:szCs w:val="24"/>
          <w:lang w:eastAsia="cs-CZ"/>
        </w:rPr>
        <w:t>103 621 tis. Kč</w:t>
      </w:r>
      <w:r w:rsidRPr="004678AB">
        <w:rPr>
          <w:rFonts w:eastAsia="Times New Roman" w:cs="Times New Roman"/>
          <w:szCs w:val="24"/>
          <w:lang w:eastAsia="cs-CZ"/>
        </w:rPr>
        <w:t xml:space="preserve"> na financování </w:t>
      </w:r>
      <w:proofErr w:type="spellStart"/>
      <w:r w:rsidRPr="004678AB">
        <w:rPr>
          <w:rFonts w:eastAsia="Times New Roman" w:cs="Times New Roman"/>
          <w:szCs w:val="24"/>
          <w:lang w:eastAsia="cs-CZ"/>
        </w:rPr>
        <w:t>subtitulu</w:t>
      </w:r>
      <w:proofErr w:type="spellEnd"/>
      <w:r w:rsidRPr="004678AB">
        <w:rPr>
          <w:rFonts w:eastAsia="Times New Roman" w:cs="Times New Roman"/>
          <w:szCs w:val="24"/>
          <w:lang w:eastAsia="cs-CZ"/>
        </w:rPr>
        <w:t xml:space="preserve"> 127V0310 „Pořízení, obnova </w:t>
      </w:r>
      <w:r w:rsidRPr="004678AB">
        <w:rPr>
          <w:rFonts w:eastAsia="Times New Roman" w:cs="Times New Roman"/>
          <w:szCs w:val="24"/>
          <w:lang w:eastAsia="cs-CZ"/>
        </w:rPr>
        <w:br/>
        <w:t xml:space="preserve">a provozování ICT systému řízení MD“ (z toho kapitálové výdaje 13 389 tis. Kč </w:t>
      </w:r>
      <w:r w:rsidRPr="004678AB">
        <w:rPr>
          <w:rFonts w:eastAsia="Times New Roman" w:cs="Times New Roman"/>
          <w:szCs w:val="24"/>
          <w:lang w:eastAsia="cs-CZ"/>
        </w:rPr>
        <w:br/>
        <w:t>a běžné výdaje 60 232 tis. Kč)</w:t>
      </w:r>
    </w:p>
    <w:p w14:paraId="7799E0E7" w14:textId="77777777" w:rsidR="004678AB" w:rsidRPr="004678AB" w:rsidRDefault="004678AB" w:rsidP="004678AB">
      <w:pPr>
        <w:numPr>
          <w:ilvl w:val="0"/>
          <w:numId w:val="39"/>
        </w:numPr>
        <w:tabs>
          <w:tab w:val="num" w:pos="2268"/>
        </w:tabs>
        <w:spacing w:after="40" w:line="240" w:lineRule="auto"/>
        <w:ind w:left="851" w:hanging="284"/>
        <w:rPr>
          <w:rFonts w:eastAsia="Times New Roman" w:cs="Times New Roman"/>
          <w:szCs w:val="24"/>
          <w:lang w:eastAsia="cs-CZ"/>
        </w:rPr>
      </w:pPr>
      <w:r w:rsidRPr="004678AB">
        <w:rPr>
          <w:rFonts w:eastAsia="Times New Roman" w:cs="Times New Roman"/>
          <w:szCs w:val="24"/>
          <w:lang w:eastAsia="cs-CZ"/>
        </w:rPr>
        <w:t xml:space="preserve">ve výši </w:t>
      </w:r>
      <w:r w:rsidRPr="004678AB">
        <w:rPr>
          <w:rFonts w:eastAsia="Times New Roman" w:cs="Times New Roman"/>
          <w:b/>
          <w:szCs w:val="24"/>
          <w:lang w:eastAsia="cs-CZ"/>
        </w:rPr>
        <w:t>64 327 tis. Kč</w:t>
      </w:r>
      <w:r w:rsidRPr="004678AB">
        <w:rPr>
          <w:rFonts w:eastAsia="Times New Roman" w:cs="Times New Roman"/>
          <w:szCs w:val="24"/>
          <w:lang w:eastAsia="cs-CZ"/>
        </w:rPr>
        <w:t xml:space="preserve"> na financování </w:t>
      </w:r>
      <w:proofErr w:type="spellStart"/>
      <w:r w:rsidRPr="004678AB">
        <w:rPr>
          <w:rFonts w:eastAsia="Times New Roman" w:cs="Times New Roman"/>
          <w:szCs w:val="24"/>
          <w:lang w:eastAsia="cs-CZ"/>
        </w:rPr>
        <w:t>subtitulu</w:t>
      </w:r>
      <w:proofErr w:type="spellEnd"/>
      <w:r w:rsidRPr="004678AB">
        <w:rPr>
          <w:rFonts w:eastAsia="Times New Roman" w:cs="Times New Roman"/>
          <w:szCs w:val="24"/>
          <w:lang w:eastAsia="cs-CZ"/>
        </w:rPr>
        <w:t xml:space="preserve"> 127V0710 „Pořízení, obnova </w:t>
      </w:r>
      <w:r w:rsidRPr="004678AB">
        <w:rPr>
          <w:rFonts w:eastAsia="Times New Roman" w:cs="Times New Roman"/>
          <w:szCs w:val="24"/>
          <w:lang w:eastAsia="cs-CZ"/>
        </w:rPr>
        <w:br/>
        <w:t xml:space="preserve">a provozování ICT systému řízení MD“ (z toho kapitálové výdaje 24 695 tis. Kč </w:t>
      </w:r>
      <w:r w:rsidRPr="004678AB">
        <w:rPr>
          <w:rFonts w:eastAsia="Times New Roman" w:cs="Times New Roman"/>
          <w:szCs w:val="24"/>
          <w:lang w:eastAsia="cs-CZ"/>
        </w:rPr>
        <w:br/>
        <w:t>a běžné výdaje 39 632 tis. Kč)</w:t>
      </w:r>
    </w:p>
    <w:p w14:paraId="6555F61A" w14:textId="77777777" w:rsidR="004678AB" w:rsidRPr="004678AB" w:rsidRDefault="004678AB" w:rsidP="004678AB">
      <w:pPr>
        <w:numPr>
          <w:ilvl w:val="0"/>
          <w:numId w:val="39"/>
        </w:numPr>
        <w:tabs>
          <w:tab w:val="num" w:pos="2268"/>
        </w:tabs>
        <w:spacing w:after="40" w:line="240" w:lineRule="auto"/>
        <w:ind w:left="851" w:hanging="284"/>
        <w:rPr>
          <w:rFonts w:eastAsia="Times New Roman" w:cs="Times New Roman"/>
          <w:szCs w:val="24"/>
          <w:lang w:eastAsia="cs-CZ"/>
        </w:rPr>
      </w:pPr>
      <w:r w:rsidRPr="004678AB">
        <w:rPr>
          <w:rFonts w:eastAsia="Times New Roman" w:cs="Times New Roman"/>
          <w:szCs w:val="24"/>
          <w:lang w:eastAsia="cs-CZ"/>
        </w:rPr>
        <w:t xml:space="preserve">ve výši </w:t>
      </w:r>
      <w:r w:rsidRPr="004678AB">
        <w:rPr>
          <w:rFonts w:eastAsia="Times New Roman" w:cs="Times New Roman"/>
          <w:b/>
          <w:szCs w:val="24"/>
          <w:lang w:eastAsia="cs-CZ"/>
        </w:rPr>
        <w:t>8 500 tis. Kč</w:t>
      </w:r>
      <w:r w:rsidRPr="004678AB">
        <w:rPr>
          <w:rFonts w:eastAsia="Times New Roman" w:cs="Times New Roman"/>
          <w:szCs w:val="24"/>
          <w:lang w:eastAsia="cs-CZ"/>
        </w:rPr>
        <w:t xml:space="preserve"> na financování </w:t>
      </w:r>
      <w:proofErr w:type="spellStart"/>
      <w:r w:rsidRPr="004678AB">
        <w:rPr>
          <w:rFonts w:eastAsia="Times New Roman" w:cs="Times New Roman"/>
          <w:szCs w:val="24"/>
          <w:lang w:eastAsia="cs-CZ"/>
        </w:rPr>
        <w:t>subtitulu</w:t>
      </w:r>
      <w:proofErr w:type="spellEnd"/>
      <w:r w:rsidRPr="004678AB">
        <w:rPr>
          <w:rFonts w:eastAsia="Times New Roman" w:cs="Times New Roman"/>
          <w:szCs w:val="24"/>
          <w:lang w:eastAsia="cs-CZ"/>
        </w:rPr>
        <w:t xml:space="preserve"> 127V0720 „Rozvoj a obnova materiálně technické základny MD“ (pouze kapitálové výdaje)</w:t>
      </w:r>
    </w:p>
    <w:p w14:paraId="2DCF2AC6" w14:textId="15D69A77" w:rsidR="004678AB" w:rsidRPr="004678AB" w:rsidRDefault="004678AB" w:rsidP="004678AB">
      <w:pPr>
        <w:keepLines/>
        <w:spacing w:before="240" w:after="240" w:line="276" w:lineRule="auto"/>
        <w:rPr>
          <w:rFonts w:eastAsia="Times New Roman" w:cs="Times New Roman"/>
          <w:iCs/>
          <w:szCs w:val="24"/>
          <w:lang w:eastAsia="cs-CZ"/>
        </w:rPr>
      </w:pPr>
      <w:r w:rsidRPr="004678AB">
        <w:rPr>
          <w:rFonts w:eastAsia="Times New Roman" w:cs="Times New Roman"/>
          <w:iCs/>
          <w:szCs w:val="24"/>
          <w:lang w:eastAsia="cs-CZ"/>
        </w:rPr>
        <w:t xml:space="preserve">Objem </w:t>
      </w:r>
      <w:r w:rsidRPr="004678AB">
        <w:rPr>
          <w:rFonts w:eastAsia="Times New Roman" w:cs="Times New Roman"/>
          <w:b/>
          <w:iCs/>
          <w:szCs w:val="24"/>
          <w:lang w:eastAsia="cs-CZ"/>
        </w:rPr>
        <w:t xml:space="preserve">kapitálových výdajů </w:t>
      </w:r>
      <w:r w:rsidRPr="004678AB">
        <w:rPr>
          <w:rFonts w:eastAsia="Times New Roman" w:cs="Times New Roman"/>
          <w:iCs/>
          <w:szCs w:val="24"/>
          <w:lang w:eastAsia="cs-CZ"/>
        </w:rPr>
        <w:t xml:space="preserve">ve výši </w:t>
      </w:r>
      <w:r w:rsidRPr="004678AB">
        <w:rPr>
          <w:rFonts w:eastAsia="Times New Roman" w:cs="Times New Roman"/>
          <w:b/>
          <w:iCs/>
          <w:szCs w:val="24"/>
          <w:lang w:eastAsia="cs-CZ"/>
        </w:rPr>
        <w:t xml:space="preserve">68 084 tis. Kč </w:t>
      </w:r>
      <w:r w:rsidRPr="004678AB">
        <w:rPr>
          <w:rFonts w:eastAsia="Times New Roman" w:cs="Times New Roman"/>
          <w:iCs/>
          <w:szCs w:val="24"/>
          <w:lang w:eastAsia="cs-CZ"/>
        </w:rPr>
        <w:t xml:space="preserve">bude vyčleněn </w:t>
      </w:r>
      <w:r w:rsidRPr="004678AB">
        <w:rPr>
          <w:rFonts w:eastAsia="Times New Roman" w:cs="Times New Roman"/>
          <w:b/>
          <w:iCs/>
          <w:szCs w:val="24"/>
          <w:lang w:eastAsia="cs-CZ"/>
        </w:rPr>
        <w:t>v </w:t>
      </w:r>
      <w:proofErr w:type="spellStart"/>
      <w:r w:rsidRPr="004678AB">
        <w:rPr>
          <w:rFonts w:eastAsia="Times New Roman" w:cs="Times New Roman"/>
          <w:b/>
          <w:iCs/>
          <w:szCs w:val="24"/>
          <w:lang w:eastAsia="cs-CZ"/>
        </w:rPr>
        <w:t>subtitulech</w:t>
      </w:r>
      <w:proofErr w:type="spellEnd"/>
      <w:r w:rsidRPr="004678AB">
        <w:rPr>
          <w:rFonts w:eastAsia="Times New Roman" w:cs="Times New Roman"/>
          <w:b/>
          <w:iCs/>
          <w:szCs w:val="24"/>
          <w:lang w:eastAsia="cs-CZ"/>
        </w:rPr>
        <w:t xml:space="preserve"> „ICT“ (127V0310 a 127V0710)</w:t>
      </w:r>
      <w:r w:rsidRPr="004678AB">
        <w:rPr>
          <w:rFonts w:eastAsia="Times New Roman" w:cs="Times New Roman"/>
          <w:iCs/>
          <w:szCs w:val="24"/>
          <w:lang w:eastAsia="cs-CZ"/>
        </w:rPr>
        <w:t xml:space="preserve"> zejména na realizaci implementačních plánů Digitalizace </w:t>
      </w:r>
      <w:r w:rsidR="00604CC3">
        <w:rPr>
          <w:rFonts w:eastAsia="Times New Roman" w:cs="Times New Roman"/>
          <w:iCs/>
          <w:szCs w:val="24"/>
          <w:lang w:eastAsia="cs-CZ"/>
        </w:rPr>
        <w:t>agend</w:t>
      </w:r>
      <w:r w:rsidRPr="004678AB">
        <w:rPr>
          <w:rFonts w:eastAsia="Times New Roman" w:cs="Times New Roman"/>
          <w:iCs/>
          <w:szCs w:val="24"/>
          <w:lang w:eastAsia="cs-CZ"/>
        </w:rPr>
        <w:t xml:space="preserve">                                          (30 000 tis. Kč), na rozvoj aplikace Registru silničních vozidel (18 314 tis. Kč), na rozvoj informačního systému technických prohlídek (6 655 tis. Kč), rozvoj IS CRŘ dle legislativních požadavků (3 000 tis. Kč) a aplikace </w:t>
      </w:r>
      <w:proofErr w:type="spellStart"/>
      <w:r w:rsidRPr="004678AB">
        <w:rPr>
          <w:rFonts w:eastAsia="Times New Roman" w:cs="Times New Roman"/>
          <w:iCs/>
          <w:szCs w:val="24"/>
          <w:lang w:eastAsia="cs-CZ"/>
        </w:rPr>
        <w:t>eTesty</w:t>
      </w:r>
      <w:proofErr w:type="spellEnd"/>
      <w:r w:rsidRPr="004678AB">
        <w:rPr>
          <w:rFonts w:eastAsia="Times New Roman" w:cs="Times New Roman"/>
          <w:iCs/>
          <w:szCs w:val="24"/>
          <w:lang w:eastAsia="cs-CZ"/>
        </w:rPr>
        <w:t xml:space="preserve"> (2 702 tis. Kč). Další výdaje jsou vyčleněny                          na pořízení UPS do </w:t>
      </w:r>
      <w:proofErr w:type="spellStart"/>
      <w:r w:rsidRPr="004678AB">
        <w:rPr>
          <w:rFonts w:eastAsia="Times New Roman" w:cs="Times New Roman"/>
          <w:iCs/>
          <w:szCs w:val="24"/>
          <w:lang w:eastAsia="cs-CZ"/>
        </w:rPr>
        <w:t>serverovny</w:t>
      </w:r>
      <w:proofErr w:type="spellEnd"/>
      <w:r w:rsidRPr="004678AB">
        <w:rPr>
          <w:rFonts w:eastAsia="Times New Roman" w:cs="Times New Roman"/>
          <w:iCs/>
          <w:szCs w:val="24"/>
          <w:lang w:eastAsia="cs-CZ"/>
        </w:rPr>
        <w:t xml:space="preserve"> (2 300 tis. Kč), pořízení záložních serverů pro </w:t>
      </w:r>
      <w:proofErr w:type="spellStart"/>
      <w:r w:rsidRPr="004678AB">
        <w:rPr>
          <w:rFonts w:eastAsia="Times New Roman" w:cs="Times New Roman"/>
          <w:iCs/>
          <w:szCs w:val="24"/>
          <w:lang w:eastAsia="cs-CZ"/>
        </w:rPr>
        <w:t>Vmware</w:t>
      </w:r>
      <w:proofErr w:type="spellEnd"/>
      <w:r w:rsidRPr="004678AB">
        <w:rPr>
          <w:rFonts w:eastAsia="Times New Roman" w:cs="Times New Roman"/>
          <w:iCs/>
          <w:szCs w:val="24"/>
          <w:lang w:eastAsia="cs-CZ"/>
        </w:rPr>
        <w:t xml:space="preserve">                          (1 200 tis. Kč).</w:t>
      </w:r>
    </w:p>
    <w:p w14:paraId="7FA8B3E9" w14:textId="77777777" w:rsidR="004678AB" w:rsidRPr="004678AB" w:rsidRDefault="004678AB" w:rsidP="004678AB">
      <w:pPr>
        <w:keepLines/>
        <w:spacing w:before="240" w:after="240" w:line="276" w:lineRule="auto"/>
        <w:rPr>
          <w:rFonts w:eastAsia="Times New Roman" w:cs="Times New Roman"/>
          <w:b/>
          <w:iCs/>
          <w:szCs w:val="24"/>
          <w:lang w:eastAsia="cs-CZ"/>
        </w:rPr>
      </w:pPr>
      <w:r w:rsidRPr="004678AB">
        <w:rPr>
          <w:rFonts w:eastAsia="Times New Roman" w:cs="Times New Roman"/>
          <w:b/>
          <w:iCs/>
          <w:szCs w:val="24"/>
          <w:lang w:eastAsia="cs-CZ"/>
        </w:rPr>
        <w:t>V </w:t>
      </w:r>
      <w:proofErr w:type="spellStart"/>
      <w:r w:rsidRPr="004678AB">
        <w:rPr>
          <w:rFonts w:eastAsia="Times New Roman" w:cs="Times New Roman"/>
          <w:b/>
          <w:iCs/>
          <w:szCs w:val="24"/>
          <w:lang w:eastAsia="cs-CZ"/>
        </w:rPr>
        <w:t>subtitulu</w:t>
      </w:r>
      <w:proofErr w:type="spellEnd"/>
      <w:r w:rsidRPr="004678AB">
        <w:rPr>
          <w:rFonts w:eastAsia="Times New Roman" w:cs="Times New Roman"/>
          <w:b/>
          <w:iCs/>
          <w:szCs w:val="24"/>
          <w:lang w:eastAsia="cs-CZ"/>
        </w:rPr>
        <w:t xml:space="preserve"> 127V0720</w:t>
      </w:r>
      <w:r w:rsidRPr="004678AB">
        <w:rPr>
          <w:rFonts w:eastAsia="Times New Roman" w:cs="Times New Roman"/>
          <w:iCs/>
          <w:szCs w:val="24"/>
          <w:lang w:eastAsia="cs-CZ"/>
        </w:rPr>
        <w:t xml:space="preserve"> „Rozvoj a obnova materiálně technické základny“ je plánováno vynaložit investiční prostředky ve výši </w:t>
      </w:r>
      <w:r w:rsidRPr="004678AB">
        <w:rPr>
          <w:rFonts w:eastAsia="Times New Roman" w:cs="Times New Roman"/>
          <w:b/>
          <w:iCs/>
          <w:szCs w:val="24"/>
          <w:lang w:eastAsia="cs-CZ"/>
        </w:rPr>
        <w:t xml:space="preserve">8 500 tis. Kč </w:t>
      </w:r>
      <w:r w:rsidRPr="004678AB">
        <w:rPr>
          <w:rFonts w:eastAsia="Times New Roman" w:cs="Times New Roman"/>
          <w:iCs/>
          <w:szCs w:val="24"/>
          <w:lang w:eastAsia="cs-CZ"/>
        </w:rPr>
        <w:t xml:space="preserve">do obnovy vozového parku (4 500 tis. Kč) a výrobu edukativních kampaní a spotů s tématikou bezpečnosti silničního provozu </w:t>
      </w:r>
      <w:r w:rsidRPr="004678AB">
        <w:rPr>
          <w:rFonts w:eastAsia="Times New Roman" w:cs="Times New Roman"/>
          <w:iCs/>
          <w:szCs w:val="24"/>
          <w:lang w:eastAsia="cs-CZ"/>
        </w:rPr>
        <w:br/>
        <w:t>(4 000 tis. Kč)</w:t>
      </w:r>
    </w:p>
    <w:p w14:paraId="060AE483" w14:textId="77777777" w:rsidR="004678AB" w:rsidRPr="004678AB" w:rsidRDefault="004678AB" w:rsidP="004678AB">
      <w:pPr>
        <w:keepLines/>
        <w:spacing w:before="240" w:after="240" w:line="276" w:lineRule="auto"/>
        <w:rPr>
          <w:rFonts w:eastAsia="Times New Roman" w:cs="Times New Roman"/>
          <w:iCs/>
          <w:szCs w:val="24"/>
          <w:lang w:eastAsia="cs-CZ"/>
        </w:rPr>
      </w:pPr>
      <w:r w:rsidRPr="004678AB">
        <w:rPr>
          <w:rFonts w:eastAsia="Times New Roman" w:cs="Times New Roman"/>
          <w:iCs/>
          <w:szCs w:val="24"/>
          <w:lang w:eastAsia="cs-CZ"/>
        </w:rPr>
        <w:t>V </w:t>
      </w:r>
      <w:r w:rsidRPr="004678AB">
        <w:rPr>
          <w:rFonts w:eastAsia="Times New Roman" w:cs="Times New Roman"/>
          <w:b/>
          <w:iCs/>
          <w:szCs w:val="24"/>
          <w:lang w:eastAsia="cs-CZ"/>
        </w:rPr>
        <w:t>běžných výdajích</w:t>
      </w:r>
      <w:r w:rsidRPr="004678AB">
        <w:rPr>
          <w:rFonts w:eastAsia="Times New Roman" w:cs="Times New Roman"/>
          <w:iCs/>
          <w:szCs w:val="24"/>
          <w:lang w:eastAsia="cs-CZ"/>
        </w:rPr>
        <w:t>,</w:t>
      </w:r>
      <w:r w:rsidRPr="004678AB">
        <w:rPr>
          <w:rFonts w:eastAsia="Times New Roman" w:cs="Times New Roman"/>
          <w:b/>
          <w:iCs/>
          <w:szCs w:val="24"/>
          <w:lang w:eastAsia="cs-CZ"/>
        </w:rPr>
        <w:t xml:space="preserve"> </w:t>
      </w:r>
      <w:r w:rsidRPr="004678AB">
        <w:rPr>
          <w:rFonts w:eastAsia="Times New Roman" w:cs="Times New Roman"/>
          <w:iCs/>
          <w:szCs w:val="24"/>
          <w:lang w:eastAsia="cs-CZ"/>
        </w:rPr>
        <w:t>jejichž celková hodnota je</w:t>
      </w:r>
      <w:r w:rsidRPr="004678AB">
        <w:rPr>
          <w:rFonts w:eastAsia="Times New Roman" w:cs="Times New Roman"/>
          <w:b/>
          <w:iCs/>
          <w:szCs w:val="24"/>
          <w:lang w:eastAsia="cs-CZ"/>
        </w:rPr>
        <w:t xml:space="preserve"> 99 864 tis. Kč</w:t>
      </w:r>
      <w:r w:rsidRPr="004678AB">
        <w:rPr>
          <w:rFonts w:eastAsia="Times New Roman" w:cs="Times New Roman"/>
          <w:iCs/>
          <w:szCs w:val="24"/>
          <w:lang w:eastAsia="cs-CZ"/>
        </w:rPr>
        <w:t xml:space="preserve"> v </w:t>
      </w:r>
      <w:proofErr w:type="spellStart"/>
      <w:r w:rsidRPr="004678AB">
        <w:rPr>
          <w:rFonts w:eastAsia="Times New Roman" w:cs="Times New Roman"/>
          <w:iCs/>
          <w:szCs w:val="24"/>
          <w:lang w:eastAsia="cs-CZ"/>
        </w:rPr>
        <w:t>subtitulech</w:t>
      </w:r>
      <w:proofErr w:type="spellEnd"/>
      <w:r w:rsidRPr="004678AB">
        <w:rPr>
          <w:rFonts w:eastAsia="Times New Roman" w:cs="Times New Roman"/>
          <w:iCs/>
          <w:szCs w:val="24"/>
          <w:lang w:eastAsia="cs-CZ"/>
        </w:rPr>
        <w:t xml:space="preserve"> „ICT“ (127V0310 a 127V0710), jsou zahrnuty </w:t>
      </w:r>
      <w:proofErr w:type="spellStart"/>
      <w:r w:rsidRPr="004678AB">
        <w:rPr>
          <w:rFonts w:eastAsia="Times New Roman" w:cs="Times New Roman"/>
          <w:iCs/>
          <w:szCs w:val="24"/>
          <w:lang w:eastAsia="cs-CZ"/>
        </w:rPr>
        <w:t>prostředkyna</w:t>
      </w:r>
      <w:proofErr w:type="spellEnd"/>
      <w:r w:rsidRPr="004678AB">
        <w:rPr>
          <w:rFonts w:eastAsia="Times New Roman" w:cs="Times New Roman"/>
          <w:iCs/>
          <w:szCs w:val="24"/>
          <w:lang w:eastAsia="cs-CZ"/>
        </w:rPr>
        <w:t xml:space="preserve"> zajištění podpory a provozu IS na výrobu </w:t>
      </w:r>
      <w:r w:rsidRPr="004678AB">
        <w:rPr>
          <w:rFonts w:eastAsia="Times New Roman" w:cs="Times New Roman"/>
          <w:iCs/>
          <w:szCs w:val="24"/>
          <w:lang w:eastAsia="cs-CZ"/>
        </w:rPr>
        <w:br/>
        <w:t xml:space="preserve">a personalizaci karet Digitálního tachografu (38 268 tis. Kč), Systému národního tarifu </w:t>
      </w:r>
      <w:r w:rsidRPr="004678AB">
        <w:rPr>
          <w:rFonts w:eastAsia="Times New Roman" w:cs="Times New Roman"/>
          <w:iCs/>
          <w:szCs w:val="24"/>
          <w:lang w:eastAsia="cs-CZ"/>
        </w:rPr>
        <w:br/>
        <w:t xml:space="preserve">(22 751 tis. Kč), IS Registru silničních vozidel (10 803 tis. Kč), IS Technických prohlídek </w:t>
      </w:r>
      <w:r w:rsidRPr="004678AB">
        <w:rPr>
          <w:rFonts w:eastAsia="Times New Roman" w:cs="Times New Roman"/>
          <w:iCs/>
          <w:szCs w:val="24"/>
          <w:lang w:eastAsia="cs-CZ"/>
        </w:rPr>
        <w:br/>
        <w:t xml:space="preserve">(14 874 tis. Kč) či na poskytování služeb zajištění pořízení digitalizované foto a </w:t>
      </w:r>
      <w:proofErr w:type="spellStart"/>
      <w:r w:rsidRPr="004678AB">
        <w:rPr>
          <w:rFonts w:eastAsia="Times New Roman" w:cs="Times New Roman"/>
          <w:iCs/>
          <w:szCs w:val="24"/>
          <w:lang w:eastAsia="cs-CZ"/>
        </w:rPr>
        <w:t>digi</w:t>
      </w:r>
      <w:proofErr w:type="spellEnd"/>
      <w:r w:rsidRPr="004678AB">
        <w:rPr>
          <w:rFonts w:eastAsia="Times New Roman" w:cs="Times New Roman"/>
          <w:iCs/>
          <w:szCs w:val="24"/>
          <w:lang w:eastAsia="cs-CZ"/>
        </w:rPr>
        <w:t xml:space="preserve"> podpisu na ORP (2 619 tis Kč).</w:t>
      </w:r>
    </w:p>
    <w:p w14:paraId="6AED3A99" w14:textId="77777777" w:rsidR="004678AB" w:rsidRPr="004678AB" w:rsidRDefault="004678AB" w:rsidP="004678AB">
      <w:pPr>
        <w:keepNext/>
        <w:tabs>
          <w:tab w:val="left" w:pos="708"/>
        </w:tabs>
        <w:spacing w:before="80" w:line="240" w:lineRule="auto"/>
        <w:outlineLvl w:val="3"/>
        <w:rPr>
          <w:rFonts w:eastAsia="Times New Roman" w:cs="Times New Roman"/>
          <w:b/>
          <w:szCs w:val="24"/>
          <w:u w:val="single"/>
          <w:lang w:eastAsia="cs-CZ"/>
        </w:rPr>
      </w:pPr>
      <w:r w:rsidRPr="004678AB">
        <w:rPr>
          <w:rFonts w:eastAsia="Times New Roman" w:cs="Times New Roman"/>
          <w:b/>
          <w:szCs w:val="24"/>
          <w:u w:val="single"/>
          <w:lang w:eastAsia="cs-CZ"/>
        </w:rPr>
        <w:t>Úřad pro civilní letectví</w:t>
      </w:r>
    </w:p>
    <w:p w14:paraId="29EDE496" w14:textId="10474C37" w:rsidR="004678AB" w:rsidRPr="004678AB" w:rsidRDefault="004678AB" w:rsidP="004678AB">
      <w:pPr>
        <w:keepNext/>
        <w:spacing w:before="120" w:after="120" w:line="240" w:lineRule="auto"/>
        <w:rPr>
          <w:rFonts w:eastAsia="Times New Roman" w:cs="Times New Roman"/>
          <w:b/>
          <w:bCs/>
          <w:noProof/>
          <w:sz w:val="20"/>
          <w:szCs w:val="20"/>
          <w:lang w:eastAsia="cs-CZ"/>
        </w:rPr>
      </w:pPr>
      <w:r w:rsidRPr="004678AB">
        <w:rPr>
          <w:rFonts w:eastAsia="Times New Roman" w:cs="Times New Roman"/>
          <w:b/>
          <w:bCs/>
          <w:sz w:val="20"/>
          <w:szCs w:val="20"/>
          <w:lang w:eastAsia="cs-CZ"/>
        </w:rPr>
        <w:t xml:space="preserve">Tabulka č. </w:t>
      </w:r>
      <w:r w:rsidR="00B3696F">
        <w:rPr>
          <w:rFonts w:eastAsia="Times New Roman" w:cs="Times New Roman"/>
          <w:b/>
          <w:bCs/>
          <w:noProof/>
          <w:sz w:val="20"/>
          <w:szCs w:val="20"/>
          <w:lang w:eastAsia="cs-CZ"/>
        </w:rPr>
        <w:t xml:space="preserve">31 </w:t>
      </w:r>
      <w:r w:rsidRPr="004678AB">
        <w:rPr>
          <w:rFonts w:eastAsia="Times New Roman" w:cs="Times New Roman"/>
          <w:b/>
          <w:bCs/>
          <w:noProof/>
          <w:sz w:val="20"/>
          <w:szCs w:val="20"/>
          <w:lang w:eastAsia="cs-CZ"/>
        </w:rPr>
        <w:t>Výdaje Úřadu pro civilní letectví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4678AB" w:rsidRPr="004678AB" w14:paraId="31267F0D" w14:textId="77777777" w:rsidTr="0011129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66722A3"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DA8A061"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 xml:space="preserve">Skutečnost </w:t>
            </w:r>
            <w:r w:rsidRPr="004678AB">
              <w:rPr>
                <w:rFonts w:eastAsia="Times New Roman" w:cs="Times New Roman"/>
                <w:b/>
                <w:bCs/>
                <w:lang w:eastAsia="cs-CZ"/>
              </w:rPr>
              <w:br/>
              <w:t>2021</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1D88EC"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Schválený rozpočet 2022</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1A9DD9"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 xml:space="preserve">Návrh rozpočtu </w:t>
            </w:r>
            <w:r w:rsidRPr="004678AB">
              <w:rPr>
                <w:rFonts w:eastAsia="Times New Roman" w:cs="Times New Roman"/>
                <w:b/>
                <w:bCs/>
                <w:lang w:eastAsia="cs-CZ"/>
              </w:rPr>
              <w:br/>
              <w:t>2023</w:t>
            </w:r>
          </w:p>
        </w:tc>
      </w:tr>
      <w:tr w:rsidR="004678AB" w:rsidRPr="004678AB" w14:paraId="7836A16A" w14:textId="77777777" w:rsidTr="0011129C">
        <w:tc>
          <w:tcPr>
            <w:tcW w:w="2263" w:type="dxa"/>
            <w:tcBorders>
              <w:bottom w:val="single" w:sz="8" w:space="0" w:color="7F7F7F" w:themeColor="text1" w:themeTint="80"/>
            </w:tcBorders>
            <w:shd w:val="clear" w:color="auto" w:fill="auto"/>
          </w:tcPr>
          <w:p w14:paraId="2CE4DAE2" w14:textId="77777777" w:rsidR="004678AB" w:rsidRPr="004678AB" w:rsidRDefault="004678AB" w:rsidP="004678AB">
            <w:pPr>
              <w:jc w:val="center"/>
              <w:rPr>
                <w:rFonts w:eastAsia="Times New Roman" w:cs="Times New Roman"/>
                <w:lang w:eastAsia="cs-CZ"/>
              </w:rPr>
            </w:pPr>
            <w:r w:rsidRPr="004678AB">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62ADDCAD"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 xml:space="preserve">3 758  </w:t>
            </w:r>
          </w:p>
        </w:tc>
        <w:tc>
          <w:tcPr>
            <w:tcW w:w="2264" w:type="dxa"/>
            <w:tcBorders>
              <w:bottom w:val="single" w:sz="8" w:space="0" w:color="7F7F7F" w:themeColor="text1" w:themeTint="80"/>
            </w:tcBorders>
            <w:shd w:val="clear" w:color="auto" w:fill="auto"/>
            <w:vAlign w:val="center"/>
          </w:tcPr>
          <w:p w14:paraId="42F7CB1D"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6 422</w:t>
            </w:r>
          </w:p>
        </w:tc>
        <w:tc>
          <w:tcPr>
            <w:tcW w:w="2257" w:type="dxa"/>
            <w:tcBorders>
              <w:bottom w:val="single" w:sz="8" w:space="0" w:color="7F7F7F" w:themeColor="text1" w:themeTint="80"/>
            </w:tcBorders>
            <w:shd w:val="clear" w:color="auto" w:fill="auto"/>
            <w:vAlign w:val="center"/>
          </w:tcPr>
          <w:p w14:paraId="3737F173"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r>
      <w:tr w:rsidR="004678AB" w:rsidRPr="004678AB" w14:paraId="6CF4FB2E" w14:textId="77777777" w:rsidTr="0011129C">
        <w:tc>
          <w:tcPr>
            <w:tcW w:w="2263" w:type="dxa"/>
            <w:tcBorders>
              <w:bottom w:val="single" w:sz="8" w:space="0" w:color="7F7F7F" w:themeColor="text1" w:themeTint="80"/>
            </w:tcBorders>
            <w:shd w:val="clear" w:color="auto" w:fill="auto"/>
          </w:tcPr>
          <w:p w14:paraId="62DB5B23" w14:textId="77777777" w:rsidR="004678AB" w:rsidRPr="004678AB" w:rsidRDefault="004678AB" w:rsidP="004678AB">
            <w:pPr>
              <w:jc w:val="center"/>
              <w:rPr>
                <w:rFonts w:eastAsia="Times New Roman" w:cs="Times New Roman"/>
                <w:iCs/>
                <w:lang w:eastAsia="cs-CZ"/>
              </w:rPr>
            </w:pPr>
            <w:r w:rsidRPr="004678AB">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144442D5"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19C49530"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57" w:type="dxa"/>
            <w:tcBorders>
              <w:bottom w:val="single" w:sz="8" w:space="0" w:color="7F7F7F" w:themeColor="text1" w:themeTint="80"/>
            </w:tcBorders>
            <w:shd w:val="clear" w:color="auto" w:fill="auto"/>
            <w:vAlign w:val="center"/>
          </w:tcPr>
          <w:p w14:paraId="259C0192"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6 800</w:t>
            </w:r>
          </w:p>
        </w:tc>
      </w:tr>
      <w:tr w:rsidR="004678AB" w:rsidRPr="004678AB" w14:paraId="48088357" w14:textId="77777777" w:rsidTr="0011129C">
        <w:tc>
          <w:tcPr>
            <w:tcW w:w="2263" w:type="dxa"/>
            <w:tcBorders>
              <w:top w:val="single" w:sz="8" w:space="0" w:color="7F7F7F" w:themeColor="text1" w:themeTint="80"/>
              <w:bottom w:val="single" w:sz="8" w:space="0" w:color="7F7F7F" w:themeColor="text1" w:themeTint="80"/>
            </w:tcBorders>
            <w:shd w:val="clear" w:color="auto" w:fill="auto"/>
          </w:tcPr>
          <w:p w14:paraId="0D54F5F2" w14:textId="77777777" w:rsidR="004678AB" w:rsidRPr="004678AB" w:rsidRDefault="004678AB" w:rsidP="004678AB">
            <w:pPr>
              <w:jc w:val="center"/>
              <w:rPr>
                <w:rFonts w:eastAsia="Times New Roman" w:cs="Times New Roman"/>
                <w:iCs/>
                <w:color w:val="FF0000"/>
                <w:lang w:eastAsia="cs-CZ"/>
              </w:rPr>
            </w:pPr>
            <w:r w:rsidRPr="004678AB">
              <w:rPr>
                <w:rFonts w:eastAsia="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0F6BFD7D"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3 758</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3CE85D35"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6 422</w:t>
            </w:r>
          </w:p>
        </w:tc>
        <w:tc>
          <w:tcPr>
            <w:tcW w:w="2257" w:type="dxa"/>
            <w:tcBorders>
              <w:top w:val="single" w:sz="8" w:space="0" w:color="7F7F7F" w:themeColor="text1" w:themeTint="80"/>
              <w:bottom w:val="single" w:sz="8" w:space="0" w:color="7F7F7F" w:themeColor="text1" w:themeTint="80"/>
            </w:tcBorders>
            <w:shd w:val="clear" w:color="auto" w:fill="auto"/>
            <w:vAlign w:val="center"/>
          </w:tcPr>
          <w:p w14:paraId="394C87F5"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6 800</w:t>
            </w:r>
          </w:p>
        </w:tc>
      </w:tr>
    </w:tbl>
    <w:p w14:paraId="09A3896F" w14:textId="69F36933" w:rsidR="004678AB" w:rsidRPr="004678AB" w:rsidRDefault="004678AB" w:rsidP="004678AB">
      <w:pPr>
        <w:keepLines/>
        <w:spacing w:before="240" w:after="240" w:line="276" w:lineRule="auto"/>
        <w:rPr>
          <w:rFonts w:eastAsia="Times New Roman" w:cs="Times New Roman"/>
          <w:iCs/>
          <w:color w:val="FF0000"/>
          <w:szCs w:val="24"/>
          <w:lang w:eastAsia="cs-CZ"/>
        </w:rPr>
      </w:pPr>
      <w:r w:rsidRPr="004678AB">
        <w:rPr>
          <w:rFonts w:eastAsia="Times New Roman" w:cs="Times New Roman"/>
          <w:b/>
          <w:iCs/>
          <w:szCs w:val="24"/>
          <w:lang w:eastAsia="cs-CZ"/>
        </w:rPr>
        <w:t>Kapitálové výdaje</w:t>
      </w:r>
      <w:r w:rsidRPr="004678AB">
        <w:rPr>
          <w:rFonts w:eastAsia="Times New Roman" w:cs="Times New Roman"/>
          <w:iCs/>
          <w:szCs w:val="24"/>
          <w:lang w:eastAsia="cs-CZ"/>
        </w:rPr>
        <w:t xml:space="preserve"> ve výši </w:t>
      </w:r>
      <w:r w:rsidRPr="004678AB">
        <w:rPr>
          <w:rFonts w:eastAsia="Times New Roman" w:cs="Times New Roman"/>
          <w:b/>
          <w:iCs/>
          <w:szCs w:val="24"/>
          <w:lang w:eastAsia="cs-CZ"/>
        </w:rPr>
        <w:t>6 800</w:t>
      </w:r>
      <w:r w:rsidRPr="004678AB">
        <w:rPr>
          <w:rFonts w:eastAsia="Times New Roman" w:cs="Times New Roman"/>
          <w:b/>
          <w:bCs/>
          <w:iCs/>
          <w:szCs w:val="24"/>
          <w:lang w:eastAsia="cs-CZ"/>
        </w:rPr>
        <w:t xml:space="preserve"> tis. Kč </w:t>
      </w:r>
      <w:r w:rsidRPr="004678AB">
        <w:rPr>
          <w:rFonts w:eastAsia="Times New Roman" w:cs="Times New Roman"/>
          <w:iCs/>
          <w:szCs w:val="24"/>
          <w:lang w:eastAsia="cs-CZ"/>
        </w:rPr>
        <w:t xml:space="preserve">určené pro </w:t>
      </w:r>
      <w:r w:rsidRPr="004678AB">
        <w:rPr>
          <w:rFonts w:eastAsia="Times New Roman" w:cs="Times New Roman"/>
          <w:b/>
          <w:bCs/>
          <w:iCs/>
          <w:szCs w:val="24"/>
          <w:lang w:eastAsia="cs-CZ"/>
        </w:rPr>
        <w:t>Úřad pro civilní letectví</w:t>
      </w:r>
      <w:r w:rsidRPr="004678AB">
        <w:rPr>
          <w:rFonts w:eastAsia="Times New Roman" w:cs="Times New Roman"/>
          <w:iCs/>
          <w:szCs w:val="24"/>
          <w:lang w:eastAsia="cs-CZ"/>
        </w:rPr>
        <w:t xml:space="preserve"> v programu </w:t>
      </w:r>
      <w:r w:rsidRPr="004678AB">
        <w:rPr>
          <w:rFonts w:eastAsia="Times New Roman" w:cs="Times New Roman"/>
          <w:iCs/>
          <w:szCs w:val="24"/>
          <w:lang w:eastAsia="cs-CZ"/>
        </w:rPr>
        <w:br/>
        <w:t>127 07 budou použity 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ICT v celkové výši </w:t>
      </w:r>
      <w:r w:rsidRPr="004678AB">
        <w:rPr>
          <w:rFonts w:eastAsia="Times New Roman" w:cs="Times New Roman"/>
          <w:b/>
          <w:iCs/>
          <w:szCs w:val="24"/>
          <w:lang w:eastAsia="cs-CZ"/>
        </w:rPr>
        <w:t>5 000 tis. Kč</w:t>
      </w:r>
      <w:r w:rsidRPr="004678AB">
        <w:rPr>
          <w:rFonts w:eastAsia="Times New Roman" w:cs="Times New Roman"/>
          <w:iCs/>
          <w:szCs w:val="24"/>
          <w:lang w:eastAsia="cs-CZ"/>
        </w:rPr>
        <w:t xml:space="preserve">, z toho na obnovu výpočetní techniky (2 000 tis. Kč) a aktualizaci operačních systémů datových serverů (3 000 tis. Kč). Další výdaje jsou plánovány na obnovu materiálně technické základny v celkové výši </w:t>
      </w:r>
      <w:r w:rsidRPr="004678AB">
        <w:rPr>
          <w:rFonts w:eastAsia="Times New Roman" w:cs="Times New Roman"/>
          <w:iCs/>
          <w:szCs w:val="24"/>
          <w:lang w:eastAsia="cs-CZ"/>
        </w:rPr>
        <w:br/>
      </w:r>
      <w:r w:rsidRPr="004678AB">
        <w:rPr>
          <w:rFonts w:eastAsia="Times New Roman" w:cs="Times New Roman"/>
          <w:b/>
          <w:iCs/>
          <w:szCs w:val="24"/>
          <w:lang w:eastAsia="cs-CZ"/>
        </w:rPr>
        <w:t>1 800 tis. Kč</w:t>
      </w:r>
      <w:r w:rsidRPr="004678AB">
        <w:rPr>
          <w:rFonts w:eastAsia="Times New Roman" w:cs="Times New Roman"/>
          <w:iCs/>
          <w:szCs w:val="24"/>
          <w:lang w:eastAsia="cs-CZ"/>
        </w:rPr>
        <w:t xml:space="preserve">,  z toho na obnovu kancelářské techniky (300 tis. Kč) a na realizaci přípravných prací souvisejících s pořízením </w:t>
      </w:r>
      <w:proofErr w:type="spellStart"/>
      <w:r w:rsidRPr="004678AB">
        <w:rPr>
          <w:rFonts w:eastAsia="Times New Roman" w:cs="Times New Roman"/>
          <w:iCs/>
          <w:szCs w:val="24"/>
          <w:lang w:eastAsia="cs-CZ"/>
        </w:rPr>
        <w:t>fotovol</w:t>
      </w:r>
      <w:r w:rsidR="00826F3D">
        <w:rPr>
          <w:rFonts w:eastAsia="Times New Roman" w:cs="Times New Roman"/>
          <w:iCs/>
          <w:szCs w:val="24"/>
          <w:lang w:eastAsia="cs-CZ"/>
        </w:rPr>
        <w:t>t</w:t>
      </w:r>
      <w:r w:rsidRPr="004678AB">
        <w:rPr>
          <w:rFonts w:eastAsia="Times New Roman" w:cs="Times New Roman"/>
          <w:iCs/>
          <w:szCs w:val="24"/>
          <w:lang w:eastAsia="cs-CZ"/>
        </w:rPr>
        <w:t>aické</w:t>
      </w:r>
      <w:proofErr w:type="spellEnd"/>
      <w:r w:rsidRPr="004678AB">
        <w:rPr>
          <w:rFonts w:eastAsia="Times New Roman" w:cs="Times New Roman"/>
          <w:iCs/>
          <w:szCs w:val="24"/>
          <w:lang w:eastAsia="cs-CZ"/>
        </w:rPr>
        <w:t xml:space="preserve"> elektrárny (1 500 tis. Kč). </w:t>
      </w:r>
    </w:p>
    <w:p w14:paraId="61DC1F38" w14:textId="77777777" w:rsidR="004678AB" w:rsidRPr="004678AB" w:rsidRDefault="004678AB" w:rsidP="004678AB">
      <w:pPr>
        <w:spacing w:before="240" w:line="240" w:lineRule="auto"/>
        <w:rPr>
          <w:rFonts w:eastAsia="Times New Roman" w:cs="Times New Roman"/>
          <w:b/>
          <w:bCs/>
          <w:szCs w:val="24"/>
          <w:u w:val="single"/>
          <w:lang w:eastAsia="cs-CZ"/>
        </w:rPr>
      </w:pPr>
      <w:r w:rsidRPr="004678AB">
        <w:rPr>
          <w:rFonts w:eastAsia="Times New Roman" w:cs="Times New Roman"/>
          <w:b/>
          <w:bCs/>
          <w:szCs w:val="24"/>
          <w:u w:val="single"/>
          <w:lang w:eastAsia="cs-CZ"/>
        </w:rPr>
        <w:t>Státní plavební správa</w:t>
      </w:r>
    </w:p>
    <w:p w14:paraId="54A69483" w14:textId="0C87C68E" w:rsidR="004678AB" w:rsidRPr="004678AB" w:rsidRDefault="004678AB" w:rsidP="004678AB">
      <w:pPr>
        <w:keepNext/>
        <w:spacing w:before="120" w:after="120" w:line="240" w:lineRule="auto"/>
        <w:rPr>
          <w:rFonts w:eastAsia="Times New Roman" w:cs="Times New Roman"/>
          <w:b/>
          <w:bCs/>
          <w:noProof/>
          <w:sz w:val="20"/>
          <w:szCs w:val="20"/>
          <w:lang w:eastAsia="cs-CZ"/>
        </w:rPr>
      </w:pPr>
      <w:r w:rsidRPr="004678AB">
        <w:rPr>
          <w:rFonts w:eastAsia="Times New Roman" w:cs="Times New Roman"/>
          <w:b/>
          <w:bCs/>
          <w:sz w:val="20"/>
          <w:szCs w:val="20"/>
          <w:lang w:eastAsia="cs-CZ"/>
        </w:rPr>
        <w:t xml:space="preserve">Tabulka č. </w:t>
      </w:r>
      <w:r w:rsidR="00B3696F">
        <w:rPr>
          <w:rFonts w:eastAsia="Times New Roman" w:cs="Times New Roman"/>
          <w:b/>
          <w:bCs/>
          <w:noProof/>
          <w:sz w:val="20"/>
          <w:szCs w:val="20"/>
          <w:lang w:eastAsia="cs-CZ"/>
        </w:rPr>
        <w:t>32</w:t>
      </w:r>
      <w:r w:rsidRPr="004678AB">
        <w:rPr>
          <w:rFonts w:eastAsia="Times New Roman" w:cs="Times New Roman"/>
          <w:b/>
          <w:bCs/>
          <w:noProof/>
          <w:sz w:val="20"/>
          <w:szCs w:val="20"/>
          <w:lang w:eastAsia="cs-CZ"/>
        </w:rPr>
        <w:t xml:space="preserve"> Výdaje Státní plavební správy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4678AB" w:rsidRPr="004678AB" w14:paraId="36617F61" w14:textId="77777777" w:rsidTr="0011129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9C5862"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F76592"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Skutečnost</w:t>
            </w:r>
            <w:r w:rsidRPr="004678AB">
              <w:rPr>
                <w:rFonts w:eastAsia="Times New Roman" w:cs="Times New Roman"/>
                <w:b/>
                <w:bCs/>
                <w:lang w:eastAsia="cs-CZ"/>
              </w:rPr>
              <w:br/>
              <w:t xml:space="preserve"> 2021</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3004DD6"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Schválený rozpočet 2022</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B6BC46"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 xml:space="preserve">Návrh rozpočtu </w:t>
            </w:r>
            <w:r w:rsidRPr="004678AB">
              <w:rPr>
                <w:rFonts w:eastAsia="Times New Roman" w:cs="Times New Roman"/>
                <w:b/>
                <w:bCs/>
                <w:lang w:eastAsia="cs-CZ"/>
              </w:rPr>
              <w:br/>
              <w:t>2023</w:t>
            </w:r>
          </w:p>
        </w:tc>
      </w:tr>
      <w:tr w:rsidR="004678AB" w:rsidRPr="004678AB" w14:paraId="70387791" w14:textId="77777777" w:rsidTr="0011129C">
        <w:trPr>
          <w:trHeight w:val="50"/>
        </w:trPr>
        <w:tc>
          <w:tcPr>
            <w:tcW w:w="2263" w:type="dxa"/>
            <w:tcBorders>
              <w:bottom w:val="single" w:sz="8" w:space="0" w:color="7F7F7F" w:themeColor="text1" w:themeTint="80"/>
            </w:tcBorders>
            <w:shd w:val="clear" w:color="auto" w:fill="auto"/>
          </w:tcPr>
          <w:p w14:paraId="55607DAF" w14:textId="77777777" w:rsidR="004678AB" w:rsidRPr="004678AB" w:rsidRDefault="004678AB" w:rsidP="004678AB">
            <w:pPr>
              <w:jc w:val="center"/>
              <w:rPr>
                <w:rFonts w:eastAsia="Times New Roman" w:cs="Times New Roman"/>
                <w:lang w:eastAsia="cs-CZ"/>
              </w:rPr>
            </w:pPr>
            <w:r w:rsidRPr="004678AB">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71C28D6B"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8 035</w:t>
            </w:r>
          </w:p>
        </w:tc>
        <w:tc>
          <w:tcPr>
            <w:tcW w:w="2264" w:type="dxa"/>
            <w:tcBorders>
              <w:bottom w:val="single" w:sz="8" w:space="0" w:color="7F7F7F" w:themeColor="text1" w:themeTint="80"/>
            </w:tcBorders>
            <w:shd w:val="clear" w:color="auto" w:fill="auto"/>
            <w:vAlign w:val="center"/>
          </w:tcPr>
          <w:p w14:paraId="4FB842D2"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8 850</w:t>
            </w:r>
          </w:p>
        </w:tc>
        <w:tc>
          <w:tcPr>
            <w:tcW w:w="2257" w:type="dxa"/>
            <w:tcBorders>
              <w:bottom w:val="single" w:sz="8" w:space="0" w:color="7F7F7F" w:themeColor="text1" w:themeTint="80"/>
            </w:tcBorders>
            <w:shd w:val="clear" w:color="auto" w:fill="auto"/>
            <w:vAlign w:val="center"/>
          </w:tcPr>
          <w:p w14:paraId="6AE8635B"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r>
      <w:tr w:rsidR="004678AB" w:rsidRPr="004678AB" w14:paraId="41EF478E" w14:textId="77777777" w:rsidTr="0011129C">
        <w:trPr>
          <w:trHeight w:val="50"/>
        </w:trPr>
        <w:tc>
          <w:tcPr>
            <w:tcW w:w="2263" w:type="dxa"/>
            <w:tcBorders>
              <w:bottom w:val="single" w:sz="8" w:space="0" w:color="7F7F7F" w:themeColor="text1" w:themeTint="80"/>
            </w:tcBorders>
            <w:shd w:val="clear" w:color="auto" w:fill="auto"/>
          </w:tcPr>
          <w:p w14:paraId="414FE9E4" w14:textId="77777777" w:rsidR="004678AB" w:rsidRPr="004678AB" w:rsidRDefault="004678AB" w:rsidP="004678AB">
            <w:pPr>
              <w:jc w:val="center"/>
              <w:rPr>
                <w:rFonts w:eastAsia="Times New Roman" w:cs="Times New Roman"/>
                <w:iCs/>
                <w:lang w:eastAsia="cs-CZ"/>
              </w:rPr>
            </w:pPr>
            <w:r w:rsidRPr="004678AB">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31CC9F2E"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120368E7"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57" w:type="dxa"/>
            <w:tcBorders>
              <w:bottom w:val="single" w:sz="8" w:space="0" w:color="7F7F7F" w:themeColor="text1" w:themeTint="80"/>
            </w:tcBorders>
            <w:shd w:val="clear" w:color="auto" w:fill="auto"/>
            <w:vAlign w:val="center"/>
          </w:tcPr>
          <w:p w14:paraId="27DC1A72"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9 800</w:t>
            </w:r>
          </w:p>
        </w:tc>
      </w:tr>
      <w:tr w:rsidR="004678AB" w:rsidRPr="004678AB" w14:paraId="4D8F1545" w14:textId="77777777" w:rsidTr="0011129C">
        <w:tc>
          <w:tcPr>
            <w:tcW w:w="2263" w:type="dxa"/>
            <w:tcBorders>
              <w:top w:val="single" w:sz="8" w:space="0" w:color="7F7F7F" w:themeColor="text1" w:themeTint="80"/>
              <w:bottom w:val="single" w:sz="8" w:space="0" w:color="7F7F7F" w:themeColor="text1" w:themeTint="80"/>
            </w:tcBorders>
            <w:shd w:val="clear" w:color="auto" w:fill="auto"/>
          </w:tcPr>
          <w:p w14:paraId="1398D8A6" w14:textId="77777777" w:rsidR="004678AB" w:rsidRPr="004678AB" w:rsidRDefault="004678AB" w:rsidP="004678AB">
            <w:pPr>
              <w:jc w:val="center"/>
              <w:rPr>
                <w:rFonts w:eastAsia="Times New Roman" w:cs="Times New Roman"/>
                <w:iCs/>
                <w:color w:val="FF0000"/>
                <w:lang w:eastAsia="cs-CZ"/>
              </w:rPr>
            </w:pPr>
            <w:r w:rsidRPr="004678AB">
              <w:rPr>
                <w:rFonts w:eastAsia="Times New Roman" w:cs="Times New Roman"/>
                <w:b/>
                <w:b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69BC0569"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8 035</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6D287451"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8 850</w:t>
            </w:r>
          </w:p>
        </w:tc>
        <w:tc>
          <w:tcPr>
            <w:tcW w:w="2257" w:type="dxa"/>
            <w:tcBorders>
              <w:top w:val="single" w:sz="8" w:space="0" w:color="7F7F7F" w:themeColor="text1" w:themeTint="80"/>
              <w:bottom w:val="single" w:sz="8" w:space="0" w:color="7F7F7F" w:themeColor="text1" w:themeTint="80"/>
            </w:tcBorders>
            <w:shd w:val="clear" w:color="auto" w:fill="auto"/>
            <w:vAlign w:val="center"/>
          </w:tcPr>
          <w:p w14:paraId="44034C33"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9 800</w:t>
            </w:r>
          </w:p>
        </w:tc>
      </w:tr>
    </w:tbl>
    <w:p w14:paraId="052FE29E" w14:textId="3A17C72F" w:rsidR="004678AB" w:rsidRPr="004678AB" w:rsidRDefault="004678AB" w:rsidP="004678AB">
      <w:pPr>
        <w:keepLines/>
        <w:spacing w:before="240" w:after="240" w:line="276" w:lineRule="auto"/>
        <w:rPr>
          <w:rFonts w:eastAsia="Times New Roman" w:cs="Times New Roman"/>
          <w:iCs/>
          <w:color w:val="FF0000"/>
          <w:szCs w:val="24"/>
          <w:lang w:eastAsia="cs-CZ"/>
        </w:rPr>
      </w:pPr>
      <w:r w:rsidRPr="004678AB">
        <w:rPr>
          <w:rFonts w:eastAsia="Times New Roman" w:cs="Times New Roman"/>
          <w:b/>
          <w:iCs/>
          <w:szCs w:val="24"/>
          <w:lang w:eastAsia="cs-CZ"/>
        </w:rPr>
        <w:t>Kapitálové výdaje</w:t>
      </w:r>
      <w:r w:rsidRPr="004678AB">
        <w:rPr>
          <w:rFonts w:eastAsia="Times New Roman" w:cs="Times New Roman"/>
          <w:iCs/>
          <w:szCs w:val="24"/>
          <w:lang w:eastAsia="cs-CZ"/>
        </w:rPr>
        <w:t xml:space="preserve"> v programu 127 07 určené pro </w:t>
      </w:r>
      <w:r w:rsidRPr="004678AB">
        <w:rPr>
          <w:rFonts w:eastAsia="Times New Roman" w:cs="Times New Roman"/>
          <w:b/>
          <w:iCs/>
          <w:szCs w:val="24"/>
          <w:lang w:eastAsia="cs-CZ"/>
        </w:rPr>
        <w:t>Státní plavební správu</w:t>
      </w:r>
      <w:r w:rsidRPr="004678AB">
        <w:rPr>
          <w:rFonts w:eastAsia="Times New Roman" w:cs="Times New Roman"/>
          <w:iCs/>
          <w:szCs w:val="24"/>
          <w:lang w:eastAsia="cs-CZ"/>
        </w:rPr>
        <w:t xml:space="preserve"> v celkové výši </w:t>
      </w:r>
      <w:r w:rsidRPr="004678AB">
        <w:rPr>
          <w:rFonts w:eastAsia="Times New Roman" w:cs="Times New Roman"/>
          <w:iCs/>
          <w:szCs w:val="24"/>
          <w:lang w:eastAsia="cs-CZ"/>
        </w:rPr>
        <w:br/>
      </w:r>
      <w:r w:rsidRPr="004678AB">
        <w:rPr>
          <w:rFonts w:eastAsia="Times New Roman" w:cs="Times New Roman"/>
          <w:b/>
          <w:iCs/>
          <w:szCs w:val="24"/>
          <w:lang w:eastAsia="cs-CZ"/>
        </w:rPr>
        <w:t xml:space="preserve">9 800 tis. Kč </w:t>
      </w:r>
      <w:r w:rsidRPr="004678AB">
        <w:rPr>
          <w:rFonts w:eastAsia="Times New Roman" w:cs="Times New Roman"/>
          <w:iCs/>
          <w:szCs w:val="24"/>
          <w:lang w:eastAsia="cs-CZ"/>
        </w:rPr>
        <w:t>budou využity 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ICT v celkové výši </w:t>
      </w:r>
      <w:r w:rsidRPr="004678AB">
        <w:rPr>
          <w:rFonts w:eastAsia="Times New Roman" w:cs="Times New Roman"/>
          <w:b/>
          <w:iCs/>
          <w:szCs w:val="24"/>
          <w:lang w:eastAsia="cs-CZ"/>
        </w:rPr>
        <w:t xml:space="preserve"> 8 200 tis. Kč, </w:t>
      </w:r>
      <w:r w:rsidRPr="004678AB">
        <w:rPr>
          <w:rFonts w:eastAsia="Times New Roman" w:cs="Times New Roman"/>
          <w:iCs/>
          <w:szCs w:val="24"/>
          <w:lang w:eastAsia="cs-CZ"/>
        </w:rPr>
        <w:t xml:space="preserve">z toho na rozšiřování funkcionalit informačního systému organizace – např. digitalizace dokladů plavidel a průkazů způsobilosti (3 700 tis. Kč), na rozšiřování říčního informačního systému SPS s ohledem na zavádění změn daných legislativou (1 000 tis. Kč). Dále budou investovány prostředky na obnovu výpočetní techniky (1 800 tis. Kč),  na rozšíření funkcionalit národního </w:t>
      </w:r>
      <w:proofErr w:type="spellStart"/>
      <w:r w:rsidRPr="004678AB">
        <w:rPr>
          <w:rFonts w:eastAsia="Times New Roman" w:cs="Times New Roman"/>
          <w:iCs/>
          <w:szCs w:val="24"/>
          <w:lang w:eastAsia="cs-CZ"/>
        </w:rPr>
        <w:t>geoportálu</w:t>
      </w:r>
      <w:proofErr w:type="spellEnd"/>
      <w:r w:rsidRPr="004678AB">
        <w:rPr>
          <w:rFonts w:eastAsia="Times New Roman" w:cs="Times New Roman"/>
          <w:iCs/>
          <w:szCs w:val="24"/>
          <w:lang w:eastAsia="cs-CZ"/>
        </w:rPr>
        <w:t xml:space="preserve"> plavebních map (600 tis. Kč) a na pořízení softwaru „síťová sonda“ pro podporu kybernetické bezpečnosti (100 tis. Kč). Další část kapitálových výdajů je vyčleněna na tvorbu vzdělávacích programů pro školy ve formě učebních a pracovních materiálů zaměřených na bezpečnost plavby (1 000 tis. Kč). 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materiálně technické základny organizace jsou předpokládány výdaje </w:t>
      </w:r>
      <w:r w:rsidRPr="004678AB">
        <w:rPr>
          <w:rFonts w:eastAsia="Times New Roman" w:cs="Times New Roman"/>
          <w:b/>
          <w:iCs/>
          <w:szCs w:val="24"/>
          <w:lang w:eastAsia="cs-CZ"/>
        </w:rPr>
        <w:t xml:space="preserve">1 600 tis. Kč </w:t>
      </w:r>
      <w:r w:rsidRPr="004678AB">
        <w:rPr>
          <w:rFonts w:eastAsia="Times New Roman" w:cs="Times New Roman"/>
          <w:iCs/>
          <w:szCs w:val="24"/>
          <w:lang w:eastAsia="cs-CZ"/>
        </w:rPr>
        <w:t xml:space="preserve"> na obnovu kancelářské techniky a vybavení.</w:t>
      </w:r>
    </w:p>
    <w:p w14:paraId="1915861E" w14:textId="77777777" w:rsidR="004678AB" w:rsidRPr="004678AB" w:rsidRDefault="004678AB" w:rsidP="004678AB">
      <w:pPr>
        <w:keepNext/>
        <w:tabs>
          <w:tab w:val="left" w:pos="708"/>
        </w:tabs>
        <w:spacing w:before="160" w:line="240" w:lineRule="auto"/>
        <w:outlineLvl w:val="3"/>
        <w:rPr>
          <w:rFonts w:eastAsia="Times New Roman" w:cs="Times New Roman"/>
          <w:b/>
          <w:szCs w:val="24"/>
          <w:u w:val="single"/>
          <w:lang w:eastAsia="cs-CZ"/>
        </w:rPr>
      </w:pPr>
      <w:r w:rsidRPr="004678AB">
        <w:rPr>
          <w:rFonts w:eastAsia="Times New Roman" w:cs="Times New Roman"/>
          <w:b/>
          <w:szCs w:val="24"/>
          <w:u w:val="single"/>
          <w:lang w:eastAsia="cs-CZ"/>
        </w:rPr>
        <w:t>Drážní úřad</w:t>
      </w:r>
    </w:p>
    <w:p w14:paraId="69C6E1A5" w14:textId="512234B3" w:rsidR="004678AB" w:rsidRPr="004678AB" w:rsidRDefault="004678AB" w:rsidP="004678AB">
      <w:pPr>
        <w:keepNext/>
        <w:spacing w:before="120" w:after="120" w:line="240" w:lineRule="auto"/>
        <w:rPr>
          <w:rFonts w:eastAsia="Times New Roman" w:cs="Times New Roman"/>
          <w:b/>
          <w:bCs/>
          <w:noProof/>
          <w:color w:val="FF0000"/>
          <w:sz w:val="20"/>
          <w:szCs w:val="20"/>
          <w:lang w:eastAsia="cs-CZ"/>
        </w:rPr>
      </w:pPr>
      <w:r w:rsidRPr="004678AB">
        <w:rPr>
          <w:rFonts w:eastAsia="Times New Roman" w:cs="Times New Roman"/>
          <w:b/>
          <w:bCs/>
          <w:sz w:val="20"/>
          <w:szCs w:val="20"/>
          <w:lang w:eastAsia="cs-CZ"/>
        </w:rPr>
        <w:t xml:space="preserve">Tabulka č. </w:t>
      </w:r>
      <w:r w:rsidR="00B3696F">
        <w:rPr>
          <w:rFonts w:eastAsia="Times New Roman" w:cs="Times New Roman"/>
          <w:b/>
          <w:bCs/>
          <w:noProof/>
          <w:sz w:val="20"/>
          <w:szCs w:val="20"/>
          <w:lang w:eastAsia="cs-CZ"/>
        </w:rPr>
        <w:t>33</w:t>
      </w:r>
      <w:r w:rsidRPr="004678AB">
        <w:rPr>
          <w:rFonts w:eastAsia="Times New Roman" w:cs="Times New Roman"/>
          <w:b/>
          <w:bCs/>
          <w:noProof/>
          <w:sz w:val="20"/>
          <w:szCs w:val="20"/>
          <w:lang w:eastAsia="cs-CZ"/>
        </w:rPr>
        <w:t xml:space="preserve"> Výdaje Drážního úřadu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4678AB" w:rsidRPr="004678AB" w14:paraId="074A9F4B" w14:textId="77777777" w:rsidTr="0011129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CB725A"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0EEA064"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 xml:space="preserve">Skutečnost </w:t>
            </w:r>
            <w:r w:rsidRPr="004678AB">
              <w:rPr>
                <w:rFonts w:eastAsia="Times New Roman" w:cs="Times New Roman"/>
                <w:b/>
                <w:bCs/>
                <w:lang w:eastAsia="cs-CZ"/>
              </w:rPr>
              <w:br/>
              <w:t>2021</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8BF0EB"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Schválený rozpočet 2022</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CA66A59"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Návrh rozpočtu</w:t>
            </w:r>
            <w:r w:rsidRPr="004678AB">
              <w:rPr>
                <w:rFonts w:eastAsia="Times New Roman" w:cs="Times New Roman"/>
                <w:b/>
                <w:bCs/>
                <w:lang w:eastAsia="cs-CZ"/>
              </w:rPr>
              <w:br/>
              <w:t xml:space="preserve"> 2023</w:t>
            </w:r>
          </w:p>
        </w:tc>
      </w:tr>
      <w:tr w:rsidR="004678AB" w:rsidRPr="004678AB" w14:paraId="79995B50" w14:textId="77777777" w:rsidTr="0011129C">
        <w:tc>
          <w:tcPr>
            <w:tcW w:w="2264" w:type="dxa"/>
            <w:tcBorders>
              <w:bottom w:val="single" w:sz="8" w:space="0" w:color="7F7F7F" w:themeColor="text1" w:themeTint="80"/>
            </w:tcBorders>
            <w:shd w:val="clear" w:color="auto" w:fill="auto"/>
          </w:tcPr>
          <w:p w14:paraId="54CDB43F"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127 03</w:t>
            </w:r>
          </w:p>
        </w:tc>
        <w:tc>
          <w:tcPr>
            <w:tcW w:w="2266" w:type="dxa"/>
            <w:tcBorders>
              <w:bottom w:val="single" w:sz="8" w:space="0" w:color="7F7F7F" w:themeColor="text1" w:themeTint="80"/>
            </w:tcBorders>
            <w:shd w:val="clear" w:color="auto" w:fill="auto"/>
            <w:vAlign w:val="center"/>
          </w:tcPr>
          <w:p w14:paraId="7288B0F9"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1 289</w:t>
            </w:r>
          </w:p>
        </w:tc>
        <w:tc>
          <w:tcPr>
            <w:tcW w:w="2264" w:type="dxa"/>
            <w:tcBorders>
              <w:bottom w:val="single" w:sz="8" w:space="0" w:color="7F7F7F" w:themeColor="text1" w:themeTint="80"/>
            </w:tcBorders>
            <w:shd w:val="clear" w:color="auto" w:fill="auto"/>
            <w:vAlign w:val="center"/>
          </w:tcPr>
          <w:p w14:paraId="00FA235E"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3 100</w:t>
            </w:r>
          </w:p>
        </w:tc>
        <w:tc>
          <w:tcPr>
            <w:tcW w:w="2258" w:type="dxa"/>
            <w:tcBorders>
              <w:bottom w:val="single" w:sz="8" w:space="0" w:color="7F7F7F" w:themeColor="text1" w:themeTint="80"/>
            </w:tcBorders>
            <w:shd w:val="clear" w:color="auto" w:fill="auto"/>
            <w:vAlign w:val="center"/>
          </w:tcPr>
          <w:p w14:paraId="172B77A3"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r>
      <w:tr w:rsidR="004678AB" w:rsidRPr="004678AB" w14:paraId="275E20DC" w14:textId="77777777" w:rsidTr="0011129C">
        <w:tc>
          <w:tcPr>
            <w:tcW w:w="2264" w:type="dxa"/>
            <w:tcBorders>
              <w:bottom w:val="single" w:sz="8" w:space="0" w:color="7F7F7F" w:themeColor="text1" w:themeTint="80"/>
            </w:tcBorders>
            <w:shd w:val="clear" w:color="auto" w:fill="auto"/>
          </w:tcPr>
          <w:p w14:paraId="0B511320"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127 07</w:t>
            </w:r>
          </w:p>
        </w:tc>
        <w:tc>
          <w:tcPr>
            <w:tcW w:w="2266" w:type="dxa"/>
            <w:tcBorders>
              <w:bottom w:val="single" w:sz="8" w:space="0" w:color="7F7F7F" w:themeColor="text1" w:themeTint="80"/>
            </w:tcBorders>
            <w:shd w:val="clear" w:color="auto" w:fill="auto"/>
            <w:vAlign w:val="center"/>
          </w:tcPr>
          <w:p w14:paraId="405762A8"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64" w:type="dxa"/>
            <w:tcBorders>
              <w:bottom w:val="single" w:sz="8" w:space="0" w:color="7F7F7F" w:themeColor="text1" w:themeTint="80"/>
            </w:tcBorders>
            <w:shd w:val="clear" w:color="auto" w:fill="auto"/>
            <w:vAlign w:val="center"/>
          </w:tcPr>
          <w:p w14:paraId="73708B10"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3F93E251"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800</w:t>
            </w:r>
          </w:p>
        </w:tc>
      </w:tr>
      <w:tr w:rsidR="004678AB" w:rsidRPr="004678AB" w14:paraId="2FE6E2FC" w14:textId="77777777" w:rsidTr="0011129C">
        <w:tc>
          <w:tcPr>
            <w:tcW w:w="2264" w:type="dxa"/>
            <w:tcBorders>
              <w:top w:val="single" w:sz="8" w:space="0" w:color="7F7F7F" w:themeColor="text1" w:themeTint="80"/>
              <w:bottom w:val="single" w:sz="8" w:space="0" w:color="7F7F7F" w:themeColor="text1" w:themeTint="80"/>
            </w:tcBorders>
            <w:shd w:val="clear" w:color="auto" w:fill="auto"/>
          </w:tcPr>
          <w:p w14:paraId="611F4CD2"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08D2F746"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1 289</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2064E9E2"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3 100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5A6D5872"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800</w:t>
            </w:r>
          </w:p>
        </w:tc>
      </w:tr>
    </w:tbl>
    <w:p w14:paraId="479EA1A8" w14:textId="0853BBA2" w:rsidR="004678AB" w:rsidRPr="004678AB" w:rsidRDefault="004678AB" w:rsidP="004678AB">
      <w:pPr>
        <w:keepLines/>
        <w:spacing w:before="240" w:after="240" w:line="276" w:lineRule="auto"/>
        <w:rPr>
          <w:rFonts w:eastAsia="Times New Roman" w:cs="Times New Roman"/>
          <w:iCs/>
          <w:color w:val="FF0000"/>
          <w:szCs w:val="24"/>
          <w:lang w:eastAsia="cs-CZ"/>
        </w:rPr>
      </w:pPr>
      <w:r w:rsidRPr="004678AB">
        <w:rPr>
          <w:rFonts w:eastAsia="Times New Roman" w:cs="Times New Roman"/>
          <w:iCs/>
          <w:szCs w:val="24"/>
          <w:lang w:eastAsia="cs-CZ"/>
        </w:rPr>
        <w:t xml:space="preserve">V navrženém objemu výdajů pro </w:t>
      </w:r>
      <w:r w:rsidRPr="004678AB">
        <w:rPr>
          <w:rFonts w:eastAsia="Times New Roman" w:cs="Times New Roman"/>
          <w:b/>
          <w:bCs/>
          <w:iCs/>
          <w:szCs w:val="24"/>
          <w:lang w:eastAsia="cs-CZ"/>
        </w:rPr>
        <w:t>Drážní úřad</w:t>
      </w:r>
      <w:r w:rsidRPr="004678AB">
        <w:rPr>
          <w:rFonts w:eastAsia="Times New Roman" w:cs="Times New Roman"/>
          <w:iCs/>
          <w:szCs w:val="24"/>
          <w:lang w:eastAsia="cs-CZ"/>
        </w:rPr>
        <w:t xml:space="preserve"> jsou v programu 127 07 zahrnuty </w:t>
      </w:r>
      <w:r w:rsidRPr="004678AB">
        <w:rPr>
          <w:rFonts w:eastAsia="Times New Roman" w:cs="Times New Roman"/>
          <w:b/>
          <w:iCs/>
          <w:szCs w:val="24"/>
          <w:lang w:eastAsia="cs-CZ"/>
        </w:rPr>
        <w:t>kapitálové výdaje</w:t>
      </w:r>
      <w:r w:rsidRPr="004678AB">
        <w:rPr>
          <w:rFonts w:eastAsia="Times New Roman" w:cs="Times New Roman"/>
          <w:iCs/>
          <w:szCs w:val="24"/>
          <w:lang w:eastAsia="cs-CZ"/>
        </w:rPr>
        <w:t xml:space="preserve"> v celkové výši </w:t>
      </w:r>
      <w:r w:rsidRPr="004678AB">
        <w:rPr>
          <w:rFonts w:eastAsia="Times New Roman" w:cs="Times New Roman"/>
          <w:b/>
          <w:iCs/>
          <w:szCs w:val="24"/>
          <w:lang w:eastAsia="cs-CZ"/>
        </w:rPr>
        <w:t xml:space="preserve">800 tis. Kč. </w:t>
      </w:r>
      <w:r w:rsidRPr="004678AB">
        <w:rPr>
          <w:rFonts w:eastAsia="Times New Roman" w:cs="Times New Roman"/>
          <w:iCs/>
          <w:szCs w:val="24"/>
          <w:lang w:eastAsia="cs-CZ"/>
        </w:rPr>
        <w:t>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ICT budou využity investiční prostředky ve výši </w:t>
      </w:r>
      <w:r w:rsidRPr="004678AB">
        <w:rPr>
          <w:rFonts w:eastAsia="Times New Roman" w:cs="Times New Roman"/>
          <w:b/>
          <w:iCs/>
          <w:szCs w:val="24"/>
          <w:lang w:eastAsia="cs-CZ"/>
        </w:rPr>
        <w:t>700 tis. Kč</w:t>
      </w:r>
      <w:r w:rsidRPr="004678AB">
        <w:rPr>
          <w:rFonts w:eastAsia="Times New Roman" w:cs="Times New Roman"/>
          <w:iCs/>
          <w:szCs w:val="24"/>
          <w:lang w:eastAsia="cs-CZ"/>
        </w:rPr>
        <w:t>, z toho na obnovu programového vybavení organizace (500 tis. Kč) a obnovu výpočetní techniky (200 tis. Kč). 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materiálně technické základny organizace budou vyčleněny investice ve výši </w:t>
      </w:r>
      <w:r w:rsidR="00826F3D">
        <w:rPr>
          <w:rFonts w:eastAsia="Times New Roman" w:cs="Times New Roman"/>
          <w:b/>
          <w:iCs/>
          <w:szCs w:val="24"/>
          <w:lang w:eastAsia="cs-CZ"/>
        </w:rPr>
        <w:t>1</w:t>
      </w:r>
      <w:r w:rsidRPr="004678AB">
        <w:rPr>
          <w:rFonts w:eastAsia="Times New Roman" w:cs="Times New Roman"/>
          <w:b/>
          <w:iCs/>
          <w:szCs w:val="24"/>
          <w:lang w:eastAsia="cs-CZ"/>
        </w:rPr>
        <w:t>00 tis. Kč</w:t>
      </w:r>
      <w:r w:rsidRPr="004678AB">
        <w:rPr>
          <w:rFonts w:eastAsia="Times New Roman" w:cs="Times New Roman"/>
          <w:iCs/>
          <w:szCs w:val="24"/>
          <w:lang w:eastAsia="cs-CZ"/>
        </w:rPr>
        <w:t xml:space="preserve"> na obnovu multifunkčního kopírovacího stroje.  </w:t>
      </w:r>
    </w:p>
    <w:p w14:paraId="2BAC8825" w14:textId="77777777" w:rsidR="004678AB" w:rsidRPr="004678AB" w:rsidRDefault="004678AB" w:rsidP="004678AB">
      <w:pPr>
        <w:spacing w:before="240" w:line="240" w:lineRule="auto"/>
        <w:rPr>
          <w:rFonts w:eastAsia="Times New Roman" w:cs="Times New Roman"/>
          <w:b/>
          <w:bCs/>
          <w:szCs w:val="24"/>
          <w:u w:val="single"/>
          <w:lang w:eastAsia="cs-CZ"/>
        </w:rPr>
      </w:pPr>
      <w:r w:rsidRPr="004678AB">
        <w:rPr>
          <w:rFonts w:eastAsia="Times New Roman" w:cs="Times New Roman"/>
          <w:b/>
          <w:bCs/>
          <w:szCs w:val="24"/>
          <w:u w:val="single"/>
          <w:lang w:eastAsia="cs-CZ"/>
        </w:rPr>
        <w:t>Drážní inspekce</w:t>
      </w:r>
    </w:p>
    <w:p w14:paraId="14EFAC51" w14:textId="0C0FAF82" w:rsidR="004678AB" w:rsidRPr="004678AB" w:rsidRDefault="004678AB" w:rsidP="004678AB">
      <w:pPr>
        <w:keepNext/>
        <w:spacing w:before="120" w:after="120" w:line="240" w:lineRule="auto"/>
        <w:rPr>
          <w:rFonts w:eastAsia="Times New Roman" w:cs="Times New Roman"/>
          <w:b/>
          <w:bCs/>
          <w:noProof/>
          <w:sz w:val="20"/>
          <w:szCs w:val="20"/>
          <w:lang w:eastAsia="cs-CZ"/>
        </w:rPr>
      </w:pPr>
      <w:r w:rsidRPr="004678AB">
        <w:rPr>
          <w:rFonts w:eastAsia="Times New Roman" w:cs="Times New Roman"/>
          <w:b/>
          <w:bCs/>
          <w:sz w:val="20"/>
          <w:szCs w:val="20"/>
          <w:lang w:eastAsia="cs-CZ"/>
        </w:rPr>
        <w:t xml:space="preserve">Tabulka č. </w:t>
      </w:r>
      <w:r w:rsidRPr="004678AB">
        <w:rPr>
          <w:rFonts w:eastAsia="Times New Roman" w:cs="Times New Roman"/>
          <w:b/>
          <w:bCs/>
          <w:noProof/>
          <w:sz w:val="20"/>
          <w:szCs w:val="20"/>
          <w:lang w:eastAsia="cs-CZ"/>
        </w:rPr>
        <w:fldChar w:fldCharType="begin"/>
      </w:r>
      <w:r w:rsidRPr="004678AB">
        <w:rPr>
          <w:rFonts w:eastAsia="Times New Roman" w:cs="Times New Roman"/>
          <w:b/>
          <w:bCs/>
          <w:noProof/>
          <w:sz w:val="20"/>
          <w:szCs w:val="20"/>
          <w:lang w:eastAsia="cs-CZ"/>
        </w:rPr>
        <w:instrText xml:space="preserve"> SEQ Tabulka \* ARABIC </w:instrText>
      </w:r>
      <w:r w:rsidRPr="004678AB">
        <w:rPr>
          <w:rFonts w:eastAsia="Times New Roman" w:cs="Times New Roman"/>
          <w:b/>
          <w:bCs/>
          <w:noProof/>
          <w:sz w:val="20"/>
          <w:szCs w:val="20"/>
          <w:lang w:eastAsia="cs-CZ"/>
        </w:rPr>
        <w:fldChar w:fldCharType="separate"/>
      </w:r>
      <w:r w:rsidR="00F80947">
        <w:rPr>
          <w:rFonts w:eastAsia="Times New Roman" w:cs="Times New Roman"/>
          <w:b/>
          <w:bCs/>
          <w:noProof/>
          <w:sz w:val="20"/>
          <w:szCs w:val="20"/>
          <w:lang w:eastAsia="cs-CZ"/>
        </w:rPr>
        <w:t>29</w:t>
      </w:r>
      <w:r w:rsidRPr="004678AB">
        <w:rPr>
          <w:rFonts w:eastAsia="Times New Roman" w:cs="Times New Roman"/>
          <w:b/>
          <w:bCs/>
          <w:noProof/>
          <w:sz w:val="20"/>
          <w:szCs w:val="20"/>
          <w:lang w:eastAsia="cs-CZ"/>
        </w:rPr>
        <w:fldChar w:fldCharType="end"/>
      </w:r>
      <w:r w:rsidR="00B3696F">
        <w:rPr>
          <w:rFonts w:eastAsia="Times New Roman" w:cs="Times New Roman"/>
          <w:b/>
          <w:bCs/>
          <w:noProof/>
          <w:sz w:val="20"/>
          <w:szCs w:val="20"/>
          <w:lang w:eastAsia="cs-CZ"/>
        </w:rPr>
        <w:t>4</w:t>
      </w:r>
      <w:r w:rsidRPr="004678AB">
        <w:rPr>
          <w:rFonts w:eastAsia="Times New Roman" w:cs="Times New Roman"/>
          <w:b/>
          <w:bCs/>
          <w:noProof/>
          <w:sz w:val="20"/>
          <w:szCs w:val="20"/>
          <w:lang w:eastAsia="cs-CZ"/>
        </w:rPr>
        <w:t xml:space="preserve"> Výdaje Drážní inspekce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2549"/>
        <w:gridCol w:w="1133"/>
        <w:gridCol w:w="842"/>
        <w:gridCol w:w="1133"/>
        <w:gridCol w:w="1135"/>
        <w:gridCol w:w="1133"/>
        <w:gridCol w:w="1126"/>
      </w:tblGrid>
      <w:tr w:rsidR="004678AB" w:rsidRPr="004678AB" w14:paraId="394AE1E7" w14:textId="77777777" w:rsidTr="0011129C">
        <w:tc>
          <w:tcPr>
            <w:tcW w:w="1408"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9B24DBB" w14:textId="77777777" w:rsidR="004678AB" w:rsidRPr="004678AB" w:rsidRDefault="004678AB" w:rsidP="004678AB">
            <w:pPr>
              <w:jc w:val="center"/>
              <w:rPr>
                <w:rFonts w:eastAsia="Times New Roman" w:cs="Times New Roman"/>
                <w:b/>
                <w:bCs/>
                <w:color w:val="FF0000"/>
                <w:lang w:eastAsia="cs-CZ"/>
              </w:rPr>
            </w:pPr>
            <w:r w:rsidRPr="004678AB">
              <w:rPr>
                <w:rFonts w:eastAsia="Times New Roman" w:cs="Times New Roman"/>
                <w:b/>
                <w:bCs/>
                <w:lang w:eastAsia="cs-CZ"/>
              </w:rPr>
              <w:t>Číslo programu</w:t>
            </w:r>
          </w:p>
        </w:tc>
        <w:tc>
          <w:tcPr>
            <w:tcW w:w="109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5CE283"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Skutečnost 2021</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E6AA4C9"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Schválený rozpočet 2022</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C40B41F"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Návrh rozpočtu 2023</w:t>
            </w:r>
          </w:p>
        </w:tc>
      </w:tr>
      <w:tr w:rsidR="004678AB" w:rsidRPr="004678AB" w14:paraId="1689FECB" w14:textId="77777777" w:rsidTr="0011129C">
        <w:trPr>
          <w:trHeight w:val="907"/>
        </w:trPr>
        <w:tc>
          <w:tcPr>
            <w:tcW w:w="1408"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8C93031" w14:textId="77777777" w:rsidR="004678AB" w:rsidRPr="004678AB" w:rsidRDefault="004678AB" w:rsidP="004678AB">
            <w:pPr>
              <w:rPr>
                <w:rFonts w:eastAsia="Times New Roman" w:cs="Times New Roman"/>
                <w:color w:val="FF0000"/>
                <w:lang w:eastAsia="cs-CZ"/>
              </w:rPr>
            </w:pP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94A700A"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SR</w:t>
            </w:r>
          </w:p>
        </w:tc>
        <w:tc>
          <w:tcPr>
            <w:tcW w:w="46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7B8F7DE"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E09B704"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SR</w:t>
            </w: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5BF1D92"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FDE5377"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SR</w:t>
            </w:r>
          </w:p>
        </w:tc>
        <w:tc>
          <w:tcPr>
            <w:tcW w:w="62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F34C583" w14:textId="77777777" w:rsidR="004678AB" w:rsidRPr="004678AB" w:rsidRDefault="004678AB" w:rsidP="004678AB">
            <w:pPr>
              <w:jc w:val="center"/>
              <w:rPr>
                <w:rFonts w:eastAsia="Times New Roman" w:cs="Times New Roman"/>
                <w:b/>
                <w:lang w:eastAsia="cs-CZ"/>
              </w:rPr>
            </w:pPr>
            <w:r w:rsidRPr="004678AB">
              <w:rPr>
                <w:rFonts w:eastAsia="Times New Roman" w:cs="Times New Roman"/>
                <w:b/>
                <w:lang w:eastAsia="cs-CZ"/>
              </w:rPr>
              <w:t>EU</w:t>
            </w:r>
          </w:p>
        </w:tc>
      </w:tr>
      <w:tr w:rsidR="004678AB" w:rsidRPr="004678AB" w14:paraId="515A88EC" w14:textId="77777777" w:rsidTr="0011129C">
        <w:tc>
          <w:tcPr>
            <w:tcW w:w="1408" w:type="pct"/>
            <w:tcBorders>
              <w:top w:val="single" w:sz="4" w:space="0" w:color="7F7F7F" w:themeColor="text1" w:themeTint="80"/>
              <w:bottom w:val="nil"/>
            </w:tcBorders>
            <w:shd w:val="clear" w:color="auto" w:fill="auto"/>
          </w:tcPr>
          <w:p w14:paraId="4700812C"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127 03</w:t>
            </w:r>
          </w:p>
        </w:tc>
        <w:tc>
          <w:tcPr>
            <w:tcW w:w="626" w:type="pct"/>
            <w:tcBorders>
              <w:top w:val="single" w:sz="4" w:space="0" w:color="7F7F7F" w:themeColor="text1" w:themeTint="80"/>
              <w:bottom w:val="nil"/>
            </w:tcBorders>
            <w:shd w:val="clear" w:color="auto" w:fill="auto"/>
            <w:vAlign w:val="center"/>
          </w:tcPr>
          <w:p w14:paraId="79683D23"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 xml:space="preserve">32 </w:t>
            </w:r>
          </w:p>
        </w:tc>
        <w:tc>
          <w:tcPr>
            <w:tcW w:w="465" w:type="pct"/>
            <w:tcBorders>
              <w:top w:val="single" w:sz="4" w:space="0" w:color="7F7F7F" w:themeColor="text1" w:themeTint="80"/>
              <w:bottom w:val="nil"/>
            </w:tcBorders>
            <w:shd w:val="clear" w:color="auto" w:fill="auto"/>
            <w:vAlign w:val="center"/>
          </w:tcPr>
          <w:p w14:paraId="2EFE64D9"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138</w:t>
            </w:r>
          </w:p>
        </w:tc>
        <w:tc>
          <w:tcPr>
            <w:tcW w:w="626" w:type="pct"/>
            <w:tcBorders>
              <w:top w:val="single" w:sz="4" w:space="0" w:color="7F7F7F" w:themeColor="text1" w:themeTint="80"/>
              <w:bottom w:val="nil"/>
            </w:tcBorders>
            <w:shd w:val="clear" w:color="auto" w:fill="auto"/>
            <w:vAlign w:val="center"/>
          </w:tcPr>
          <w:p w14:paraId="706F997E"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960</w:t>
            </w:r>
          </w:p>
        </w:tc>
        <w:tc>
          <w:tcPr>
            <w:tcW w:w="627" w:type="pct"/>
            <w:tcBorders>
              <w:top w:val="single" w:sz="4" w:space="0" w:color="7F7F7F" w:themeColor="text1" w:themeTint="80"/>
              <w:bottom w:val="nil"/>
            </w:tcBorders>
            <w:shd w:val="clear" w:color="auto" w:fill="auto"/>
            <w:vAlign w:val="center"/>
          </w:tcPr>
          <w:p w14:paraId="04606D9D"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3 425</w:t>
            </w:r>
          </w:p>
        </w:tc>
        <w:tc>
          <w:tcPr>
            <w:tcW w:w="626" w:type="pct"/>
            <w:tcBorders>
              <w:top w:val="single" w:sz="4" w:space="0" w:color="7F7F7F" w:themeColor="text1" w:themeTint="80"/>
              <w:bottom w:val="nil"/>
            </w:tcBorders>
            <w:shd w:val="clear" w:color="auto" w:fill="auto"/>
            <w:vAlign w:val="center"/>
          </w:tcPr>
          <w:p w14:paraId="0259D6D0"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1" w:type="pct"/>
            <w:tcBorders>
              <w:top w:val="single" w:sz="4" w:space="0" w:color="7F7F7F" w:themeColor="text1" w:themeTint="80"/>
              <w:bottom w:val="nil"/>
            </w:tcBorders>
            <w:shd w:val="clear" w:color="auto" w:fill="auto"/>
            <w:vAlign w:val="center"/>
          </w:tcPr>
          <w:p w14:paraId="4B929492"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r>
      <w:tr w:rsidR="004678AB" w:rsidRPr="004678AB" w14:paraId="12A8103C" w14:textId="77777777" w:rsidTr="0011129C">
        <w:tc>
          <w:tcPr>
            <w:tcW w:w="1408" w:type="pct"/>
            <w:tcBorders>
              <w:top w:val="single" w:sz="4" w:space="0" w:color="7F7F7F" w:themeColor="text1" w:themeTint="80"/>
              <w:bottom w:val="nil"/>
            </w:tcBorders>
            <w:shd w:val="clear" w:color="auto" w:fill="auto"/>
          </w:tcPr>
          <w:p w14:paraId="19439516" w14:textId="77777777" w:rsidR="004678AB" w:rsidRPr="004678AB" w:rsidRDefault="004678AB" w:rsidP="004678AB">
            <w:pPr>
              <w:jc w:val="center"/>
              <w:rPr>
                <w:rFonts w:eastAsia="Times New Roman" w:cs="Times New Roman"/>
                <w:lang w:eastAsia="cs-CZ"/>
              </w:rPr>
            </w:pPr>
            <w:r w:rsidRPr="004678AB">
              <w:rPr>
                <w:rFonts w:eastAsia="Times New Roman" w:cs="Times New Roman"/>
                <w:lang w:eastAsia="cs-CZ"/>
              </w:rPr>
              <w:t>127 07</w:t>
            </w:r>
          </w:p>
        </w:tc>
        <w:tc>
          <w:tcPr>
            <w:tcW w:w="626" w:type="pct"/>
            <w:tcBorders>
              <w:top w:val="single" w:sz="4" w:space="0" w:color="7F7F7F" w:themeColor="text1" w:themeTint="80"/>
              <w:bottom w:val="nil"/>
            </w:tcBorders>
            <w:shd w:val="clear" w:color="auto" w:fill="auto"/>
            <w:vAlign w:val="center"/>
          </w:tcPr>
          <w:p w14:paraId="50BB2E2E"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465" w:type="pct"/>
            <w:tcBorders>
              <w:top w:val="single" w:sz="4" w:space="0" w:color="7F7F7F" w:themeColor="text1" w:themeTint="80"/>
              <w:bottom w:val="nil"/>
            </w:tcBorders>
            <w:shd w:val="clear" w:color="auto" w:fill="auto"/>
            <w:vAlign w:val="center"/>
          </w:tcPr>
          <w:p w14:paraId="37E7759A"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45975515"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7" w:type="pct"/>
            <w:tcBorders>
              <w:top w:val="single" w:sz="4" w:space="0" w:color="7F7F7F" w:themeColor="text1" w:themeTint="80"/>
              <w:bottom w:val="nil"/>
            </w:tcBorders>
            <w:shd w:val="clear" w:color="auto" w:fill="auto"/>
            <w:vAlign w:val="center"/>
          </w:tcPr>
          <w:p w14:paraId="59A7F30D"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6" w:type="pct"/>
            <w:tcBorders>
              <w:top w:val="single" w:sz="4" w:space="0" w:color="7F7F7F" w:themeColor="text1" w:themeTint="80"/>
              <w:bottom w:val="nil"/>
            </w:tcBorders>
            <w:shd w:val="clear" w:color="auto" w:fill="auto"/>
            <w:vAlign w:val="center"/>
          </w:tcPr>
          <w:p w14:paraId="1B240D32"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c>
          <w:tcPr>
            <w:tcW w:w="621" w:type="pct"/>
            <w:tcBorders>
              <w:top w:val="single" w:sz="4" w:space="0" w:color="7F7F7F" w:themeColor="text1" w:themeTint="80"/>
              <w:bottom w:val="nil"/>
            </w:tcBorders>
            <w:shd w:val="clear" w:color="auto" w:fill="auto"/>
            <w:vAlign w:val="center"/>
          </w:tcPr>
          <w:p w14:paraId="511AF7FA" w14:textId="77777777" w:rsidR="004678AB" w:rsidRPr="004678AB" w:rsidRDefault="004678AB" w:rsidP="004678AB">
            <w:pPr>
              <w:jc w:val="right"/>
              <w:rPr>
                <w:rFonts w:eastAsia="Times New Roman" w:cs="Times New Roman"/>
                <w:lang w:eastAsia="cs-CZ"/>
              </w:rPr>
            </w:pPr>
            <w:r w:rsidRPr="004678AB">
              <w:rPr>
                <w:rFonts w:eastAsia="Times New Roman" w:cs="Times New Roman"/>
                <w:lang w:eastAsia="cs-CZ"/>
              </w:rPr>
              <w:t>0</w:t>
            </w:r>
          </w:p>
        </w:tc>
      </w:tr>
      <w:tr w:rsidR="004678AB" w:rsidRPr="004678AB" w14:paraId="46747360" w14:textId="77777777" w:rsidTr="0011129C">
        <w:tc>
          <w:tcPr>
            <w:tcW w:w="1408" w:type="pct"/>
            <w:tcBorders>
              <w:top w:val="single" w:sz="8" w:space="0" w:color="7F7F7F" w:themeColor="text1" w:themeTint="80"/>
              <w:bottom w:val="single" w:sz="8" w:space="0" w:color="7F7F7F" w:themeColor="text1" w:themeTint="80"/>
            </w:tcBorders>
            <w:shd w:val="clear" w:color="auto" w:fill="auto"/>
          </w:tcPr>
          <w:p w14:paraId="54837C2D" w14:textId="77777777" w:rsidR="004678AB" w:rsidRPr="004678AB" w:rsidRDefault="004678AB" w:rsidP="004678AB">
            <w:pPr>
              <w:jc w:val="center"/>
              <w:rPr>
                <w:rFonts w:eastAsia="Times New Roman" w:cs="Times New Roman"/>
                <w:i/>
                <w:iCs/>
                <w:lang w:eastAsia="cs-CZ"/>
              </w:rPr>
            </w:pPr>
            <w:r w:rsidRPr="004678AB">
              <w:rPr>
                <w:rFonts w:eastAsia="Times New Roman" w:cs="Times New Roman"/>
                <w:b/>
                <w:bCs/>
                <w:lang w:eastAsia="cs-CZ"/>
              </w:rPr>
              <w:t>CEKEM</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533FB4E5"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32</w:t>
            </w:r>
          </w:p>
        </w:tc>
        <w:tc>
          <w:tcPr>
            <w:tcW w:w="465" w:type="pct"/>
            <w:tcBorders>
              <w:top w:val="single" w:sz="8" w:space="0" w:color="7F7F7F" w:themeColor="text1" w:themeTint="80"/>
              <w:bottom w:val="single" w:sz="8" w:space="0" w:color="7F7F7F" w:themeColor="text1" w:themeTint="80"/>
            </w:tcBorders>
            <w:shd w:val="clear" w:color="auto" w:fill="auto"/>
            <w:vAlign w:val="center"/>
          </w:tcPr>
          <w:p w14:paraId="4E0B9A45"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138</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2E2A242E"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960</w:t>
            </w:r>
          </w:p>
        </w:tc>
        <w:tc>
          <w:tcPr>
            <w:tcW w:w="627" w:type="pct"/>
            <w:tcBorders>
              <w:top w:val="single" w:sz="8" w:space="0" w:color="7F7F7F" w:themeColor="text1" w:themeTint="80"/>
              <w:bottom w:val="single" w:sz="8" w:space="0" w:color="7F7F7F" w:themeColor="text1" w:themeTint="80"/>
            </w:tcBorders>
            <w:shd w:val="clear" w:color="auto" w:fill="auto"/>
            <w:vAlign w:val="center"/>
          </w:tcPr>
          <w:p w14:paraId="21BACDC2"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3 425</w:t>
            </w:r>
          </w:p>
        </w:tc>
        <w:tc>
          <w:tcPr>
            <w:tcW w:w="626" w:type="pct"/>
            <w:tcBorders>
              <w:top w:val="single" w:sz="8" w:space="0" w:color="7F7F7F" w:themeColor="text1" w:themeTint="80"/>
              <w:bottom w:val="single" w:sz="8" w:space="0" w:color="7F7F7F" w:themeColor="text1" w:themeTint="80"/>
            </w:tcBorders>
            <w:shd w:val="clear" w:color="auto" w:fill="auto"/>
            <w:vAlign w:val="center"/>
          </w:tcPr>
          <w:p w14:paraId="1674452D"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0</w:t>
            </w:r>
          </w:p>
        </w:tc>
        <w:tc>
          <w:tcPr>
            <w:tcW w:w="621" w:type="pct"/>
            <w:tcBorders>
              <w:top w:val="single" w:sz="8" w:space="0" w:color="7F7F7F" w:themeColor="text1" w:themeTint="80"/>
              <w:bottom w:val="single" w:sz="8" w:space="0" w:color="7F7F7F" w:themeColor="text1" w:themeTint="80"/>
            </w:tcBorders>
            <w:shd w:val="clear" w:color="auto" w:fill="auto"/>
            <w:vAlign w:val="center"/>
          </w:tcPr>
          <w:p w14:paraId="058E7D95"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0</w:t>
            </w:r>
          </w:p>
        </w:tc>
      </w:tr>
    </w:tbl>
    <w:p w14:paraId="7C7B1731" w14:textId="77777777" w:rsidR="004678AB" w:rsidRPr="004678AB" w:rsidRDefault="004678AB" w:rsidP="004678AB">
      <w:pPr>
        <w:keepLines/>
        <w:spacing w:before="240" w:after="240" w:line="276" w:lineRule="auto"/>
        <w:rPr>
          <w:rFonts w:eastAsia="Times New Roman" w:cs="Times New Roman"/>
          <w:b/>
          <w:bCs/>
          <w:iCs/>
          <w:color w:val="FF0000"/>
          <w:szCs w:val="24"/>
          <w:lang w:eastAsia="cs-CZ"/>
        </w:rPr>
      </w:pPr>
      <w:r w:rsidRPr="004678AB">
        <w:rPr>
          <w:rFonts w:eastAsia="Times New Roman" w:cs="Times New Roman"/>
          <w:bCs/>
          <w:iCs/>
          <w:szCs w:val="24"/>
          <w:lang w:eastAsia="cs-CZ"/>
        </w:rPr>
        <w:t>Pro</w:t>
      </w:r>
      <w:r w:rsidRPr="004678AB">
        <w:rPr>
          <w:rFonts w:eastAsia="Times New Roman" w:cs="Times New Roman"/>
          <w:b/>
          <w:bCs/>
          <w:iCs/>
          <w:szCs w:val="24"/>
          <w:lang w:eastAsia="cs-CZ"/>
        </w:rPr>
        <w:t xml:space="preserve"> Drážní inspekci ČR</w:t>
      </w:r>
      <w:r w:rsidRPr="004678AB">
        <w:rPr>
          <w:rFonts w:eastAsia="Times New Roman" w:cs="Times New Roman"/>
          <w:iCs/>
          <w:szCs w:val="24"/>
          <w:lang w:eastAsia="cs-CZ"/>
        </w:rPr>
        <w:t xml:space="preserve"> nejsou na rok 2023 rozpočtovány žádné kapitálové výdaje.</w:t>
      </w:r>
      <w:r w:rsidRPr="004678AB">
        <w:rPr>
          <w:rFonts w:eastAsia="Times New Roman" w:cs="Times New Roman"/>
          <w:iCs/>
          <w:color w:val="FF0000"/>
          <w:szCs w:val="24"/>
          <w:lang w:eastAsia="cs-CZ"/>
        </w:rPr>
        <w:t xml:space="preserve"> </w:t>
      </w:r>
    </w:p>
    <w:p w14:paraId="62F627A3" w14:textId="77777777" w:rsidR="00E7650A" w:rsidRDefault="00E7650A" w:rsidP="004678AB">
      <w:pPr>
        <w:keepNext/>
        <w:tabs>
          <w:tab w:val="left" w:pos="708"/>
        </w:tabs>
        <w:spacing w:before="240" w:line="240" w:lineRule="auto"/>
        <w:outlineLvl w:val="3"/>
        <w:rPr>
          <w:rFonts w:eastAsia="Times New Roman" w:cs="Times New Roman"/>
          <w:b/>
          <w:szCs w:val="24"/>
          <w:u w:val="single"/>
          <w:lang w:eastAsia="cs-CZ"/>
        </w:rPr>
      </w:pPr>
    </w:p>
    <w:p w14:paraId="0AAE6CAC" w14:textId="77777777" w:rsidR="00E7650A" w:rsidRDefault="00E7650A">
      <w:pPr>
        <w:spacing w:after="160"/>
        <w:jc w:val="left"/>
        <w:rPr>
          <w:rFonts w:eastAsia="Times New Roman" w:cs="Times New Roman"/>
          <w:b/>
          <w:szCs w:val="24"/>
          <w:u w:val="single"/>
          <w:lang w:eastAsia="cs-CZ"/>
        </w:rPr>
      </w:pPr>
      <w:r>
        <w:rPr>
          <w:rFonts w:eastAsia="Times New Roman" w:cs="Times New Roman"/>
          <w:b/>
          <w:szCs w:val="24"/>
          <w:u w:val="single"/>
          <w:lang w:eastAsia="cs-CZ"/>
        </w:rPr>
        <w:br w:type="page"/>
      </w:r>
    </w:p>
    <w:p w14:paraId="1935B388" w14:textId="180F948B" w:rsidR="004678AB" w:rsidRPr="004678AB" w:rsidRDefault="004678AB" w:rsidP="004678AB">
      <w:pPr>
        <w:keepNext/>
        <w:tabs>
          <w:tab w:val="left" w:pos="708"/>
        </w:tabs>
        <w:spacing w:before="240" w:line="240" w:lineRule="auto"/>
        <w:outlineLvl w:val="3"/>
        <w:rPr>
          <w:rFonts w:eastAsia="Times New Roman" w:cs="Times New Roman"/>
          <w:b/>
          <w:szCs w:val="24"/>
          <w:u w:val="single"/>
          <w:lang w:eastAsia="cs-CZ"/>
        </w:rPr>
      </w:pPr>
      <w:r w:rsidRPr="004678AB">
        <w:rPr>
          <w:rFonts w:eastAsia="Times New Roman" w:cs="Times New Roman"/>
          <w:b/>
          <w:szCs w:val="24"/>
          <w:u w:val="single"/>
          <w:lang w:eastAsia="cs-CZ"/>
        </w:rPr>
        <w:t>Ředitelství vodních cest ČR</w:t>
      </w:r>
    </w:p>
    <w:p w14:paraId="3C351E48" w14:textId="028BD443" w:rsidR="004678AB" w:rsidRPr="004678AB" w:rsidRDefault="004678AB" w:rsidP="004678AB">
      <w:pPr>
        <w:keepNext/>
        <w:spacing w:before="120" w:after="120" w:line="240" w:lineRule="auto"/>
        <w:rPr>
          <w:rFonts w:eastAsia="Times New Roman" w:cs="Times New Roman"/>
          <w:b/>
          <w:bCs/>
          <w:sz w:val="20"/>
          <w:szCs w:val="20"/>
          <w:lang w:eastAsia="cs-CZ"/>
        </w:rPr>
      </w:pPr>
      <w:r w:rsidRPr="004678AB">
        <w:rPr>
          <w:rFonts w:eastAsia="Times New Roman" w:cs="Times New Roman"/>
          <w:b/>
          <w:bCs/>
          <w:sz w:val="20"/>
          <w:szCs w:val="20"/>
          <w:lang w:eastAsia="cs-CZ"/>
        </w:rPr>
        <w:t xml:space="preserve">Tabulka č. </w:t>
      </w:r>
      <w:r w:rsidR="00B3696F">
        <w:rPr>
          <w:rFonts w:eastAsia="Times New Roman" w:cs="Times New Roman"/>
          <w:b/>
          <w:bCs/>
          <w:noProof/>
          <w:sz w:val="20"/>
          <w:szCs w:val="20"/>
          <w:lang w:eastAsia="cs-CZ"/>
        </w:rPr>
        <w:t>35</w:t>
      </w:r>
      <w:r w:rsidRPr="004678AB">
        <w:rPr>
          <w:rFonts w:eastAsia="Times New Roman" w:cs="Times New Roman"/>
          <w:b/>
          <w:bCs/>
          <w:noProof/>
          <w:sz w:val="20"/>
          <w:szCs w:val="20"/>
          <w:lang w:eastAsia="cs-CZ"/>
        </w:rPr>
        <w:t xml:space="preserve"> Výdaje Ředitelství vodních cest ČR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7"/>
      </w:tblGrid>
      <w:tr w:rsidR="004678AB" w:rsidRPr="004678AB" w14:paraId="7D651A4F" w14:textId="77777777" w:rsidTr="0011129C">
        <w:tc>
          <w:tcPr>
            <w:tcW w:w="2263"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CD77AA2"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18887D2"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 xml:space="preserve">Skutečnost </w:t>
            </w:r>
            <w:r w:rsidRPr="004678AB">
              <w:rPr>
                <w:rFonts w:eastAsia="Times New Roman" w:cs="Times New Roman"/>
                <w:b/>
                <w:bCs/>
                <w:lang w:eastAsia="cs-CZ"/>
              </w:rPr>
              <w:br/>
              <w:t>2021</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DCF5D80"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Schválený rozpočet 2022</w:t>
            </w:r>
          </w:p>
        </w:tc>
        <w:tc>
          <w:tcPr>
            <w:tcW w:w="2257"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742EC04"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Návrh rozpočtu</w:t>
            </w:r>
            <w:r w:rsidRPr="004678AB">
              <w:rPr>
                <w:rFonts w:eastAsia="Times New Roman" w:cs="Times New Roman"/>
                <w:b/>
                <w:bCs/>
                <w:lang w:eastAsia="cs-CZ"/>
              </w:rPr>
              <w:br/>
              <w:t xml:space="preserve"> 2023</w:t>
            </w:r>
          </w:p>
        </w:tc>
      </w:tr>
      <w:tr w:rsidR="004678AB" w:rsidRPr="004678AB" w14:paraId="497D440A" w14:textId="77777777" w:rsidTr="0011129C">
        <w:tc>
          <w:tcPr>
            <w:tcW w:w="2263" w:type="dxa"/>
            <w:tcBorders>
              <w:top w:val="single" w:sz="4" w:space="0" w:color="7F7F7F" w:themeColor="text1" w:themeTint="80"/>
              <w:bottom w:val="single" w:sz="8" w:space="0" w:color="7F7F7F" w:themeColor="text1" w:themeTint="80"/>
            </w:tcBorders>
            <w:shd w:val="clear" w:color="auto" w:fill="auto"/>
          </w:tcPr>
          <w:p w14:paraId="2AAF4621" w14:textId="77777777" w:rsidR="004678AB" w:rsidRPr="004678AB" w:rsidRDefault="004678AB" w:rsidP="004678AB">
            <w:pPr>
              <w:jc w:val="center"/>
              <w:rPr>
                <w:rFonts w:eastAsia="Times New Roman" w:cs="Times New Roman"/>
                <w:lang w:eastAsia="cs-CZ"/>
              </w:rPr>
            </w:pPr>
            <w:r w:rsidRPr="004678AB">
              <w:rPr>
                <w:rFonts w:eastAsia="Times New Roman" w:cs="Times New Roman"/>
                <w:iCs/>
                <w:lang w:eastAsia="cs-CZ"/>
              </w:rPr>
              <w:t>127 03</w:t>
            </w:r>
          </w:p>
        </w:tc>
        <w:tc>
          <w:tcPr>
            <w:tcW w:w="2266" w:type="dxa"/>
            <w:tcBorders>
              <w:top w:val="single" w:sz="4" w:space="0" w:color="7F7F7F" w:themeColor="text1" w:themeTint="80"/>
              <w:bottom w:val="single" w:sz="8" w:space="0" w:color="7F7F7F" w:themeColor="text1" w:themeTint="80"/>
            </w:tcBorders>
            <w:shd w:val="clear" w:color="auto" w:fill="auto"/>
            <w:vAlign w:val="center"/>
          </w:tcPr>
          <w:p w14:paraId="21223C87"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64" w:type="dxa"/>
            <w:tcBorders>
              <w:top w:val="single" w:sz="4" w:space="0" w:color="7F7F7F" w:themeColor="text1" w:themeTint="80"/>
              <w:bottom w:val="single" w:sz="8" w:space="0" w:color="7F7F7F" w:themeColor="text1" w:themeTint="80"/>
            </w:tcBorders>
            <w:shd w:val="clear" w:color="auto" w:fill="auto"/>
            <w:vAlign w:val="center"/>
          </w:tcPr>
          <w:p w14:paraId="3978C708"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1 100</w:t>
            </w:r>
          </w:p>
        </w:tc>
        <w:tc>
          <w:tcPr>
            <w:tcW w:w="2257" w:type="dxa"/>
            <w:tcBorders>
              <w:top w:val="single" w:sz="4" w:space="0" w:color="7F7F7F" w:themeColor="text1" w:themeTint="80"/>
              <w:bottom w:val="single" w:sz="8" w:space="0" w:color="7F7F7F" w:themeColor="text1" w:themeTint="80"/>
            </w:tcBorders>
            <w:shd w:val="clear" w:color="auto" w:fill="auto"/>
            <w:vAlign w:val="center"/>
          </w:tcPr>
          <w:p w14:paraId="69785C63"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r>
      <w:tr w:rsidR="004678AB" w:rsidRPr="004678AB" w14:paraId="59233358" w14:textId="77777777" w:rsidTr="0011129C">
        <w:tc>
          <w:tcPr>
            <w:tcW w:w="2263" w:type="dxa"/>
            <w:tcBorders>
              <w:top w:val="single" w:sz="4" w:space="0" w:color="7F7F7F" w:themeColor="text1" w:themeTint="80"/>
              <w:bottom w:val="single" w:sz="8" w:space="0" w:color="7F7F7F" w:themeColor="text1" w:themeTint="80"/>
            </w:tcBorders>
            <w:shd w:val="clear" w:color="auto" w:fill="auto"/>
          </w:tcPr>
          <w:p w14:paraId="65A81A0F" w14:textId="77777777" w:rsidR="004678AB" w:rsidRPr="004678AB" w:rsidRDefault="004678AB" w:rsidP="004678AB">
            <w:pPr>
              <w:jc w:val="center"/>
              <w:rPr>
                <w:rFonts w:eastAsia="Times New Roman" w:cs="Times New Roman"/>
                <w:iCs/>
                <w:lang w:eastAsia="cs-CZ"/>
              </w:rPr>
            </w:pPr>
            <w:r w:rsidRPr="004678AB">
              <w:rPr>
                <w:rFonts w:eastAsia="Times New Roman" w:cs="Times New Roman"/>
                <w:iCs/>
                <w:lang w:eastAsia="cs-CZ"/>
              </w:rPr>
              <w:t>127 07</w:t>
            </w:r>
          </w:p>
        </w:tc>
        <w:tc>
          <w:tcPr>
            <w:tcW w:w="2266" w:type="dxa"/>
            <w:tcBorders>
              <w:top w:val="single" w:sz="4" w:space="0" w:color="7F7F7F" w:themeColor="text1" w:themeTint="80"/>
              <w:bottom w:val="single" w:sz="8" w:space="0" w:color="7F7F7F" w:themeColor="text1" w:themeTint="80"/>
            </w:tcBorders>
            <w:shd w:val="clear" w:color="auto" w:fill="auto"/>
            <w:vAlign w:val="center"/>
          </w:tcPr>
          <w:p w14:paraId="7CFC96E6"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64" w:type="dxa"/>
            <w:tcBorders>
              <w:top w:val="single" w:sz="4" w:space="0" w:color="7F7F7F" w:themeColor="text1" w:themeTint="80"/>
              <w:bottom w:val="single" w:sz="8" w:space="0" w:color="7F7F7F" w:themeColor="text1" w:themeTint="80"/>
            </w:tcBorders>
            <w:shd w:val="clear" w:color="auto" w:fill="auto"/>
            <w:vAlign w:val="center"/>
          </w:tcPr>
          <w:p w14:paraId="0135F383"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57" w:type="dxa"/>
            <w:tcBorders>
              <w:top w:val="single" w:sz="4" w:space="0" w:color="7F7F7F" w:themeColor="text1" w:themeTint="80"/>
              <w:bottom w:val="single" w:sz="8" w:space="0" w:color="7F7F7F" w:themeColor="text1" w:themeTint="80"/>
            </w:tcBorders>
            <w:shd w:val="clear" w:color="auto" w:fill="auto"/>
            <w:vAlign w:val="center"/>
          </w:tcPr>
          <w:p w14:paraId="0DCBA91B"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950</w:t>
            </w:r>
          </w:p>
        </w:tc>
      </w:tr>
      <w:tr w:rsidR="004678AB" w:rsidRPr="004678AB" w14:paraId="7789FC05" w14:textId="77777777" w:rsidTr="0011129C">
        <w:tc>
          <w:tcPr>
            <w:tcW w:w="2263" w:type="dxa"/>
            <w:tcBorders>
              <w:top w:val="single" w:sz="8" w:space="0" w:color="7F7F7F" w:themeColor="text1" w:themeTint="80"/>
              <w:bottom w:val="single" w:sz="8" w:space="0" w:color="7F7F7F" w:themeColor="text1" w:themeTint="80"/>
            </w:tcBorders>
            <w:shd w:val="clear" w:color="auto" w:fill="auto"/>
          </w:tcPr>
          <w:p w14:paraId="3675A7B3" w14:textId="77777777" w:rsidR="004678AB" w:rsidRPr="004678AB" w:rsidRDefault="004678AB" w:rsidP="004678AB">
            <w:pPr>
              <w:jc w:val="center"/>
              <w:rPr>
                <w:rFonts w:eastAsia="Times New Roman" w:cs="Times New Roman"/>
                <w:b/>
                <w:iCs/>
                <w:lang w:eastAsia="cs-CZ"/>
              </w:rPr>
            </w:pPr>
            <w:r w:rsidRPr="004678AB">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5AAF4F66"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0</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1285DFF0"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1 100</w:t>
            </w:r>
          </w:p>
        </w:tc>
        <w:tc>
          <w:tcPr>
            <w:tcW w:w="2257" w:type="dxa"/>
            <w:tcBorders>
              <w:top w:val="single" w:sz="8" w:space="0" w:color="7F7F7F" w:themeColor="text1" w:themeTint="80"/>
              <w:bottom w:val="single" w:sz="8" w:space="0" w:color="7F7F7F" w:themeColor="text1" w:themeTint="80"/>
            </w:tcBorders>
            <w:shd w:val="clear" w:color="auto" w:fill="auto"/>
            <w:vAlign w:val="center"/>
          </w:tcPr>
          <w:p w14:paraId="34ECB289"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950</w:t>
            </w:r>
          </w:p>
        </w:tc>
      </w:tr>
    </w:tbl>
    <w:p w14:paraId="03964C3F" w14:textId="77777777" w:rsidR="004678AB" w:rsidRPr="004678AB" w:rsidRDefault="004678AB" w:rsidP="004678AB">
      <w:pPr>
        <w:keepLines/>
        <w:spacing w:before="240" w:after="240" w:line="276" w:lineRule="auto"/>
        <w:rPr>
          <w:rFonts w:eastAsia="Times New Roman" w:cs="Times New Roman"/>
          <w:iCs/>
          <w:color w:val="FF0000"/>
          <w:szCs w:val="24"/>
          <w:lang w:eastAsia="cs-CZ"/>
        </w:rPr>
      </w:pPr>
      <w:r w:rsidRPr="004678AB">
        <w:rPr>
          <w:rFonts w:eastAsia="Times New Roman" w:cs="Times New Roman"/>
          <w:b/>
          <w:bCs/>
          <w:iCs/>
          <w:szCs w:val="24"/>
          <w:lang w:eastAsia="cs-CZ"/>
        </w:rPr>
        <w:t>Ředitelství vodních cest ČR</w:t>
      </w:r>
      <w:r w:rsidRPr="004678AB">
        <w:rPr>
          <w:rFonts w:eastAsia="Times New Roman" w:cs="Times New Roman"/>
          <w:iCs/>
          <w:szCs w:val="24"/>
          <w:lang w:eastAsia="cs-CZ"/>
        </w:rPr>
        <w:t xml:space="preserve"> využije kapitálové výdaje ve výši </w:t>
      </w:r>
      <w:r w:rsidRPr="004678AB">
        <w:rPr>
          <w:rFonts w:eastAsia="Times New Roman" w:cs="Times New Roman"/>
          <w:b/>
          <w:iCs/>
          <w:szCs w:val="24"/>
          <w:lang w:eastAsia="cs-CZ"/>
        </w:rPr>
        <w:t>950 tis. Kč.</w:t>
      </w:r>
      <w:r w:rsidRPr="004678AB">
        <w:rPr>
          <w:rFonts w:eastAsia="Times New Roman" w:cs="Times New Roman"/>
          <w:iCs/>
          <w:szCs w:val="24"/>
          <w:lang w:eastAsia="cs-CZ"/>
        </w:rPr>
        <w:t xml:space="preserve"> 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ICT bude celkem využito investičních prostředků ve výši </w:t>
      </w:r>
      <w:r w:rsidRPr="004678AB">
        <w:rPr>
          <w:rFonts w:eastAsia="Times New Roman" w:cs="Times New Roman"/>
          <w:b/>
          <w:iCs/>
          <w:szCs w:val="24"/>
          <w:lang w:eastAsia="cs-CZ"/>
        </w:rPr>
        <w:t xml:space="preserve">400 tis. Kč </w:t>
      </w:r>
      <w:r w:rsidRPr="004678AB">
        <w:rPr>
          <w:rFonts w:eastAsia="Times New Roman" w:cs="Times New Roman"/>
          <w:iCs/>
          <w:szCs w:val="24"/>
          <w:lang w:eastAsia="cs-CZ"/>
        </w:rPr>
        <w:t>na obnovu výpočetní techniky (zejména na serveru a síťového uložiště). 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materiálně technické základny bude celkem investováno </w:t>
      </w:r>
      <w:r w:rsidRPr="004678AB">
        <w:rPr>
          <w:rFonts w:eastAsia="Times New Roman" w:cs="Times New Roman"/>
          <w:b/>
          <w:iCs/>
          <w:szCs w:val="24"/>
          <w:lang w:eastAsia="cs-CZ"/>
        </w:rPr>
        <w:t>550 tis. Kč</w:t>
      </w:r>
      <w:r w:rsidRPr="004678AB">
        <w:rPr>
          <w:rFonts w:eastAsia="Times New Roman" w:cs="Times New Roman"/>
          <w:iCs/>
          <w:szCs w:val="24"/>
          <w:lang w:eastAsia="cs-CZ"/>
        </w:rPr>
        <w:t xml:space="preserve"> na obnovu vozového parku. </w:t>
      </w:r>
    </w:p>
    <w:p w14:paraId="37F7CD40" w14:textId="77777777" w:rsidR="004678AB" w:rsidRPr="004678AB" w:rsidRDefault="004678AB" w:rsidP="004678AB">
      <w:pPr>
        <w:keepNext/>
        <w:tabs>
          <w:tab w:val="left" w:pos="708"/>
        </w:tabs>
        <w:spacing w:before="240" w:line="240" w:lineRule="auto"/>
        <w:outlineLvl w:val="3"/>
        <w:rPr>
          <w:rFonts w:eastAsia="Times New Roman" w:cs="Times New Roman"/>
          <w:b/>
          <w:szCs w:val="24"/>
          <w:u w:val="single"/>
          <w:lang w:eastAsia="cs-CZ"/>
        </w:rPr>
      </w:pPr>
      <w:r w:rsidRPr="004678AB">
        <w:rPr>
          <w:rFonts w:eastAsia="Times New Roman" w:cs="Times New Roman"/>
          <w:b/>
          <w:szCs w:val="24"/>
          <w:u w:val="single"/>
          <w:lang w:eastAsia="cs-CZ"/>
        </w:rPr>
        <w:t>Ústav pro odborné zjišťování příčin leteckých nehod</w:t>
      </w:r>
    </w:p>
    <w:p w14:paraId="3889EB37" w14:textId="0C7C4CAC" w:rsidR="004678AB" w:rsidRPr="004678AB" w:rsidRDefault="004678AB" w:rsidP="004678AB">
      <w:pPr>
        <w:keepNext/>
        <w:spacing w:before="120" w:after="120" w:line="240" w:lineRule="auto"/>
        <w:rPr>
          <w:rFonts w:eastAsia="Times New Roman" w:cs="Times New Roman"/>
          <w:b/>
          <w:bCs/>
          <w:noProof/>
          <w:sz w:val="20"/>
          <w:szCs w:val="20"/>
          <w:lang w:eastAsia="cs-CZ"/>
        </w:rPr>
      </w:pPr>
      <w:r w:rsidRPr="004678AB">
        <w:rPr>
          <w:rFonts w:eastAsia="Times New Roman" w:cs="Times New Roman"/>
          <w:b/>
          <w:bCs/>
          <w:sz w:val="20"/>
          <w:szCs w:val="20"/>
          <w:lang w:eastAsia="cs-CZ"/>
        </w:rPr>
        <w:t xml:space="preserve">Tabulka č. </w:t>
      </w:r>
      <w:r w:rsidRPr="004678AB">
        <w:rPr>
          <w:rFonts w:eastAsia="Times New Roman" w:cs="Times New Roman"/>
          <w:b/>
          <w:bCs/>
          <w:noProof/>
          <w:sz w:val="20"/>
          <w:szCs w:val="20"/>
          <w:lang w:eastAsia="cs-CZ"/>
        </w:rPr>
        <w:fldChar w:fldCharType="begin"/>
      </w:r>
      <w:r w:rsidRPr="004678AB">
        <w:rPr>
          <w:rFonts w:eastAsia="Times New Roman" w:cs="Times New Roman"/>
          <w:b/>
          <w:bCs/>
          <w:noProof/>
          <w:sz w:val="20"/>
          <w:szCs w:val="20"/>
          <w:lang w:eastAsia="cs-CZ"/>
        </w:rPr>
        <w:instrText xml:space="preserve"> SEQ Tabulka \* ARABIC </w:instrText>
      </w:r>
      <w:r w:rsidRPr="004678AB">
        <w:rPr>
          <w:rFonts w:eastAsia="Times New Roman" w:cs="Times New Roman"/>
          <w:b/>
          <w:bCs/>
          <w:noProof/>
          <w:sz w:val="20"/>
          <w:szCs w:val="20"/>
          <w:lang w:eastAsia="cs-CZ"/>
        </w:rPr>
        <w:fldChar w:fldCharType="separate"/>
      </w:r>
      <w:r w:rsidR="00F80947">
        <w:rPr>
          <w:rFonts w:eastAsia="Times New Roman" w:cs="Times New Roman"/>
          <w:b/>
          <w:bCs/>
          <w:noProof/>
          <w:sz w:val="20"/>
          <w:szCs w:val="20"/>
          <w:lang w:eastAsia="cs-CZ"/>
        </w:rPr>
        <w:t>30</w:t>
      </w:r>
      <w:r w:rsidRPr="004678AB">
        <w:rPr>
          <w:rFonts w:eastAsia="Times New Roman" w:cs="Times New Roman"/>
          <w:b/>
          <w:bCs/>
          <w:noProof/>
          <w:sz w:val="20"/>
          <w:szCs w:val="20"/>
          <w:lang w:eastAsia="cs-CZ"/>
        </w:rPr>
        <w:fldChar w:fldCharType="end"/>
      </w:r>
      <w:r w:rsidR="00B3696F">
        <w:rPr>
          <w:rFonts w:eastAsia="Times New Roman" w:cs="Times New Roman"/>
          <w:b/>
          <w:bCs/>
          <w:noProof/>
          <w:sz w:val="20"/>
          <w:szCs w:val="20"/>
          <w:lang w:eastAsia="cs-CZ"/>
        </w:rPr>
        <w:t>6</w:t>
      </w:r>
      <w:r w:rsidRPr="004678AB">
        <w:rPr>
          <w:rFonts w:eastAsia="Times New Roman" w:cs="Times New Roman"/>
          <w:b/>
          <w:bCs/>
          <w:noProof/>
          <w:sz w:val="20"/>
          <w:szCs w:val="20"/>
          <w:lang w:eastAsia="cs-CZ"/>
        </w:rPr>
        <w:t xml:space="preserve"> Výdaje Ústavu pro odborné zjišťování příčin let. nehod vedené v EDS/SMVS (v tis. Kč)</w:t>
      </w:r>
    </w:p>
    <w:tbl>
      <w:tblPr>
        <w:tblStyle w:val="Svtltabulkasmkou1zvraznn5"/>
        <w:tblW w:w="0" w:type="auto"/>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3"/>
        <w:gridCol w:w="2266"/>
        <w:gridCol w:w="2264"/>
        <w:gridCol w:w="2258"/>
      </w:tblGrid>
      <w:tr w:rsidR="004678AB" w:rsidRPr="004678AB" w14:paraId="2D927BE5" w14:textId="77777777" w:rsidTr="0011129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E116417"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Číslo programu</w:t>
            </w:r>
          </w:p>
        </w:tc>
        <w:tc>
          <w:tcPr>
            <w:tcW w:w="2266"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C39884B"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 xml:space="preserve">Skutečnost </w:t>
            </w:r>
            <w:r w:rsidRPr="004678AB">
              <w:rPr>
                <w:rFonts w:eastAsia="Times New Roman" w:cs="Times New Roman"/>
                <w:b/>
                <w:bCs/>
                <w:lang w:eastAsia="cs-CZ"/>
              </w:rPr>
              <w:br/>
              <w:t>2021</w:t>
            </w:r>
          </w:p>
        </w:tc>
        <w:tc>
          <w:tcPr>
            <w:tcW w:w="2264"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62E7917"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Schválený rozpočet 2022</w:t>
            </w:r>
          </w:p>
        </w:tc>
        <w:tc>
          <w:tcPr>
            <w:tcW w:w="2258" w:type="dxa"/>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FE84B03" w14:textId="77777777" w:rsidR="004678AB" w:rsidRPr="004678AB" w:rsidRDefault="004678AB" w:rsidP="004678AB">
            <w:pPr>
              <w:jc w:val="center"/>
              <w:rPr>
                <w:rFonts w:eastAsia="Times New Roman" w:cs="Times New Roman"/>
                <w:b/>
                <w:bCs/>
                <w:lang w:eastAsia="cs-CZ"/>
              </w:rPr>
            </w:pPr>
            <w:r w:rsidRPr="004678AB">
              <w:rPr>
                <w:rFonts w:eastAsia="Times New Roman" w:cs="Times New Roman"/>
                <w:b/>
                <w:bCs/>
                <w:lang w:eastAsia="cs-CZ"/>
              </w:rPr>
              <w:t xml:space="preserve">Návrh rozpočtu </w:t>
            </w:r>
            <w:r w:rsidRPr="004678AB">
              <w:rPr>
                <w:rFonts w:eastAsia="Times New Roman" w:cs="Times New Roman"/>
                <w:b/>
                <w:bCs/>
                <w:lang w:eastAsia="cs-CZ"/>
              </w:rPr>
              <w:br/>
              <w:t>2023</w:t>
            </w:r>
          </w:p>
        </w:tc>
      </w:tr>
      <w:tr w:rsidR="004678AB" w:rsidRPr="004678AB" w14:paraId="31125A70" w14:textId="77777777" w:rsidTr="0011129C">
        <w:tc>
          <w:tcPr>
            <w:tcW w:w="2264" w:type="dxa"/>
            <w:tcBorders>
              <w:bottom w:val="single" w:sz="8" w:space="0" w:color="7F7F7F" w:themeColor="text1" w:themeTint="80"/>
            </w:tcBorders>
            <w:shd w:val="clear" w:color="auto" w:fill="auto"/>
          </w:tcPr>
          <w:p w14:paraId="67A7D6CE" w14:textId="77777777" w:rsidR="004678AB" w:rsidRPr="004678AB" w:rsidRDefault="004678AB" w:rsidP="004678AB">
            <w:pPr>
              <w:jc w:val="center"/>
              <w:rPr>
                <w:rFonts w:eastAsia="Times New Roman" w:cs="Times New Roman"/>
                <w:lang w:eastAsia="cs-CZ"/>
              </w:rPr>
            </w:pPr>
            <w:r w:rsidRPr="004678AB">
              <w:rPr>
                <w:rFonts w:eastAsia="Times New Roman" w:cs="Times New Roman"/>
                <w:iCs/>
                <w:lang w:eastAsia="cs-CZ"/>
              </w:rPr>
              <w:t>127 03</w:t>
            </w:r>
          </w:p>
        </w:tc>
        <w:tc>
          <w:tcPr>
            <w:tcW w:w="2266" w:type="dxa"/>
            <w:tcBorders>
              <w:bottom w:val="single" w:sz="8" w:space="0" w:color="7F7F7F" w:themeColor="text1" w:themeTint="80"/>
            </w:tcBorders>
            <w:shd w:val="clear" w:color="auto" w:fill="auto"/>
            <w:vAlign w:val="center"/>
          </w:tcPr>
          <w:p w14:paraId="2CE89C24"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870</w:t>
            </w:r>
          </w:p>
        </w:tc>
        <w:tc>
          <w:tcPr>
            <w:tcW w:w="2264" w:type="dxa"/>
            <w:tcBorders>
              <w:bottom w:val="single" w:sz="8" w:space="0" w:color="7F7F7F" w:themeColor="text1" w:themeTint="80"/>
            </w:tcBorders>
            <w:shd w:val="clear" w:color="auto" w:fill="auto"/>
            <w:vAlign w:val="center"/>
          </w:tcPr>
          <w:p w14:paraId="72BADBDB"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0591450B"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r>
      <w:tr w:rsidR="004678AB" w:rsidRPr="004678AB" w14:paraId="635B750B" w14:textId="77777777" w:rsidTr="0011129C">
        <w:tc>
          <w:tcPr>
            <w:tcW w:w="2264" w:type="dxa"/>
            <w:tcBorders>
              <w:bottom w:val="single" w:sz="8" w:space="0" w:color="7F7F7F" w:themeColor="text1" w:themeTint="80"/>
            </w:tcBorders>
            <w:shd w:val="clear" w:color="auto" w:fill="auto"/>
          </w:tcPr>
          <w:p w14:paraId="2824514E" w14:textId="77777777" w:rsidR="004678AB" w:rsidRPr="004678AB" w:rsidRDefault="004678AB" w:rsidP="004678AB">
            <w:pPr>
              <w:jc w:val="center"/>
              <w:rPr>
                <w:rFonts w:eastAsia="Times New Roman" w:cs="Times New Roman"/>
                <w:iCs/>
                <w:lang w:eastAsia="cs-CZ"/>
              </w:rPr>
            </w:pPr>
            <w:r w:rsidRPr="004678AB">
              <w:rPr>
                <w:rFonts w:eastAsia="Times New Roman" w:cs="Times New Roman"/>
                <w:iCs/>
                <w:lang w:eastAsia="cs-CZ"/>
              </w:rPr>
              <w:t>127 07</w:t>
            </w:r>
          </w:p>
        </w:tc>
        <w:tc>
          <w:tcPr>
            <w:tcW w:w="2266" w:type="dxa"/>
            <w:tcBorders>
              <w:bottom w:val="single" w:sz="8" w:space="0" w:color="7F7F7F" w:themeColor="text1" w:themeTint="80"/>
            </w:tcBorders>
            <w:shd w:val="clear" w:color="auto" w:fill="auto"/>
            <w:vAlign w:val="center"/>
          </w:tcPr>
          <w:p w14:paraId="144FF647" w14:textId="77777777" w:rsidR="004678AB" w:rsidRPr="004678AB" w:rsidRDefault="004678AB" w:rsidP="004678AB">
            <w:pPr>
              <w:jc w:val="right"/>
              <w:rPr>
                <w:rFonts w:eastAsia="Times New Roman" w:cs="Times New Roman"/>
                <w:iCs/>
                <w:lang w:eastAsia="cs-CZ"/>
              </w:rPr>
            </w:pPr>
          </w:p>
        </w:tc>
        <w:tc>
          <w:tcPr>
            <w:tcW w:w="2264" w:type="dxa"/>
            <w:tcBorders>
              <w:bottom w:val="single" w:sz="8" w:space="0" w:color="7F7F7F" w:themeColor="text1" w:themeTint="80"/>
            </w:tcBorders>
            <w:shd w:val="clear" w:color="auto" w:fill="auto"/>
            <w:vAlign w:val="center"/>
          </w:tcPr>
          <w:p w14:paraId="5AA7CC92"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0</w:t>
            </w:r>
          </w:p>
        </w:tc>
        <w:tc>
          <w:tcPr>
            <w:tcW w:w="2258" w:type="dxa"/>
            <w:tcBorders>
              <w:bottom w:val="single" w:sz="8" w:space="0" w:color="7F7F7F" w:themeColor="text1" w:themeTint="80"/>
            </w:tcBorders>
            <w:shd w:val="clear" w:color="auto" w:fill="auto"/>
            <w:vAlign w:val="center"/>
          </w:tcPr>
          <w:p w14:paraId="725FE184" w14:textId="77777777" w:rsidR="004678AB" w:rsidRPr="004678AB" w:rsidRDefault="004678AB" w:rsidP="004678AB">
            <w:pPr>
              <w:jc w:val="right"/>
              <w:rPr>
                <w:rFonts w:eastAsia="Times New Roman" w:cs="Times New Roman"/>
                <w:iCs/>
                <w:lang w:eastAsia="cs-CZ"/>
              </w:rPr>
            </w:pPr>
            <w:r w:rsidRPr="004678AB">
              <w:rPr>
                <w:rFonts w:eastAsia="Times New Roman" w:cs="Times New Roman"/>
                <w:iCs/>
                <w:lang w:eastAsia="cs-CZ"/>
              </w:rPr>
              <w:t>2 600</w:t>
            </w:r>
          </w:p>
        </w:tc>
      </w:tr>
      <w:tr w:rsidR="004678AB" w:rsidRPr="004678AB" w14:paraId="6A304A05" w14:textId="77777777" w:rsidTr="0011129C">
        <w:tc>
          <w:tcPr>
            <w:tcW w:w="2264" w:type="dxa"/>
            <w:tcBorders>
              <w:top w:val="single" w:sz="8" w:space="0" w:color="7F7F7F" w:themeColor="text1" w:themeTint="80"/>
              <w:bottom w:val="single" w:sz="8" w:space="0" w:color="7F7F7F" w:themeColor="text1" w:themeTint="80"/>
            </w:tcBorders>
            <w:shd w:val="clear" w:color="auto" w:fill="auto"/>
          </w:tcPr>
          <w:p w14:paraId="46A61D02" w14:textId="77777777" w:rsidR="004678AB" w:rsidRPr="004678AB" w:rsidRDefault="004678AB" w:rsidP="004678AB">
            <w:pPr>
              <w:jc w:val="center"/>
              <w:rPr>
                <w:rFonts w:eastAsia="Times New Roman" w:cs="Times New Roman"/>
                <w:b/>
                <w:iCs/>
                <w:lang w:eastAsia="cs-CZ"/>
              </w:rPr>
            </w:pPr>
            <w:r w:rsidRPr="004678AB">
              <w:rPr>
                <w:rFonts w:eastAsia="Times New Roman" w:cs="Times New Roman"/>
                <w:b/>
                <w:iCs/>
                <w:lang w:eastAsia="cs-CZ"/>
              </w:rPr>
              <w:t>CELKEM</w:t>
            </w:r>
          </w:p>
        </w:tc>
        <w:tc>
          <w:tcPr>
            <w:tcW w:w="2266" w:type="dxa"/>
            <w:tcBorders>
              <w:top w:val="single" w:sz="8" w:space="0" w:color="7F7F7F" w:themeColor="text1" w:themeTint="80"/>
              <w:bottom w:val="single" w:sz="8" w:space="0" w:color="7F7F7F" w:themeColor="text1" w:themeTint="80"/>
            </w:tcBorders>
            <w:shd w:val="clear" w:color="auto" w:fill="auto"/>
            <w:vAlign w:val="center"/>
          </w:tcPr>
          <w:p w14:paraId="6DB3B2C9"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870</w:t>
            </w:r>
          </w:p>
        </w:tc>
        <w:tc>
          <w:tcPr>
            <w:tcW w:w="2264" w:type="dxa"/>
            <w:tcBorders>
              <w:top w:val="single" w:sz="8" w:space="0" w:color="7F7F7F" w:themeColor="text1" w:themeTint="80"/>
              <w:bottom w:val="single" w:sz="8" w:space="0" w:color="7F7F7F" w:themeColor="text1" w:themeTint="80"/>
            </w:tcBorders>
            <w:shd w:val="clear" w:color="auto" w:fill="auto"/>
            <w:vAlign w:val="center"/>
          </w:tcPr>
          <w:p w14:paraId="21DEB9CA"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0</w:t>
            </w:r>
          </w:p>
        </w:tc>
        <w:tc>
          <w:tcPr>
            <w:tcW w:w="2258" w:type="dxa"/>
            <w:tcBorders>
              <w:top w:val="single" w:sz="8" w:space="0" w:color="7F7F7F" w:themeColor="text1" w:themeTint="80"/>
              <w:bottom w:val="single" w:sz="8" w:space="0" w:color="7F7F7F" w:themeColor="text1" w:themeTint="80"/>
            </w:tcBorders>
            <w:shd w:val="clear" w:color="auto" w:fill="auto"/>
            <w:vAlign w:val="center"/>
          </w:tcPr>
          <w:p w14:paraId="788A3C18" w14:textId="77777777" w:rsidR="004678AB" w:rsidRPr="004678AB" w:rsidRDefault="004678AB" w:rsidP="004678AB">
            <w:pPr>
              <w:jc w:val="right"/>
              <w:rPr>
                <w:rFonts w:eastAsia="Times New Roman" w:cs="Times New Roman"/>
                <w:b/>
                <w:iCs/>
                <w:lang w:eastAsia="cs-CZ"/>
              </w:rPr>
            </w:pPr>
            <w:r w:rsidRPr="004678AB">
              <w:rPr>
                <w:rFonts w:eastAsia="Times New Roman" w:cs="Times New Roman"/>
                <w:b/>
                <w:iCs/>
                <w:lang w:eastAsia="cs-CZ"/>
              </w:rPr>
              <w:t>2 600</w:t>
            </w:r>
          </w:p>
        </w:tc>
      </w:tr>
    </w:tbl>
    <w:p w14:paraId="599491D5" w14:textId="16478AD6" w:rsidR="004678AB" w:rsidRPr="004678AB" w:rsidRDefault="004678AB" w:rsidP="004678AB">
      <w:pPr>
        <w:keepLines/>
        <w:spacing w:before="240" w:after="240" w:line="276" w:lineRule="auto"/>
        <w:rPr>
          <w:rFonts w:eastAsia="Times New Roman" w:cs="Times New Roman"/>
          <w:iCs/>
          <w:color w:val="FF0000"/>
          <w:szCs w:val="24"/>
          <w:lang w:eastAsia="cs-CZ"/>
        </w:rPr>
      </w:pPr>
      <w:r w:rsidRPr="004678AB">
        <w:rPr>
          <w:rFonts w:eastAsia="Times New Roman" w:cs="Times New Roman"/>
          <w:b/>
          <w:iCs/>
          <w:szCs w:val="24"/>
          <w:lang w:eastAsia="cs-CZ"/>
        </w:rPr>
        <w:t>Kapitálové výdaje</w:t>
      </w:r>
      <w:r w:rsidRPr="004678AB">
        <w:rPr>
          <w:rFonts w:eastAsia="Times New Roman" w:cs="Times New Roman"/>
          <w:iCs/>
          <w:szCs w:val="24"/>
          <w:lang w:eastAsia="cs-CZ"/>
        </w:rPr>
        <w:t xml:space="preserve"> pro organizaci ÚZPLN jsou rozpočtovány na rok 2023 v celkové výši </w:t>
      </w:r>
      <w:r w:rsidRPr="004678AB">
        <w:rPr>
          <w:rFonts w:eastAsia="Times New Roman" w:cs="Times New Roman"/>
          <w:b/>
          <w:iCs/>
          <w:szCs w:val="24"/>
          <w:lang w:eastAsia="cs-CZ"/>
        </w:rPr>
        <w:t xml:space="preserve"> 2 600 tis. Kč.</w:t>
      </w:r>
      <w:r w:rsidRPr="004678AB">
        <w:rPr>
          <w:rFonts w:eastAsia="Times New Roman" w:cs="Times New Roman"/>
          <w:iCs/>
          <w:szCs w:val="24"/>
          <w:lang w:eastAsia="cs-CZ"/>
        </w:rPr>
        <w:t xml:space="preserve"> 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ICT bude využito investičních prostředků ve výši </w:t>
      </w:r>
      <w:r w:rsidRPr="004678AB">
        <w:rPr>
          <w:rFonts w:eastAsia="Times New Roman" w:cs="Times New Roman"/>
          <w:b/>
          <w:iCs/>
          <w:szCs w:val="24"/>
          <w:lang w:eastAsia="cs-CZ"/>
        </w:rPr>
        <w:t>600 tis. Kč</w:t>
      </w:r>
      <w:r w:rsidRPr="004678AB">
        <w:rPr>
          <w:rFonts w:eastAsia="Times New Roman" w:cs="Times New Roman"/>
          <w:iCs/>
          <w:szCs w:val="24"/>
          <w:lang w:eastAsia="cs-CZ"/>
        </w:rPr>
        <w:t xml:space="preserve"> na obnovu</w:t>
      </w:r>
      <w:r w:rsidR="00A04B60">
        <w:rPr>
          <w:rFonts w:eastAsia="Times New Roman" w:cs="Times New Roman"/>
          <w:iCs/>
          <w:szCs w:val="24"/>
          <w:lang w:eastAsia="cs-CZ"/>
        </w:rPr>
        <w:t xml:space="preserve"> zastaralé výpočetní techniky. </w:t>
      </w:r>
      <w:r w:rsidRPr="004678AB">
        <w:rPr>
          <w:rFonts w:eastAsia="Times New Roman" w:cs="Times New Roman"/>
          <w:iCs/>
          <w:szCs w:val="24"/>
          <w:lang w:eastAsia="cs-CZ"/>
        </w:rPr>
        <w:t>V </w:t>
      </w:r>
      <w:proofErr w:type="spellStart"/>
      <w:r w:rsidRPr="004678AB">
        <w:rPr>
          <w:rFonts w:eastAsia="Times New Roman" w:cs="Times New Roman"/>
          <w:iCs/>
          <w:szCs w:val="24"/>
          <w:lang w:eastAsia="cs-CZ"/>
        </w:rPr>
        <w:t>subtitulu</w:t>
      </w:r>
      <w:proofErr w:type="spellEnd"/>
      <w:r w:rsidRPr="004678AB">
        <w:rPr>
          <w:rFonts w:eastAsia="Times New Roman" w:cs="Times New Roman"/>
          <w:iCs/>
          <w:szCs w:val="24"/>
          <w:lang w:eastAsia="cs-CZ"/>
        </w:rPr>
        <w:t xml:space="preserve"> materiálně technické základny budou čerpány investice ve výši </w:t>
      </w:r>
      <w:r w:rsidRPr="004678AB">
        <w:rPr>
          <w:rFonts w:eastAsia="Times New Roman" w:cs="Times New Roman"/>
          <w:b/>
          <w:iCs/>
          <w:szCs w:val="24"/>
          <w:lang w:eastAsia="cs-CZ"/>
        </w:rPr>
        <w:t>2 000 tis. Kč</w:t>
      </w:r>
      <w:r w:rsidRPr="004678AB">
        <w:rPr>
          <w:rFonts w:eastAsia="Times New Roman" w:cs="Times New Roman"/>
          <w:iCs/>
          <w:szCs w:val="24"/>
          <w:lang w:eastAsia="cs-CZ"/>
        </w:rPr>
        <w:t xml:space="preserve"> na pořízení technického vybavení vyplývající se zaměření organizace –</w:t>
      </w:r>
      <w:r w:rsidR="00A04B60">
        <w:rPr>
          <w:rFonts w:eastAsia="Times New Roman" w:cs="Times New Roman"/>
          <w:iCs/>
          <w:szCs w:val="24"/>
          <w:lang w:eastAsia="cs-CZ"/>
        </w:rPr>
        <w:t xml:space="preserve"> </w:t>
      </w:r>
      <w:r w:rsidRPr="004678AB">
        <w:rPr>
          <w:rFonts w:eastAsia="Times New Roman" w:cs="Times New Roman"/>
          <w:iCs/>
          <w:szCs w:val="24"/>
          <w:lang w:eastAsia="cs-CZ"/>
        </w:rPr>
        <w:t>přenosná letecká navigač</w:t>
      </w:r>
      <w:r w:rsidR="00A04B60">
        <w:rPr>
          <w:rFonts w:eastAsia="Times New Roman" w:cs="Times New Roman"/>
          <w:iCs/>
          <w:szCs w:val="24"/>
          <w:lang w:eastAsia="cs-CZ"/>
        </w:rPr>
        <w:t xml:space="preserve">ní a radiokomunikační souprava </w:t>
      </w:r>
      <w:r w:rsidRPr="004678AB">
        <w:rPr>
          <w:rFonts w:eastAsia="Times New Roman" w:cs="Times New Roman"/>
          <w:iCs/>
          <w:szCs w:val="24"/>
          <w:lang w:eastAsia="cs-CZ"/>
        </w:rPr>
        <w:t xml:space="preserve">(700 tis. Kč) </w:t>
      </w:r>
      <w:r w:rsidR="00A04B60">
        <w:rPr>
          <w:rFonts w:eastAsia="Times New Roman" w:cs="Times New Roman"/>
          <w:iCs/>
          <w:szCs w:val="24"/>
          <w:lang w:eastAsia="cs-CZ"/>
        </w:rPr>
        <w:br/>
      </w:r>
      <w:r w:rsidRPr="004678AB">
        <w:rPr>
          <w:rFonts w:eastAsia="Times New Roman" w:cs="Times New Roman"/>
          <w:iCs/>
          <w:szCs w:val="24"/>
          <w:lang w:eastAsia="cs-CZ"/>
        </w:rPr>
        <w:t>a obměnu terénního vozidla  (1 300 tis. Kč).</w:t>
      </w:r>
    </w:p>
    <w:p w14:paraId="3D3B4BC2" w14:textId="0A93F168" w:rsidR="00BB459E" w:rsidRPr="0088307E" w:rsidRDefault="00554765">
      <w:pPr>
        <w:pStyle w:val="Nadpis3"/>
      </w:pPr>
      <w:bookmarkStart w:id="225" w:name="_Toc115787312"/>
      <w:bookmarkStart w:id="226" w:name="_Toc115787902"/>
      <w:bookmarkStart w:id="227" w:name="_Toc115787313"/>
      <w:bookmarkStart w:id="228" w:name="_Toc115787903"/>
      <w:bookmarkStart w:id="229" w:name="_Toc115787904"/>
      <w:bookmarkEnd w:id="225"/>
      <w:bookmarkEnd w:id="226"/>
      <w:bookmarkEnd w:id="227"/>
      <w:bookmarkEnd w:id="228"/>
      <w:r w:rsidRPr="0088307E">
        <w:t>Zřízené p</w:t>
      </w:r>
      <w:bookmarkStart w:id="230" w:name="_Toc115787905"/>
      <w:bookmarkEnd w:id="229"/>
      <w:bookmarkEnd w:id="221"/>
      <w:bookmarkEnd w:id="222"/>
      <w:r w:rsidR="00BB459E" w:rsidRPr="0088307E">
        <w:t>říspěvkové organizace</w:t>
      </w:r>
      <w:bookmarkEnd w:id="223"/>
      <w:bookmarkEnd w:id="224"/>
      <w:bookmarkEnd w:id="230"/>
    </w:p>
    <w:p w14:paraId="62CD049F" w14:textId="57EDF070" w:rsidR="00554765" w:rsidRPr="00576ACB" w:rsidRDefault="00554765" w:rsidP="00554765">
      <w:pPr>
        <w:pStyle w:val="Styl1"/>
      </w:pPr>
      <w:bookmarkStart w:id="231" w:name="_Toc304375453"/>
      <w:bookmarkStart w:id="232" w:name="_Toc305406311"/>
      <w:bookmarkStart w:id="233" w:name="_Toc462314404"/>
      <w:bookmarkStart w:id="234" w:name="_Toc489274111"/>
      <w:r w:rsidRPr="00576ACB">
        <w:t xml:space="preserve">Výdaje vedené v EDS/SMVS určené státním příspěvkovým organizacím jsou pro rozpočtový rok 2023 navrženy ve výši 292 721 tis. Kč. Jedná se o prostředky EU. Druhové členění výdajů </w:t>
      </w:r>
      <w:r w:rsidR="001A2288">
        <w:t>v</w:t>
      </w:r>
      <w:r w:rsidRPr="00576ACB">
        <w:t>ykazuje následující tabulka.</w:t>
      </w:r>
      <w:r w:rsidRPr="00576ACB">
        <w:rPr>
          <w:bCs/>
          <w:iCs w:val="0"/>
        </w:rPr>
        <w:t xml:space="preserve">                                      </w:t>
      </w:r>
    </w:p>
    <w:p w14:paraId="7DC7BC72" w14:textId="7CC1B5DD" w:rsidR="004B2F70" w:rsidRDefault="004B2F70" w:rsidP="00A4652C">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31</w:t>
      </w:r>
      <w:r w:rsidRPr="0088307E">
        <w:rPr>
          <w:noProof/>
        </w:rPr>
        <w:fldChar w:fldCharType="end"/>
      </w:r>
      <w:r w:rsidRPr="0088307E">
        <w:rPr>
          <w:noProof/>
        </w:rPr>
        <w:t xml:space="preserve"> Výdaje příspěvkových organizací vedených v EDS/SMVS (v tis. Kč)</w:t>
      </w:r>
    </w:p>
    <w:tbl>
      <w:tblPr>
        <w:tblStyle w:val="Svtltabulkasmkou1zvraznn5"/>
        <w:tblW w:w="5024"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46"/>
        <w:gridCol w:w="1353"/>
        <w:gridCol w:w="1419"/>
        <w:gridCol w:w="1419"/>
        <w:gridCol w:w="1057"/>
      </w:tblGrid>
      <w:tr w:rsidR="00294285" w:rsidRPr="00576ACB" w14:paraId="49FA5C7B" w14:textId="77777777" w:rsidTr="00DC64B4">
        <w:tc>
          <w:tcPr>
            <w:tcW w:w="211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C0D8EF2"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Ukazatel</w:t>
            </w:r>
          </w:p>
        </w:tc>
        <w:tc>
          <w:tcPr>
            <w:tcW w:w="744"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F31D3F8"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Skutečnost</w:t>
            </w:r>
          </w:p>
          <w:p w14:paraId="159DCD41"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202</w:t>
            </w:r>
            <w:r>
              <w:rPr>
                <w:rFonts w:eastAsia="Times New Roman" w:cs="Times New Roman"/>
                <w:b/>
                <w:lang w:eastAsia="cs-CZ"/>
              </w:rPr>
              <w:t>1</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1D7E943"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Schválený rozpočet</w:t>
            </w:r>
          </w:p>
          <w:p w14:paraId="331CA773"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202</w:t>
            </w:r>
            <w:r>
              <w:rPr>
                <w:rFonts w:eastAsia="Times New Roman" w:cs="Times New Roman"/>
                <w:b/>
                <w:lang w:eastAsia="cs-CZ"/>
              </w:rPr>
              <w:t>2</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D50C722"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Návrh</w:t>
            </w:r>
          </w:p>
          <w:p w14:paraId="4EF453D1"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rozpočtu</w:t>
            </w:r>
          </w:p>
          <w:p w14:paraId="0E406B7F"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202</w:t>
            </w:r>
            <w:r>
              <w:rPr>
                <w:rFonts w:eastAsia="Times New Roman" w:cs="Times New Roman"/>
                <w:b/>
                <w:lang w:eastAsia="cs-CZ"/>
              </w:rPr>
              <w:t>3</w:t>
            </w:r>
          </w:p>
        </w:tc>
        <w:tc>
          <w:tcPr>
            <w:tcW w:w="58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689032"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Index</w:t>
            </w:r>
          </w:p>
          <w:p w14:paraId="3E70BCAF"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202</w:t>
            </w:r>
            <w:r>
              <w:rPr>
                <w:rFonts w:eastAsia="Times New Roman" w:cs="Times New Roman"/>
                <w:b/>
                <w:lang w:eastAsia="cs-CZ"/>
              </w:rPr>
              <w:t>3</w:t>
            </w:r>
            <w:r w:rsidRPr="00576ACB">
              <w:rPr>
                <w:rFonts w:eastAsia="Times New Roman" w:cs="Times New Roman"/>
                <w:b/>
                <w:lang w:eastAsia="cs-CZ"/>
              </w:rPr>
              <w:t>/</w:t>
            </w:r>
            <w:r w:rsidRPr="00576ACB">
              <w:rPr>
                <w:rFonts w:eastAsia="Times New Roman" w:cs="Times New Roman"/>
                <w:b/>
                <w:lang w:eastAsia="cs-CZ"/>
              </w:rPr>
              <w:br/>
              <w:t>202</w:t>
            </w:r>
            <w:r>
              <w:rPr>
                <w:rFonts w:eastAsia="Times New Roman" w:cs="Times New Roman"/>
                <w:b/>
                <w:lang w:eastAsia="cs-CZ"/>
              </w:rPr>
              <w:t>2</w:t>
            </w:r>
          </w:p>
          <w:p w14:paraId="06035C58" w14:textId="77777777" w:rsidR="00294285" w:rsidRPr="00576ACB" w:rsidRDefault="00294285" w:rsidP="00DC64B4">
            <w:pPr>
              <w:jc w:val="center"/>
              <w:rPr>
                <w:rFonts w:eastAsia="Times New Roman" w:cs="Times New Roman"/>
                <w:b/>
                <w:lang w:eastAsia="cs-CZ"/>
              </w:rPr>
            </w:pPr>
            <w:r w:rsidRPr="00576ACB">
              <w:rPr>
                <w:rFonts w:eastAsia="Times New Roman" w:cs="Times New Roman"/>
                <w:b/>
                <w:lang w:eastAsia="cs-CZ"/>
              </w:rPr>
              <w:t>(v %)</w:t>
            </w:r>
          </w:p>
        </w:tc>
      </w:tr>
      <w:tr w:rsidR="00294285" w:rsidRPr="00576ACB" w14:paraId="0C260542" w14:textId="77777777" w:rsidTr="00DC64B4">
        <w:tc>
          <w:tcPr>
            <w:tcW w:w="2115" w:type="pct"/>
            <w:tcBorders>
              <w:top w:val="single" w:sz="4" w:space="0" w:color="7F7F7F" w:themeColor="text1" w:themeTint="80"/>
              <w:bottom w:val="single" w:sz="8" w:space="0" w:color="7F7F7F" w:themeColor="text1" w:themeTint="80"/>
            </w:tcBorders>
            <w:shd w:val="clear" w:color="auto" w:fill="auto"/>
          </w:tcPr>
          <w:p w14:paraId="24BAC396" w14:textId="77777777" w:rsidR="00294285" w:rsidRPr="00576ACB" w:rsidRDefault="00294285" w:rsidP="00DC64B4">
            <w:pPr>
              <w:jc w:val="center"/>
              <w:rPr>
                <w:rFonts w:eastAsia="Times New Roman" w:cs="Times New Roman"/>
                <w:lang w:eastAsia="cs-CZ"/>
              </w:rPr>
            </w:pPr>
            <w:r w:rsidRPr="00576ACB">
              <w:rPr>
                <w:rFonts w:eastAsia="Times New Roman" w:cs="Times New Roman"/>
                <w:lang w:eastAsia="cs-CZ"/>
              </w:rPr>
              <w:t>a</w:t>
            </w:r>
          </w:p>
        </w:tc>
        <w:tc>
          <w:tcPr>
            <w:tcW w:w="744" w:type="pct"/>
            <w:tcBorders>
              <w:top w:val="single" w:sz="4" w:space="0" w:color="7F7F7F" w:themeColor="text1" w:themeTint="80"/>
              <w:bottom w:val="single" w:sz="8" w:space="0" w:color="7F7F7F" w:themeColor="text1" w:themeTint="80"/>
            </w:tcBorders>
            <w:shd w:val="clear" w:color="auto" w:fill="auto"/>
          </w:tcPr>
          <w:p w14:paraId="2BEE105C" w14:textId="77777777" w:rsidR="00294285" w:rsidRPr="00576ACB" w:rsidRDefault="00294285" w:rsidP="00DC64B4">
            <w:pPr>
              <w:jc w:val="center"/>
              <w:rPr>
                <w:rFonts w:eastAsia="Times New Roman" w:cs="Times New Roman"/>
                <w:lang w:eastAsia="cs-CZ"/>
              </w:rPr>
            </w:pPr>
            <w:r w:rsidRPr="00576ACB">
              <w:rPr>
                <w:rFonts w:eastAsia="Times New Roman" w:cs="Times New Roman"/>
                <w:lang w:eastAsia="cs-CZ"/>
              </w:rPr>
              <w:t>1</w:t>
            </w:r>
          </w:p>
        </w:tc>
        <w:tc>
          <w:tcPr>
            <w:tcW w:w="780" w:type="pct"/>
            <w:tcBorders>
              <w:top w:val="single" w:sz="4" w:space="0" w:color="7F7F7F" w:themeColor="text1" w:themeTint="80"/>
              <w:bottom w:val="single" w:sz="8" w:space="0" w:color="7F7F7F" w:themeColor="text1" w:themeTint="80"/>
            </w:tcBorders>
            <w:shd w:val="clear" w:color="auto" w:fill="auto"/>
          </w:tcPr>
          <w:p w14:paraId="66F65C1B" w14:textId="77777777" w:rsidR="00294285" w:rsidRPr="00576ACB" w:rsidRDefault="00294285" w:rsidP="00DC64B4">
            <w:pPr>
              <w:jc w:val="center"/>
              <w:rPr>
                <w:rFonts w:eastAsia="Times New Roman" w:cs="Times New Roman"/>
                <w:lang w:eastAsia="cs-CZ"/>
              </w:rPr>
            </w:pPr>
            <w:r w:rsidRPr="00576ACB">
              <w:rPr>
                <w:rFonts w:eastAsia="Times New Roman" w:cs="Times New Roman"/>
                <w:lang w:eastAsia="cs-CZ"/>
              </w:rPr>
              <w:t>2</w:t>
            </w:r>
          </w:p>
        </w:tc>
        <w:tc>
          <w:tcPr>
            <w:tcW w:w="780" w:type="pct"/>
            <w:tcBorders>
              <w:top w:val="single" w:sz="4" w:space="0" w:color="7F7F7F" w:themeColor="text1" w:themeTint="80"/>
              <w:bottom w:val="single" w:sz="8" w:space="0" w:color="7F7F7F" w:themeColor="text1" w:themeTint="80"/>
            </w:tcBorders>
            <w:shd w:val="clear" w:color="auto" w:fill="auto"/>
          </w:tcPr>
          <w:p w14:paraId="14386AFA" w14:textId="77777777" w:rsidR="00294285" w:rsidRPr="00576ACB" w:rsidRDefault="00294285" w:rsidP="00DC64B4">
            <w:pPr>
              <w:jc w:val="center"/>
              <w:rPr>
                <w:rFonts w:eastAsia="Times New Roman" w:cs="Times New Roman"/>
                <w:lang w:eastAsia="cs-CZ"/>
              </w:rPr>
            </w:pPr>
            <w:r w:rsidRPr="00576ACB">
              <w:rPr>
                <w:rFonts w:eastAsia="Times New Roman" w:cs="Times New Roman"/>
                <w:lang w:eastAsia="cs-CZ"/>
              </w:rPr>
              <w:t>3</w:t>
            </w:r>
          </w:p>
        </w:tc>
        <w:tc>
          <w:tcPr>
            <w:tcW w:w="581" w:type="pct"/>
            <w:tcBorders>
              <w:top w:val="single" w:sz="4" w:space="0" w:color="7F7F7F" w:themeColor="text1" w:themeTint="80"/>
              <w:bottom w:val="single" w:sz="8" w:space="0" w:color="7F7F7F" w:themeColor="text1" w:themeTint="80"/>
            </w:tcBorders>
            <w:shd w:val="clear" w:color="auto" w:fill="auto"/>
          </w:tcPr>
          <w:p w14:paraId="536CB343" w14:textId="77777777" w:rsidR="00294285" w:rsidRPr="00576ACB" w:rsidRDefault="00294285" w:rsidP="00DC64B4">
            <w:pPr>
              <w:jc w:val="center"/>
              <w:rPr>
                <w:rFonts w:eastAsia="Times New Roman" w:cs="Times New Roman"/>
                <w:lang w:eastAsia="cs-CZ"/>
              </w:rPr>
            </w:pPr>
            <w:r w:rsidRPr="00576ACB">
              <w:rPr>
                <w:rFonts w:eastAsia="Times New Roman" w:cs="Times New Roman"/>
                <w:lang w:eastAsia="cs-CZ"/>
              </w:rPr>
              <w:t>4</w:t>
            </w:r>
          </w:p>
        </w:tc>
      </w:tr>
      <w:tr w:rsidR="00294285" w:rsidRPr="001A4A31" w14:paraId="51B7957D" w14:textId="77777777" w:rsidTr="00DC64B4">
        <w:tc>
          <w:tcPr>
            <w:tcW w:w="2115" w:type="pct"/>
            <w:tcBorders>
              <w:top w:val="single" w:sz="8" w:space="0" w:color="7F7F7F" w:themeColor="text1" w:themeTint="80"/>
              <w:bottom w:val="single" w:sz="8" w:space="0" w:color="7F7F7F" w:themeColor="text1" w:themeTint="80"/>
            </w:tcBorders>
            <w:shd w:val="clear" w:color="auto" w:fill="auto"/>
          </w:tcPr>
          <w:p w14:paraId="29A46861" w14:textId="77777777" w:rsidR="00294285" w:rsidRPr="00576ACB" w:rsidRDefault="00294285" w:rsidP="00DC64B4">
            <w:pPr>
              <w:rPr>
                <w:rFonts w:eastAsia="Times New Roman" w:cs="Times New Roman"/>
                <w:b/>
                <w:lang w:eastAsia="cs-CZ"/>
              </w:rPr>
            </w:pPr>
            <w:r w:rsidRPr="00576ACB">
              <w:rPr>
                <w:rFonts w:eastAsia="Times New Roman" w:cs="Times New Roman"/>
                <w:b/>
                <w:lang w:eastAsia="cs-CZ"/>
              </w:rPr>
              <w:t xml:space="preserve">Příspěvkové organizace </w:t>
            </w:r>
            <w:r w:rsidRPr="00576ACB">
              <w:rPr>
                <w:rFonts w:eastAsia="Times New Roman" w:cs="Times New Roman"/>
                <w:lang w:eastAsia="cs-CZ"/>
              </w:rPr>
              <w:t>v tom:</w:t>
            </w:r>
          </w:p>
        </w:tc>
        <w:tc>
          <w:tcPr>
            <w:tcW w:w="744" w:type="pct"/>
            <w:tcBorders>
              <w:top w:val="single" w:sz="8" w:space="0" w:color="7F7F7F" w:themeColor="text1" w:themeTint="80"/>
              <w:bottom w:val="single" w:sz="8" w:space="0" w:color="7F7F7F" w:themeColor="text1" w:themeTint="80"/>
            </w:tcBorders>
            <w:shd w:val="clear" w:color="auto" w:fill="auto"/>
          </w:tcPr>
          <w:p w14:paraId="23451BF2" w14:textId="77777777" w:rsidR="00294285" w:rsidRPr="00576ACB" w:rsidRDefault="00294285" w:rsidP="00DC64B4">
            <w:pPr>
              <w:jc w:val="right"/>
              <w:rPr>
                <w:rFonts w:eastAsia="Times New Roman" w:cs="Times New Roman"/>
                <w:b/>
                <w:lang w:eastAsia="cs-CZ"/>
              </w:rPr>
            </w:pPr>
            <w:r w:rsidRPr="00576ACB">
              <w:rPr>
                <w:rFonts w:eastAsia="Times New Roman" w:cs="Times New Roman"/>
                <w:b/>
                <w:lang w:eastAsia="cs-CZ"/>
              </w:rPr>
              <w:t>3 958</w:t>
            </w:r>
          </w:p>
        </w:tc>
        <w:tc>
          <w:tcPr>
            <w:tcW w:w="780" w:type="pct"/>
            <w:tcBorders>
              <w:top w:val="single" w:sz="8" w:space="0" w:color="7F7F7F" w:themeColor="text1" w:themeTint="80"/>
              <w:bottom w:val="single" w:sz="8" w:space="0" w:color="7F7F7F" w:themeColor="text1" w:themeTint="80"/>
            </w:tcBorders>
            <w:shd w:val="clear" w:color="auto" w:fill="auto"/>
          </w:tcPr>
          <w:p w14:paraId="2D4DCA10" w14:textId="77777777" w:rsidR="00294285" w:rsidRPr="00576ACB" w:rsidRDefault="00294285" w:rsidP="00DC64B4">
            <w:pPr>
              <w:jc w:val="right"/>
              <w:rPr>
                <w:rFonts w:eastAsia="Times New Roman" w:cs="Times New Roman"/>
                <w:b/>
                <w:lang w:eastAsia="cs-CZ"/>
              </w:rPr>
            </w:pPr>
            <w:r w:rsidRPr="00576ACB">
              <w:rPr>
                <w:rFonts w:eastAsia="Times New Roman" w:cs="Times New Roman"/>
                <w:b/>
                <w:lang w:eastAsia="cs-CZ"/>
              </w:rPr>
              <w:t>198 364</w:t>
            </w:r>
          </w:p>
        </w:tc>
        <w:tc>
          <w:tcPr>
            <w:tcW w:w="780" w:type="pct"/>
            <w:tcBorders>
              <w:top w:val="single" w:sz="8" w:space="0" w:color="7F7F7F" w:themeColor="text1" w:themeTint="80"/>
              <w:bottom w:val="single" w:sz="8" w:space="0" w:color="7F7F7F" w:themeColor="text1" w:themeTint="80"/>
            </w:tcBorders>
            <w:shd w:val="clear" w:color="auto" w:fill="auto"/>
          </w:tcPr>
          <w:p w14:paraId="1C4D95AA" w14:textId="77777777" w:rsidR="00294285" w:rsidRPr="00576ACB" w:rsidRDefault="00294285" w:rsidP="00DC64B4">
            <w:pPr>
              <w:jc w:val="right"/>
              <w:rPr>
                <w:rFonts w:eastAsia="Times New Roman" w:cs="Times New Roman"/>
                <w:b/>
                <w:lang w:eastAsia="cs-CZ"/>
              </w:rPr>
            </w:pPr>
            <w:r w:rsidRPr="00576ACB">
              <w:rPr>
                <w:rFonts w:eastAsia="Times New Roman" w:cs="Times New Roman"/>
                <w:b/>
                <w:lang w:eastAsia="cs-CZ"/>
              </w:rPr>
              <w:t>292 721</w:t>
            </w:r>
          </w:p>
        </w:tc>
        <w:tc>
          <w:tcPr>
            <w:tcW w:w="581" w:type="pct"/>
            <w:tcBorders>
              <w:top w:val="single" w:sz="8" w:space="0" w:color="7F7F7F" w:themeColor="text1" w:themeTint="80"/>
              <w:bottom w:val="single" w:sz="8" w:space="0" w:color="7F7F7F" w:themeColor="text1" w:themeTint="80"/>
            </w:tcBorders>
            <w:shd w:val="clear" w:color="auto" w:fill="auto"/>
          </w:tcPr>
          <w:p w14:paraId="67736A08" w14:textId="77777777" w:rsidR="00294285" w:rsidRPr="001A4A31" w:rsidRDefault="00294285" w:rsidP="00DC64B4">
            <w:pPr>
              <w:jc w:val="right"/>
              <w:rPr>
                <w:rFonts w:eastAsia="Times New Roman" w:cs="Times New Roman"/>
                <w:b/>
                <w:color w:val="000000" w:themeColor="text1"/>
                <w:lang w:eastAsia="cs-CZ"/>
              </w:rPr>
            </w:pPr>
            <w:r w:rsidRPr="001A4A31">
              <w:rPr>
                <w:rFonts w:eastAsia="Times New Roman" w:cs="Times New Roman"/>
                <w:b/>
                <w:color w:val="000000" w:themeColor="text1"/>
                <w:lang w:eastAsia="cs-CZ"/>
              </w:rPr>
              <w:t>147,57</w:t>
            </w:r>
          </w:p>
        </w:tc>
      </w:tr>
      <w:tr w:rsidR="00294285" w:rsidRPr="001A4A31" w14:paraId="6D41B6CC" w14:textId="77777777" w:rsidTr="00DC64B4">
        <w:tc>
          <w:tcPr>
            <w:tcW w:w="2115" w:type="pct"/>
            <w:tcBorders>
              <w:top w:val="single" w:sz="8" w:space="0" w:color="7F7F7F" w:themeColor="text1" w:themeTint="80"/>
              <w:bottom w:val="nil"/>
            </w:tcBorders>
            <w:shd w:val="clear" w:color="auto" w:fill="auto"/>
          </w:tcPr>
          <w:p w14:paraId="0AEEBB6C" w14:textId="77777777" w:rsidR="00294285" w:rsidRPr="00576ACB" w:rsidRDefault="00294285" w:rsidP="00DC64B4">
            <w:pPr>
              <w:rPr>
                <w:rFonts w:eastAsia="Times New Roman" w:cs="Times New Roman"/>
                <w:lang w:eastAsia="cs-CZ"/>
              </w:rPr>
            </w:pPr>
            <w:r w:rsidRPr="00576ACB">
              <w:rPr>
                <w:rFonts w:eastAsia="Times New Roman" w:cs="Times New Roman"/>
                <w:lang w:eastAsia="cs-CZ"/>
              </w:rPr>
              <w:t>běžné výdaje v tom:</w:t>
            </w:r>
          </w:p>
        </w:tc>
        <w:tc>
          <w:tcPr>
            <w:tcW w:w="744" w:type="pct"/>
            <w:tcBorders>
              <w:top w:val="single" w:sz="8" w:space="0" w:color="7F7F7F" w:themeColor="text1" w:themeTint="80"/>
              <w:bottom w:val="nil"/>
            </w:tcBorders>
            <w:shd w:val="clear" w:color="auto" w:fill="auto"/>
          </w:tcPr>
          <w:p w14:paraId="0398DE01" w14:textId="77777777" w:rsidR="00294285" w:rsidRPr="00576ACB" w:rsidRDefault="00294285" w:rsidP="00DC64B4">
            <w:pPr>
              <w:jc w:val="right"/>
              <w:rPr>
                <w:rFonts w:eastAsia="Times New Roman" w:cs="Times New Roman"/>
                <w:lang w:eastAsia="cs-CZ"/>
              </w:rPr>
            </w:pPr>
            <w:r w:rsidRPr="00576ACB">
              <w:rPr>
                <w:rFonts w:eastAsia="Times New Roman" w:cs="Times New Roman"/>
                <w:lang w:eastAsia="cs-CZ"/>
              </w:rPr>
              <w:t>3 692</w:t>
            </w:r>
          </w:p>
        </w:tc>
        <w:tc>
          <w:tcPr>
            <w:tcW w:w="780" w:type="pct"/>
            <w:tcBorders>
              <w:top w:val="single" w:sz="8" w:space="0" w:color="7F7F7F" w:themeColor="text1" w:themeTint="80"/>
              <w:bottom w:val="nil"/>
            </w:tcBorders>
            <w:shd w:val="clear" w:color="auto" w:fill="auto"/>
          </w:tcPr>
          <w:p w14:paraId="1A896F95" w14:textId="77777777" w:rsidR="00294285" w:rsidRPr="001A4A31" w:rsidRDefault="00294285"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571</w:t>
            </w:r>
          </w:p>
        </w:tc>
        <w:tc>
          <w:tcPr>
            <w:tcW w:w="780" w:type="pct"/>
            <w:tcBorders>
              <w:top w:val="single" w:sz="8" w:space="0" w:color="7F7F7F" w:themeColor="text1" w:themeTint="80"/>
              <w:bottom w:val="nil"/>
            </w:tcBorders>
            <w:shd w:val="clear" w:color="auto" w:fill="auto"/>
          </w:tcPr>
          <w:p w14:paraId="258A68D8" w14:textId="77777777" w:rsidR="00294285" w:rsidRPr="001A4A31" w:rsidRDefault="00294285"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480</w:t>
            </w:r>
          </w:p>
        </w:tc>
        <w:tc>
          <w:tcPr>
            <w:tcW w:w="581" w:type="pct"/>
            <w:tcBorders>
              <w:top w:val="single" w:sz="8" w:space="0" w:color="7F7F7F" w:themeColor="text1" w:themeTint="80"/>
              <w:bottom w:val="nil"/>
            </w:tcBorders>
            <w:shd w:val="clear" w:color="auto" w:fill="auto"/>
          </w:tcPr>
          <w:p w14:paraId="49E4E569" w14:textId="77777777" w:rsidR="00294285" w:rsidRPr="001A4A31" w:rsidRDefault="00294285"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84,06</w:t>
            </w:r>
          </w:p>
        </w:tc>
      </w:tr>
      <w:tr w:rsidR="00294285" w:rsidRPr="001A4A31" w14:paraId="2D97C43B" w14:textId="77777777" w:rsidTr="00DC64B4">
        <w:tc>
          <w:tcPr>
            <w:tcW w:w="2115" w:type="pct"/>
            <w:tcBorders>
              <w:top w:val="nil"/>
              <w:bottom w:val="nil"/>
            </w:tcBorders>
            <w:shd w:val="clear" w:color="auto" w:fill="auto"/>
          </w:tcPr>
          <w:p w14:paraId="0D0E9F28" w14:textId="77777777" w:rsidR="00294285" w:rsidRPr="00576ACB" w:rsidRDefault="00294285" w:rsidP="00DC64B4">
            <w:pPr>
              <w:rPr>
                <w:rFonts w:eastAsia="Times New Roman" w:cs="Times New Roman"/>
                <w:i/>
                <w:lang w:eastAsia="cs-CZ"/>
              </w:rPr>
            </w:pPr>
            <w:r w:rsidRPr="00576ACB">
              <w:rPr>
                <w:rFonts w:eastAsia="Times New Roman" w:cs="Times New Roman"/>
                <w:i/>
                <w:lang w:eastAsia="cs-CZ"/>
              </w:rPr>
              <w:t xml:space="preserve">       prostředky SR </w:t>
            </w:r>
          </w:p>
        </w:tc>
        <w:tc>
          <w:tcPr>
            <w:tcW w:w="744" w:type="pct"/>
            <w:tcBorders>
              <w:top w:val="nil"/>
              <w:bottom w:val="nil"/>
            </w:tcBorders>
            <w:shd w:val="clear" w:color="auto" w:fill="auto"/>
          </w:tcPr>
          <w:p w14:paraId="04FC7C81" w14:textId="77777777" w:rsidR="00294285" w:rsidRPr="00576ACB" w:rsidRDefault="00294285" w:rsidP="00DC64B4">
            <w:pPr>
              <w:jc w:val="right"/>
              <w:rPr>
                <w:rFonts w:eastAsia="Times New Roman" w:cs="Times New Roman"/>
                <w:i/>
                <w:lang w:eastAsia="cs-CZ"/>
              </w:rPr>
            </w:pPr>
            <w:r w:rsidRPr="00576ACB">
              <w:rPr>
                <w:rFonts w:eastAsia="Times New Roman" w:cs="Times New Roman"/>
                <w:i/>
                <w:lang w:eastAsia="cs-CZ"/>
              </w:rPr>
              <w:t>3 692</w:t>
            </w:r>
          </w:p>
        </w:tc>
        <w:tc>
          <w:tcPr>
            <w:tcW w:w="780" w:type="pct"/>
            <w:tcBorders>
              <w:top w:val="nil"/>
              <w:bottom w:val="nil"/>
            </w:tcBorders>
            <w:shd w:val="clear" w:color="auto" w:fill="auto"/>
          </w:tcPr>
          <w:p w14:paraId="65411277"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780" w:type="pct"/>
            <w:tcBorders>
              <w:top w:val="nil"/>
              <w:bottom w:val="nil"/>
            </w:tcBorders>
            <w:shd w:val="clear" w:color="auto" w:fill="auto"/>
          </w:tcPr>
          <w:p w14:paraId="0C6E4284"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581" w:type="pct"/>
            <w:tcBorders>
              <w:top w:val="nil"/>
              <w:bottom w:val="nil"/>
            </w:tcBorders>
            <w:shd w:val="clear" w:color="auto" w:fill="auto"/>
          </w:tcPr>
          <w:p w14:paraId="7CFA68EA"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x</w:t>
            </w:r>
          </w:p>
        </w:tc>
      </w:tr>
      <w:tr w:rsidR="00294285" w:rsidRPr="001A4A31" w14:paraId="0AE5362E" w14:textId="77777777" w:rsidTr="00DC64B4">
        <w:tc>
          <w:tcPr>
            <w:tcW w:w="2115" w:type="pct"/>
            <w:tcBorders>
              <w:top w:val="nil"/>
              <w:bottom w:val="single" w:sz="4" w:space="0" w:color="7F7F7F" w:themeColor="text1" w:themeTint="80"/>
            </w:tcBorders>
            <w:shd w:val="clear" w:color="auto" w:fill="auto"/>
          </w:tcPr>
          <w:p w14:paraId="324FE294" w14:textId="77777777" w:rsidR="00294285" w:rsidRPr="00576ACB" w:rsidRDefault="00294285" w:rsidP="00DC64B4">
            <w:pPr>
              <w:rPr>
                <w:rFonts w:eastAsia="Times New Roman" w:cs="Times New Roman"/>
                <w:i/>
                <w:lang w:eastAsia="cs-CZ"/>
              </w:rPr>
            </w:pPr>
            <w:r w:rsidRPr="00576ACB">
              <w:rPr>
                <w:rFonts w:eastAsia="Times New Roman" w:cs="Times New Roman"/>
                <w:i/>
                <w:lang w:eastAsia="cs-CZ"/>
              </w:rPr>
              <w:t xml:space="preserve">       prostředky z fondů EU</w:t>
            </w:r>
          </w:p>
        </w:tc>
        <w:tc>
          <w:tcPr>
            <w:tcW w:w="744" w:type="pct"/>
            <w:tcBorders>
              <w:top w:val="nil"/>
              <w:bottom w:val="single" w:sz="2" w:space="0" w:color="7F7F7F" w:themeColor="text1" w:themeTint="80"/>
            </w:tcBorders>
            <w:shd w:val="clear" w:color="auto" w:fill="auto"/>
          </w:tcPr>
          <w:p w14:paraId="3DB404C2" w14:textId="77777777" w:rsidR="00294285" w:rsidRPr="00576ACB" w:rsidRDefault="00294285" w:rsidP="00DC64B4">
            <w:pPr>
              <w:jc w:val="right"/>
              <w:rPr>
                <w:rFonts w:eastAsia="Times New Roman" w:cs="Times New Roman"/>
                <w:i/>
                <w:lang w:eastAsia="cs-CZ"/>
              </w:rPr>
            </w:pPr>
            <w:r w:rsidRPr="00576ACB">
              <w:rPr>
                <w:rFonts w:eastAsia="Times New Roman" w:cs="Times New Roman"/>
                <w:i/>
                <w:lang w:eastAsia="cs-CZ"/>
              </w:rPr>
              <w:t>0</w:t>
            </w:r>
          </w:p>
        </w:tc>
        <w:tc>
          <w:tcPr>
            <w:tcW w:w="780" w:type="pct"/>
            <w:tcBorders>
              <w:top w:val="nil"/>
              <w:bottom w:val="single" w:sz="2" w:space="0" w:color="7F7F7F" w:themeColor="text1" w:themeTint="80"/>
            </w:tcBorders>
            <w:shd w:val="clear" w:color="auto" w:fill="auto"/>
          </w:tcPr>
          <w:p w14:paraId="3E275AC5"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571</w:t>
            </w:r>
          </w:p>
        </w:tc>
        <w:tc>
          <w:tcPr>
            <w:tcW w:w="780" w:type="pct"/>
            <w:tcBorders>
              <w:top w:val="nil"/>
              <w:bottom w:val="single" w:sz="2" w:space="0" w:color="7F7F7F" w:themeColor="text1" w:themeTint="80"/>
            </w:tcBorders>
            <w:shd w:val="clear" w:color="auto" w:fill="auto"/>
          </w:tcPr>
          <w:p w14:paraId="06D21EAC"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480</w:t>
            </w:r>
          </w:p>
        </w:tc>
        <w:tc>
          <w:tcPr>
            <w:tcW w:w="581" w:type="pct"/>
            <w:tcBorders>
              <w:top w:val="nil"/>
              <w:bottom w:val="single" w:sz="2" w:space="0" w:color="7F7F7F" w:themeColor="text1" w:themeTint="80"/>
            </w:tcBorders>
            <w:shd w:val="clear" w:color="auto" w:fill="auto"/>
          </w:tcPr>
          <w:p w14:paraId="45EF5D90"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84,06</w:t>
            </w:r>
          </w:p>
        </w:tc>
      </w:tr>
      <w:tr w:rsidR="00294285" w:rsidRPr="001A4A31" w14:paraId="6280C2EF" w14:textId="77777777" w:rsidTr="00DC64B4">
        <w:tc>
          <w:tcPr>
            <w:tcW w:w="2115" w:type="pct"/>
            <w:tcBorders>
              <w:top w:val="single" w:sz="4" w:space="0" w:color="7F7F7F" w:themeColor="text1" w:themeTint="80"/>
              <w:bottom w:val="nil"/>
            </w:tcBorders>
            <w:shd w:val="clear" w:color="auto" w:fill="auto"/>
          </w:tcPr>
          <w:p w14:paraId="165C4686" w14:textId="77777777" w:rsidR="00294285" w:rsidRPr="00576ACB" w:rsidRDefault="00294285" w:rsidP="00DC64B4">
            <w:pPr>
              <w:spacing w:before="27"/>
              <w:rPr>
                <w:rFonts w:eastAsia="Times New Roman" w:cs="Times New Roman"/>
                <w:lang w:eastAsia="cs-CZ"/>
              </w:rPr>
            </w:pPr>
            <w:r w:rsidRPr="00576ACB">
              <w:rPr>
                <w:rFonts w:eastAsia="Times New Roman" w:cs="Times New Roman"/>
                <w:lang w:eastAsia="cs-CZ"/>
              </w:rPr>
              <w:t>kapitálové výdaje v tom:</w:t>
            </w:r>
          </w:p>
        </w:tc>
        <w:tc>
          <w:tcPr>
            <w:tcW w:w="744" w:type="pct"/>
            <w:tcBorders>
              <w:top w:val="single" w:sz="2" w:space="0" w:color="7F7F7F" w:themeColor="text1" w:themeTint="80"/>
              <w:bottom w:val="nil"/>
            </w:tcBorders>
            <w:shd w:val="clear" w:color="auto" w:fill="auto"/>
          </w:tcPr>
          <w:p w14:paraId="6D0A44EA" w14:textId="77777777" w:rsidR="00294285" w:rsidRPr="00576ACB" w:rsidRDefault="00294285" w:rsidP="00DC64B4">
            <w:pPr>
              <w:jc w:val="right"/>
              <w:rPr>
                <w:rFonts w:eastAsia="Times New Roman" w:cs="Times New Roman"/>
                <w:lang w:eastAsia="cs-CZ"/>
              </w:rPr>
            </w:pPr>
            <w:r w:rsidRPr="00576ACB">
              <w:rPr>
                <w:rFonts w:eastAsia="Times New Roman" w:cs="Times New Roman"/>
                <w:lang w:eastAsia="cs-CZ"/>
              </w:rPr>
              <w:t>266</w:t>
            </w:r>
          </w:p>
        </w:tc>
        <w:tc>
          <w:tcPr>
            <w:tcW w:w="780" w:type="pct"/>
            <w:tcBorders>
              <w:top w:val="single" w:sz="2" w:space="0" w:color="7F7F7F" w:themeColor="text1" w:themeTint="80"/>
              <w:bottom w:val="nil"/>
            </w:tcBorders>
            <w:shd w:val="clear" w:color="auto" w:fill="auto"/>
          </w:tcPr>
          <w:p w14:paraId="3E02B4BA" w14:textId="77777777" w:rsidR="00294285" w:rsidRPr="001A4A31" w:rsidRDefault="00294285"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197 793</w:t>
            </w:r>
          </w:p>
        </w:tc>
        <w:tc>
          <w:tcPr>
            <w:tcW w:w="780" w:type="pct"/>
            <w:tcBorders>
              <w:top w:val="single" w:sz="2" w:space="0" w:color="7F7F7F" w:themeColor="text1" w:themeTint="80"/>
              <w:bottom w:val="nil"/>
            </w:tcBorders>
            <w:shd w:val="clear" w:color="auto" w:fill="auto"/>
          </w:tcPr>
          <w:p w14:paraId="08DC16D2" w14:textId="77777777" w:rsidR="00294285" w:rsidRPr="001A4A31" w:rsidRDefault="00294285"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292 241</w:t>
            </w:r>
          </w:p>
        </w:tc>
        <w:tc>
          <w:tcPr>
            <w:tcW w:w="581" w:type="pct"/>
            <w:tcBorders>
              <w:top w:val="single" w:sz="2" w:space="0" w:color="7F7F7F" w:themeColor="text1" w:themeTint="80"/>
              <w:bottom w:val="nil"/>
            </w:tcBorders>
            <w:shd w:val="clear" w:color="auto" w:fill="auto"/>
          </w:tcPr>
          <w:p w14:paraId="7E642232" w14:textId="77777777" w:rsidR="00294285" w:rsidRPr="001A4A31" w:rsidRDefault="00294285"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147,75</w:t>
            </w:r>
          </w:p>
        </w:tc>
      </w:tr>
      <w:tr w:rsidR="00294285" w:rsidRPr="001A4A31" w14:paraId="7A57696D" w14:textId="77777777" w:rsidTr="00DC64B4">
        <w:tc>
          <w:tcPr>
            <w:tcW w:w="2115" w:type="pct"/>
            <w:tcBorders>
              <w:top w:val="nil"/>
              <w:bottom w:val="nil"/>
            </w:tcBorders>
            <w:shd w:val="clear" w:color="auto" w:fill="auto"/>
          </w:tcPr>
          <w:p w14:paraId="00C344E3" w14:textId="77777777" w:rsidR="00294285" w:rsidRPr="00576ACB" w:rsidRDefault="00294285" w:rsidP="00DC64B4">
            <w:pPr>
              <w:rPr>
                <w:rFonts w:eastAsia="Times New Roman" w:cs="Times New Roman"/>
                <w:i/>
                <w:lang w:eastAsia="cs-CZ"/>
              </w:rPr>
            </w:pPr>
            <w:r w:rsidRPr="00576ACB">
              <w:rPr>
                <w:rFonts w:eastAsia="Times New Roman" w:cs="Times New Roman"/>
                <w:i/>
                <w:lang w:eastAsia="cs-CZ"/>
              </w:rPr>
              <w:t xml:space="preserve">      prostředky SR</w:t>
            </w:r>
          </w:p>
        </w:tc>
        <w:tc>
          <w:tcPr>
            <w:tcW w:w="744" w:type="pct"/>
            <w:tcBorders>
              <w:top w:val="nil"/>
              <w:bottom w:val="nil"/>
            </w:tcBorders>
            <w:shd w:val="clear" w:color="auto" w:fill="auto"/>
          </w:tcPr>
          <w:p w14:paraId="5E3667D1" w14:textId="77777777" w:rsidR="00294285" w:rsidRPr="00576ACB" w:rsidRDefault="00294285" w:rsidP="00DC64B4">
            <w:pPr>
              <w:jc w:val="right"/>
              <w:rPr>
                <w:rFonts w:eastAsia="Times New Roman" w:cs="Times New Roman"/>
                <w:i/>
                <w:lang w:eastAsia="cs-CZ"/>
              </w:rPr>
            </w:pPr>
            <w:r w:rsidRPr="00576ACB">
              <w:rPr>
                <w:rFonts w:eastAsia="Times New Roman" w:cs="Times New Roman"/>
                <w:i/>
                <w:lang w:eastAsia="cs-CZ"/>
              </w:rPr>
              <w:t>266</w:t>
            </w:r>
          </w:p>
        </w:tc>
        <w:tc>
          <w:tcPr>
            <w:tcW w:w="780" w:type="pct"/>
            <w:tcBorders>
              <w:top w:val="nil"/>
              <w:bottom w:val="nil"/>
            </w:tcBorders>
            <w:shd w:val="clear" w:color="auto" w:fill="auto"/>
          </w:tcPr>
          <w:p w14:paraId="6839B556"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780" w:type="pct"/>
            <w:tcBorders>
              <w:top w:val="nil"/>
              <w:bottom w:val="nil"/>
            </w:tcBorders>
            <w:shd w:val="clear" w:color="auto" w:fill="auto"/>
          </w:tcPr>
          <w:p w14:paraId="08EE8594"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581" w:type="pct"/>
            <w:tcBorders>
              <w:top w:val="nil"/>
              <w:bottom w:val="nil"/>
            </w:tcBorders>
            <w:shd w:val="clear" w:color="auto" w:fill="auto"/>
          </w:tcPr>
          <w:p w14:paraId="4187305E"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x</w:t>
            </w:r>
          </w:p>
        </w:tc>
      </w:tr>
      <w:tr w:rsidR="00294285" w:rsidRPr="001A4A31" w14:paraId="2B008B6A" w14:textId="77777777" w:rsidTr="00DC64B4">
        <w:tc>
          <w:tcPr>
            <w:tcW w:w="2115" w:type="pct"/>
            <w:tcBorders>
              <w:top w:val="nil"/>
              <w:bottom w:val="single" w:sz="8" w:space="0" w:color="7F7F7F" w:themeColor="text1" w:themeTint="80"/>
            </w:tcBorders>
            <w:shd w:val="clear" w:color="auto" w:fill="auto"/>
          </w:tcPr>
          <w:p w14:paraId="06746E4A" w14:textId="77777777" w:rsidR="00294285" w:rsidRPr="00576ACB" w:rsidRDefault="00294285" w:rsidP="00DC64B4">
            <w:pPr>
              <w:rPr>
                <w:rFonts w:eastAsia="Times New Roman" w:cs="Times New Roman"/>
                <w:i/>
                <w:lang w:eastAsia="cs-CZ"/>
              </w:rPr>
            </w:pPr>
            <w:r w:rsidRPr="00576ACB">
              <w:rPr>
                <w:rFonts w:eastAsia="Times New Roman" w:cs="Times New Roman"/>
                <w:i/>
                <w:lang w:eastAsia="cs-CZ"/>
              </w:rPr>
              <w:t xml:space="preserve">      prostředky z fondů EU</w:t>
            </w:r>
          </w:p>
        </w:tc>
        <w:tc>
          <w:tcPr>
            <w:tcW w:w="744" w:type="pct"/>
            <w:tcBorders>
              <w:top w:val="nil"/>
              <w:bottom w:val="single" w:sz="8" w:space="0" w:color="7F7F7F" w:themeColor="text1" w:themeTint="80"/>
            </w:tcBorders>
            <w:shd w:val="clear" w:color="auto" w:fill="auto"/>
          </w:tcPr>
          <w:p w14:paraId="3BB7D1BE" w14:textId="77777777" w:rsidR="00294285" w:rsidRPr="00576ACB" w:rsidRDefault="00294285" w:rsidP="00DC64B4">
            <w:pPr>
              <w:jc w:val="right"/>
              <w:rPr>
                <w:rFonts w:eastAsia="Times New Roman" w:cs="Times New Roman"/>
                <w:i/>
                <w:lang w:eastAsia="cs-CZ"/>
              </w:rPr>
            </w:pPr>
            <w:r w:rsidRPr="00576ACB">
              <w:rPr>
                <w:rFonts w:eastAsia="Times New Roman" w:cs="Times New Roman"/>
                <w:i/>
                <w:lang w:eastAsia="cs-CZ"/>
              </w:rPr>
              <w:t>0</w:t>
            </w:r>
          </w:p>
        </w:tc>
        <w:tc>
          <w:tcPr>
            <w:tcW w:w="780" w:type="pct"/>
            <w:tcBorders>
              <w:top w:val="nil"/>
              <w:bottom w:val="single" w:sz="8" w:space="0" w:color="7F7F7F" w:themeColor="text1" w:themeTint="80"/>
            </w:tcBorders>
            <w:shd w:val="clear" w:color="auto" w:fill="auto"/>
          </w:tcPr>
          <w:p w14:paraId="15F63D18"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197 793</w:t>
            </w:r>
          </w:p>
        </w:tc>
        <w:tc>
          <w:tcPr>
            <w:tcW w:w="780" w:type="pct"/>
            <w:tcBorders>
              <w:top w:val="nil"/>
              <w:bottom w:val="single" w:sz="8" w:space="0" w:color="7F7F7F" w:themeColor="text1" w:themeTint="80"/>
            </w:tcBorders>
            <w:shd w:val="clear" w:color="auto" w:fill="auto"/>
          </w:tcPr>
          <w:p w14:paraId="229277BF"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292 241</w:t>
            </w:r>
          </w:p>
        </w:tc>
        <w:tc>
          <w:tcPr>
            <w:tcW w:w="581" w:type="pct"/>
            <w:tcBorders>
              <w:top w:val="nil"/>
              <w:bottom w:val="single" w:sz="8" w:space="0" w:color="7F7F7F" w:themeColor="text1" w:themeTint="80"/>
            </w:tcBorders>
            <w:shd w:val="clear" w:color="auto" w:fill="auto"/>
          </w:tcPr>
          <w:p w14:paraId="68088C70" w14:textId="77777777" w:rsidR="00294285" w:rsidRPr="001A4A31" w:rsidRDefault="00294285"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147,75</w:t>
            </w:r>
          </w:p>
        </w:tc>
      </w:tr>
    </w:tbl>
    <w:p w14:paraId="4F821C5D" w14:textId="77777777" w:rsidR="004B2F70" w:rsidRPr="0088307E" w:rsidRDefault="004B2F70" w:rsidP="004B2F70">
      <w:pPr>
        <w:pStyle w:val="Styl1"/>
      </w:pPr>
      <w:r w:rsidRPr="0088307E">
        <w:t xml:space="preserve">Státní příspěvkové organizace v působnosti Ministerstva dopravy jsou Ředitelství silnic </w:t>
      </w:r>
      <w:r w:rsidRPr="0088307E">
        <w:br/>
        <w:t xml:space="preserve">a dálnic ČR a Centrum služeb pro silniční dopravu. </w:t>
      </w:r>
    </w:p>
    <w:p w14:paraId="4D870BBA" w14:textId="77777777" w:rsidR="004B2F70" w:rsidRPr="0088307E" w:rsidRDefault="004B2F70" w:rsidP="004B2F70">
      <w:pPr>
        <w:pStyle w:val="Styl1"/>
      </w:pPr>
      <w:r w:rsidRPr="0088307E">
        <w:t xml:space="preserve">V dalším textu je uváděn návrh rozpočtu výdajů vedených v EDS/SMVS v členění </w:t>
      </w:r>
      <w:r w:rsidRPr="0088307E">
        <w:br/>
        <w:t xml:space="preserve">na jednotlivé programy a v členění dle konečných příjemců. </w:t>
      </w:r>
    </w:p>
    <w:p w14:paraId="50D9C6A5" w14:textId="77777777" w:rsidR="004B2F70" w:rsidRPr="0088307E" w:rsidRDefault="004B2F70" w:rsidP="004B2F70">
      <w:pPr>
        <w:spacing w:before="200" w:line="240" w:lineRule="auto"/>
        <w:rPr>
          <w:rFonts w:eastAsia="Times New Roman" w:cs="Times New Roman"/>
          <w:b/>
          <w:bCs/>
          <w:szCs w:val="24"/>
          <w:u w:val="single"/>
          <w:lang w:eastAsia="cs-CZ"/>
        </w:rPr>
      </w:pPr>
      <w:r w:rsidRPr="0088307E">
        <w:rPr>
          <w:rFonts w:eastAsia="Times New Roman" w:cs="Times New Roman"/>
          <w:b/>
          <w:bCs/>
          <w:szCs w:val="24"/>
          <w:u w:val="single"/>
          <w:lang w:eastAsia="cs-CZ"/>
        </w:rPr>
        <w:t>Ředitelství silnic a dálnic ČR</w:t>
      </w:r>
    </w:p>
    <w:p w14:paraId="4DA68D3E" w14:textId="0E3A4D31" w:rsidR="004B2F70" w:rsidRPr="0088307E" w:rsidRDefault="004B2F70" w:rsidP="00A4652C">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32</w:t>
      </w:r>
      <w:r w:rsidRPr="0088307E">
        <w:rPr>
          <w:noProof/>
        </w:rPr>
        <w:fldChar w:fldCharType="end"/>
      </w:r>
      <w:r w:rsidRPr="0088307E">
        <w:rPr>
          <w:noProof/>
        </w:rPr>
        <w:t xml:space="preserve"> Výdaje Ředitelství silnic a dálnic ČR vedené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2266"/>
        <w:gridCol w:w="1131"/>
        <w:gridCol w:w="1131"/>
        <w:gridCol w:w="1131"/>
        <w:gridCol w:w="1133"/>
        <w:gridCol w:w="1131"/>
        <w:gridCol w:w="1128"/>
      </w:tblGrid>
      <w:tr w:rsidR="00B20749" w:rsidRPr="001A4A31" w14:paraId="4EE5F4C9" w14:textId="77777777" w:rsidTr="00DC64B4">
        <w:tc>
          <w:tcPr>
            <w:tcW w:w="1251"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152C8F4" w14:textId="77777777" w:rsidR="00B20749" w:rsidRPr="001A4A31" w:rsidRDefault="00B20749" w:rsidP="00DC64B4">
            <w:pPr>
              <w:spacing w:line="240" w:lineRule="auto"/>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FF3E658" w14:textId="77777777" w:rsidR="00B20749" w:rsidRPr="001A4A31" w:rsidRDefault="00B20749" w:rsidP="00DC64B4">
            <w:pPr>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 xml:space="preserve">Skutečnost </w:t>
            </w:r>
            <w:r w:rsidRPr="001A4A31">
              <w:rPr>
                <w:rFonts w:eastAsia="Times New Roman" w:cs="Times New Roman"/>
                <w:b/>
                <w:bCs/>
                <w:color w:val="000000" w:themeColor="text1"/>
                <w:lang w:eastAsia="cs-CZ"/>
              </w:rPr>
              <w:br/>
              <w:t>2021</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2AD8B688" w14:textId="77777777" w:rsidR="00B20749" w:rsidRPr="001A4A31" w:rsidRDefault="00B20749" w:rsidP="00DC64B4">
            <w:pPr>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Schválený rozpočet 2022</w:t>
            </w:r>
          </w:p>
        </w:tc>
        <w:tc>
          <w:tcPr>
            <w:tcW w:w="1248"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6DF484F" w14:textId="77777777" w:rsidR="00B20749" w:rsidRPr="001A4A31" w:rsidRDefault="00B20749" w:rsidP="00DC64B4">
            <w:pPr>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 xml:space="preserve">Návrh rozpočtu </w:t>
            </w:r>
            <w:r w:rsidRPr="001A4A31">
              <w:rPr>
                <w:rFonts w:eastAsia="Times New Roman" w:cs="Times New Roman"/>
                <w:b/>
                <w:bCs/>
                <w:color w:val="000000" w:themeColor="text1"/>
                <w:lang w:eastAsia="cs-CZ"/>
              </w:rPr>
              <w:br/>
              <w:t>2023</w:t>
            </w:r>
          </w:p>
        </w:tc>
      </w:tr>
      <w:tr w:rsidR="00B20749" w:rsidRPr="001A4A31" w14:paraId="5A14CCFE" w14:textId="77777777" w:rsidTr="00DC64B4">
        <w:tc>
          <w:tcPr>
            <w:tcW w:w="1251"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6ECA70C" w14:textId="77777777" w:rsidR="00B20749" w:rsidRPr="001A4A31" w:rsidRDefault="00B20749" w:rsidP="00DC64B4">
            <w:pPr>
              <w:spacing w:line="240" w:lineRule="auto"/>
              <w:rPr>
                <w:rFonts w:eastAsia="Times New Roman" w:cs="Times New Roman"/>
                <w:color w:val="000000" w:themeColor="text1"/>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1FD16402"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EF662BD"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D36C77A"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98F4C7F"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97647F4"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SR</w:t>
            </w:r>
          </w:p>
        </w:tc>
        <w:tc>
          <w:tcPr>
            <w:tcW w:w="62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9B32EBD"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EU</w:t>
            </w:r>
          </w:p>
        </w:tc>
      </w:tr>
      <w:tr w:rsidR="00B20749" w:rsidRPr="001A4A31" w14:paraId="33701CC3" w14:textId="77777777" w:rsidTr="00DC64B4">
        <w:tc>
          <w:tcPr>
            <w:tcW w:w="1251" w:type="pct"/>
            <w:tcBorders>
              <w:bottom w:val="single" w:sz="8" w:space="0" w:color="7F7F7F" w:themeColor="text1" w:themeTint="80"/>
            </w:tcBorders>
            <w:shd w:val="clear" w:color="auto" w:fill="auto"/>
          </w:tcPr>
          <w:p w14:paraId="6B091F49" w14:textId="77777777" w:rsidR="00B20749" w:rsidRPr="001A4A31" w:rsidRDefault="00B20749" w:rsidP="00DC64B4">
            <w:pPr>
              <w:jc w:val="center"/>
              <w:rPr>
                <w:rFonts w:eastAsia="Times New Roman" w:cs="Times New Roman"/>
                <w:bCs/>
                <w:color w:val="000000" w:themeColor="text1"/>
                <w:lang w:eastAsia="cs-CZ"/>
              </w:rPr>
            </w:pPr>
            <w:r w:rsidRPr="001A4A31">
              <w:rPr>
                <w:rFonts w:eastAsia="Times New Roman" w:cs="Times New Roman"/>
                <w:bCs/>
                <w:color w:val="000000" w:themeColor="text1"/>
                <w:lang w:eastAsia="cs-CZ"/>
              </w:rPr>
              <w:t>127 06</w:t>
            </w:r>
          </w:p>
        </w:tc>
        <w:tc>
          <w:tcPr>
            <w:tcW w:w="625" w:type="pct"/>
            <w:tcBorders>
              <w:bottom w:val="single" w:sz="8" w:space="0" w:color="7F7F7F" w:themeColor="text1" w:themeTint="80"/>
            </w:tcBorders>
            <w:shd w:val="clear" w:color="auto" w:fill="auto"/>
          </w:tcPr>
          <w:p w14:paraId="58022CC1" w14:textId="77777777" w:rsidR="00B20749" w:rsidRPr="001A4A31" w:rsidRDefault="00B20749"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0</w:t>
            </w:r>
          </w:p>
        </w:tc>
        <w:tc>
          <w:tcPr>
            <w:tcW w:w="625" w:type="pct"/>
            <w:tcBorders>
              <w:bottom w:val="single" w:sz="8" w:space="0" w:color="7F7F7F" w:themeColor="text1" w:themeTint="80"/>
            </w:tcBorders>
            <w:shd w:val="clear" w:color="auto" w:fill="auto"/>
          </w:tcPr>
          <w:p w14:paraId="667BBE0E" w14:textId="77777777" w:rsidR="00B20749" w:rsidRPr="001A4A31" w:rsidRDefault="00B20749"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0</w:t>
            </w:r>
          </w:p>
        </w:tc>
        <w:tc>
          <w:tcPr>
            <w:tcW w:w="625" w:type="pct"/>
            <w:tcBorders>
              <w:bottom w:val="single" w:sz="8" w:space="0" w:color="7F7F7F" w:themeColor="text1" w:themeTint="80"/>
            </w:tcBorders>
            <w:shd w:val="clear" w:color="auto" w:fill="auto"/>
          </w:tcPr>
          <w:p w14:paraId="3437060A" w14:textId="77777777" w:rsidR="00B20749" w:rsidRPr="001A4A31" w:rsidRDefault="00B20749"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0</w:t>
            </w:r>
          </w:p>
        </w:tc>
        <w:tc>
          <w:tcPr>
            <w:tcW w:w="626" w:type="pct"/>
            <w:tcBorders>
              <w:bottom w:val="single" w:sz="8" w:space="0" w:color="7F7F7F" w:themeColor="text1" w:themeTint="80"/>
            </w:tcBorders>
            <w:shd w:val="clear" w:color="auto" w:fill="auto"/>
          </w:tcPr>
          <w:p w14:paraId="3DEF7723" w14:textId="77777777" w:rsidR="00B20749" w:rsidRPr="001A4A31" w:rsidRDefault="00B20749"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198 364</w:t>
            </w:r>
          </w:p>
        </w:tc>
        <w:tc>
          <w:tcPr>
            <w:tcW w:w="625" w:type="pct"/>
            <w:tcBorders>
              <w:bottom w:val="single" w:sz="8" w:space="0" w:color="7F7F7F" w:themeColor="text1" w:themeTint="80"/>
            </w:tcBorders>
            <w:shd w:val="clear" w:color="auto" w:fill="auto"/>
          </w:tcPr>
          <w:p w14:paraId="26BA5AD3" w14:textId="77777777" w:rsidR="00B20749" w:rsidRPr="001A4A31" w:rsidRDefault="00B20749"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0</w:t>
            </w:r>
          </w:p>
        </w:tc>
        <w:tc>
          <w:tcPr>
            <w:tcW w:w="623" w:type="pct"/>
            <w:tcBorders>
              <w:bottom w:val="single" w:sz="8" w:space="0" w:color="7F7F7F" w:themeColor="text1" w:themeTint="80"/>
            </w:tcBorders>
            <w:shd w:val="clear" w:color="auto" w:fill="auto"/>
          </w:tcPr>
          <w:p w14:paraId="563B13B6" w14:textId="77777777" w:rsidR="00B20749" w:rsidRPr="001A4A31" w:rsidRDefault="00B20749"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292 721</w:t>
            </w:r>
          </w:p>
        </w:tc>
      </w:tr>
      <w:tr w:rsidR="00B20749" w:rsidRPr="001A4A31" w14:paraId="152413C1" w14:textId="77777777" w:rsidTr="00DC64B4">
        <w:trPr>
          <w:trHeight w:val="138"/>
        </w:trPr>
        <w:tc>
          <w:tcPr>
            <w:tcW w:w="1251" w:type="pct"/>
            <w:tcBorders>
              <w:top w:val="single" w:sz="8" w:space="0" w:color="7F7F7F" w:themeColor="text1" w:themeTint="80"/>
              <w:bottom w:val="single" w:sz="8" w:space="0" w:color="7F7F7F" w:themeColor="text1" w:themeTint="80"/>
            </w:tcBorders>
            <w:shd w:val="clear" w:color="auto" w:fill="auto"/>
          </w:tcPr>
          <w:p w14:paraId="6F0C310A" w14:textId="77777777" w:rsidR="00B20749" w:rsidRPr="001A4A31" w:rsidRDefault="00B20749" w:rsidP="00DC64B4">
            <w:pPr>
              <w:spacing w:line="240" w:lineRule="auto"/>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14:paraId="41C2426C" w14:textId="77777777" w:rsidR="00B20749" w:rsidRPr="001A4A31" w:rsidRDefault="00B20749" w:rsidP="00DC64B4">
            <w:pPr>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547AF164" w14:textId="77777777" w:rsidR="00B20749" w:rsidRPr="001A4A31" w:rsidRDefault="00B20749" w:rsidP="00DC64B4">
            <w:pPr>
              <w:spacing w:line="240" w:lineRule="auto"/>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0B8B6019" w14:textId="77777777" w:rsidR="00B20749" w:rsidRPr="001A4A31" w:rsidRDefault="00B20749" w:rsidP="00DC64B4">
            <w:pPr>
              <w:spacing w:line="240" w:lineRule="auto"/>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14:paraId="7CF25F98" w14:textId="77777777" w:rsidR="00B20749" w:rsidRPr="001A4A31" w:rsidRDefault="00B20749" w:rsidP="00DC64B4">
            <w:pPr>
              <w:spacing w:line="240" w:lineRule="auto"/>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198 364</w:t>
            </w:r>
          </w:p>
        </w:tc>
        <w:tc>
          <w:tcPr>
            <w:tcW w:w="625" w:type="pct"/>
            <w:tcBorders>
              <w:top w:val="single" w:sz="8" w:space="0" w:color="7F7F7F" w:themeColor="text1" w:themeTint="80"/>
              <w:bottom w:val="single" w:sz="8" w:space="0" w:color="7F7F7F" w:themeColor="text1" w:themeTint="80"/>
            </w:tcBorders>
            <w:shd w:val="clear" w:color="auto" w:fill="auto"/>
          </w:tcPr>
          <w:p w14:paraId="794A331D" w14:textId="77777777" w:rsidR="00B20749" w:rsidRPr="001A4A31" w:rsidRDefault="00B20749" w:rsidP="00DC64B4">
            <w:pPr>
              <w:spacing w:line="240" w:lineRule="auto"/>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3" w:type="pct"/>
            <w:tcBorders>
              <w:top w:val="single" w:sz="8" w:space="0" w:color="7F7F7F" w:themeColor="text1" w:themeTint="80"/>
              <w:bottom w:val="single" w:sz="8" w:space="0" w:color="7F7F7F" w:themeColor="text1" w:themeTint="80"/>
            </w:tcBorders>
            <w:shd w:val="clear" w:color="auto" w:fill="auto"/>
          </w:tcPr>
          <w:p w14:paraId="2E97EB21" w14:textId="77777777" w:rsidR="00B20749" w:rsidRPr="001A4A31" w:rsidRDefault="00B20749" w:rsidP="00DC64B4">
            <w:pPr>
              <w:spacing w:line="240" w:lineRule="auto"/>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292 721</w:t>
            </w:r>
          </w:p>
        </w:tc>
      </w:tr>
    </w:tbl>
    <w:p w14:paraId="12BFED09" w14:textId="77777777" w:rsidR="004B2F70" w:rsidRPr="0088307E" w:rsidRDefault="004B2F70" w:rsidP="0088307E">
      <w:pPr>
        <w:pStyle w:val="Nadpis9"/>
        <w:spacing w:before="120"/>
        <w:rPr>
          <w:lang w:eastAsia="cs-CZ"/>
        </w:rPr>
      </w:pPr>
      <w:r w:rsidRPr="0088307E">
        <w:rPr>
          <w:lang w:eastAsia="cs-CZ"/>
        </w:rPr>
        <w:t>Centrum služeb pro silniční dopravu</w:t>
      </w:r>
    </w:p>
    <w:p w14:paraId="67F52A9D" w14:textId="55051FFE" w:rsidR="004B2F70" w:rsidRDefault="004B2F70" w:rsidP="004B2F70">
      <w:pPr>
        <w:pStyle w:val="Titulek"/>
        <w:rPr>
          <w:noProof/>
        </w:rPr>
      </w:pPr>
      <w:r w:rsidRPr="0088307E">
        <w:t xml:space="preserve">Tabulka č. </w:t>
      </w:r>
      <w:r w:rsidRPr="0088307E">
        <w:rPr>
          <w:bCs w:val="0"/>
          <w:noProof/>
        </w:rPr>
        <w:fldChar w:fldCharType="begin"/>
      </w:r>
      <w:r w:rsidRPr="0088307E">
        <w:rPr>
          <w:bCs w:val="0"/>
          <w:noProof/>
        </w:rPr>
        <w:instrText xml:space="preserve"> SEQ Tabulka \* ARABIC </w:instrText>
      </w:r>
      <w:r w:rsidRPr="0088307E">
        <w:rPr>
          <w:bCs w:val="0"/>
          <w:noProof/>
        </w:rPr>
        <w:fldChar w:fldCharType="separate"/>
      </w:r>
      <w:r w:rsidR="00F80947">
        <w:rPr>
          <w:bCs w:val="0"/>
          <w:noProof/>
        </w:rPr>
        <w:t>33</w:t>
      </w:r>
      <w:r w:rsidRPr="0088307E">
        <w:rPr>
          <w:bCs w:val="0"/>
          <w:noProof/>
        </w:rPr>
        <w:fldChar w:fldCharType="end"/>
      </w:r>
      <w:r w:rsidRPr="0088307E">
        <w:rPr>
          <w:bCs w:val="0"/>
          <w:noProof/>
        </w:rPr>
        <w:t xml:space="preserve"> </w:t>
      </w:r>
      <w:r w:rsidRPr="0088307E">
        <w:rPr>
          <w:noProof/>
        </w:rPr>
        <w:t>Výdaje Centra služeb pro silniční dopravu vedené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267"/>
        <w:gridCol w:w="1132"/>
        <w:gridCol w:w="1131"/>
        <w:gridCol w:w="1131"/>
        <w:gridCol w:w="1133"/>
        <w:gridCol w:w="1131"/>
        <w:gridCol w:w="1126"/>
      </w:tblGrid>
      <w:tr w:rsidR="00B20749" w:rsidRPr="001A4A31" w14:paraId="2FA5BDF6" w14:textId="77777777" w:rsidTr="00DC64B4">
        <w:tc>
          <w:tcPr>
            <w:tcW w:w="1252"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3D9D9FFF" w14:textId="77777777" w:rsidR="00B20749" w:rsidRPr="001A4A31" w:rsidRDefault="00B20749" w:rsidP="00DC64B4">
            <w:pPr>
              <w:spacing w:before="163"/>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 xml:space="preserve">Číslo programu </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30FC803" w14:textId="77777777" w:rsidR="00B20749" w:rsidRPr="001A4A31" w:rsidRDefault="00B20749" w:rsidP="00DC64B4">
            <w:pPr>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 xml:space="preserve">Skutečnost </w:t>
            </w:r>
            <w:r w:rsidRPr="001A4A31">
              <w:rPr>
                <w:rFonts w:eastAsia="Times New Roman" w:cs="Times New Roman"/>
                <w:b/>
                <w:bCs/>
                <w:color w:val="000000" w:themeColor="text1"/>
                <w:lang w:eastAsia="cs-CZ"/>
              </w:rPr>
              <w:br/>
              <w:t>2021</w:t>
            </w:r>
          </w:p>
        </w:tc>
        <w:tc>
          <w:tcPr>
            <w:tcW w:w="1251"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F78F4C7" w14:textId="77777777" w:rsidR="00B20749" w:rsidRPr="001A4A31" w:rsidRDefault="00B20749" w:rsidP="00DC64B4">
            <w:pPr>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Schválený rozpočet 2022</w:t>
            </w:r>
          </w:p>
        </w:tc>
        <w:tc>
          <w:tcPr>
            <w:tcW w:w="1247"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0E536065" w14:textId="77777777" w:rsidR="00B20749" w:rsidRPr="001A4A31" w:rsidRDefault="00B20749" w:rsidP="00DC64B4">
            <w:pPr>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 xml:space="preserve">Návrh rozpočtu </w:t>
            </w:r>
            <w:r w:rsidRPr="001A4A31">
              <w:rPr>
                <w:rFonts w:eastAsia="Times New Roman" w:cs="Times New Roman"/>
                <w:b/>
                <w:bCs/>
                <w:color w:val="000000" w:themeColor="text1"/>
                <w:lang w:eastAsia="cs-CZ"/>
              </w:rPr>
              <w:br/>
              <w:t>2023</w:t>
            </w:r>
          </w:p>
        </w:tc>
      </w:tr>
      <w:tr w:rsidR="00B20749" w:rsidRPr="001A4A31" w14:paraId="26A6F871" w14:textId="77777777" w:rsidTr="00DC64B4">
        <w:tc>
          <w:tcPr>
            <w:tcW w:w="1252"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47553D9" w14:textId="77777777" w:rsidR="00B20749" w:rsidRPr="001A4A31" w:rsidRDefault="00B20749" w:rsidP="00DC64B4">
            <w:pPr>
              <w:rPr>
                <w:rFonts w:eastAsia="Times New Roman" w:cs="Times New Roman"/>
                <w:color w:val="000000" w:themeColor="text1"/>
                <w:lang w:eastAsia="cs-CZ"/>
              </w:rPr>
            </w:pP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241E5844"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SR</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B2CF787"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720D32E"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1525D15"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EU</w:t>
            </w:r>
          </w:p>
        </w:tc>
        <w:tc>
          <w:tcPr>
            <w:tcW w:w="625"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FC9D282"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SR</w:t>
            </w:r>
          </w:p>
        </w:tc>
        <w:tc>
          <w:tcPr>
            <w:tcW w:w="62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C9DA3EF" w14:textId="77777777" w:rsidR="00B20749" w:rsidRPr="001A4A31" w:rsidRDefault="00B20749"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EU</w:t>
            </w:r>
          </w:p>
        </w:tc>
      </w:tr>
      <w:tr w:rsidR="00B20749" w:rsidRPr="001A4A31" w14:paraId="4C3745C9" w14:textId="77777777" w:rsidTr="00DC64B4">
        <w:tc>
          <w:tcPr>
            <w:tcW w:w="1252" w:type="pct"/>
            <w:tcBorders>
              <w:top w:val="single" w:sz="4" w:space="0" w:color="7F7F7F" w:themeColor="text1" w:themeTint="80"/>
              <w:bottom w:val="single" w:sz="8" w:space="0" w:color="7F7F7F" w:themeColor="text1" w:themeTint="80"/>
            </w:tcBorders>
            <w:shd w:val="clear" w:color="auto" w:fill="auto"/>
          </w:tcPr>
          <w:p w14:paraId="6E95E11D" w14:textId="77777777" w:rsidR="00B20749" w:rsidRPr="001A4A31" w:rsidRDefault="00B20749" w:rsidP="00DC64B4">
            <w:pPr>
              <w:jc w:val="center"/>
              <w:rPr>
                <w:rFonts w:eastAsia="Times New Roman" w:cs="Times New Roman"/>
                <w:color w:val="000000" w:themeColor="text1"/>
                <w:lang w:eastAsia="cs-CZ"/>
              </w:rPr>
            </w:pPr>
            <w:r w:rsidRPr="001A4A31">
              <w:rPr>
                <w:rFonts w:eastAsia="Times New Roman" w:cs="Times New Roman"/>
                <w:color w:val="000000" w:themeColor="text1"/>
                <w:lang w:eastAsia="cs-CZ"/>
              </w:rPr>
              <w:t>127 06</w:t>
            </w:r>
          </w:p>
        </w:tc>
        <w:tc>
          <w:tcPr>
            <w:tcW w:w="625" w:type="pct"/>
            <w:tcBorders>
              <w:top w:val="single" w:sz="4" w:space="0" w:color="7F7F7F" w:themeColor="text1" w:themeTint="80"/>
              <w:bottom w:val="single" w:sz="8" w:space="0" w:color="7F7F7F" w:themeColor="text1" w:themeTint="80"/>
            </w:tcBorders>
            <w:shd w:val="clear" w:color="auto" w:fill="auto"/>
          </w:tcPr>
          <w:p w14:paraId="06E9FC1E" w14:textId="77777777" w:rsidR="00B20749" w:rsidRPr="001A4A31" w:rsidRDefault="00B20749"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3 958</w:t>
            </w:r>
          </w:p>
        </w:tc>
        <w:tc>
          <w:tcPr>
            <w:tcW w:w="625" w:type="pct"/>
            <w:tcBorders>
              <w:top w:val="single" w:sz="4" w:space="0" w:color="7F7F7F" w:themeColor="text1" w:themeTint="80"/>
              <w:bottom w:val="single" w:sz="8" w:space="0" w:color="7F7F7F" w:themeColor="text1" w:themeTint="80"/>
            </w:tcBorders>
            <w:shd w:val="clear" w:color="auto" w:fill="auto"/>
          </w:tcPr>
          <w:p w14:paraId="5979B1A3" w14:textId="77777777" w:rsidR="00B20749" w:rsidRPr="001A4A31" w:rsidRDefault="00B20749"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2CA09089" w14:textId="77777777" w:rsidR="00B20749" w:rsidRPr="001A4A31" w:rsidRDefault="00B20749"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14:paraId="26D594D7" w14:textId="77777777" w:rsidR="00B20749" w:rsidRPr="001A4A31" w:rsidRDefault="00B20749"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0</w:t>
            </w:r>
          </w:p>
        </w:tc>
        <w:tc>
          <w:tcPr>
            <w:tcW w:w="625" w:type="pct"/>
            <w:tcBorders>
              <w:top w:val="single" w:sz="4" w:space="0" w:color="7F7F7F" w:themeColor="text1" w:themeTint="80"/>
              <w:bottom w:val="single" w:sz="8" w:space="0" w:color="7F7F7F" w:themeColor="text1" w:themeTint="80"/>
            </w:tcBorders>
            <w:shd w:val="clear" w:color="auto" w:fill="auto"/>
          </w:tcPr>
          <w:p w14:paraId="6ABBB101" w14:textId="77777777" w:rsidR="00B20749" w:rsidRPr="001A4A31" w:rsidRDefault="00B20749"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0</w:t>
            </w:r>
          </w:p>
        </w:tc>
        <w:tc>
          <w:tcPr>
            <w:tcW w:w="622" w:type="pct"/>
            <w:tcBorders>
              <w:top w:val="single" w:sz="4" w:space="0" w:color="7F7F7F" w:themeColor="text1" w:themeTint="80"/>
              <w:bottom w:val="single" w:sz="8" w:space="0" w:color="7F7F7F" w:themeColor="text1" w:themeTint="80"/>
            </w:tcBorders>
            <w:shd w:val="clear" w:color="auto" w:fill="auto"/>
          </w:tcPr>
          <w:p w14:paraId="3D825658" w14:textId="77777777" w:rsidR="00B20749" w:rsidRPr="001A4A31" w:rsidRDefault="00B20749"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0</w:t>
            </w:r>
          </w:p>
        </w:tc>
      </w:tr>
      <w:tr w:rsidR="00B20749" w:rsidRPr="001A4A31" w14:paraId="0EFDB640" w14:textId="77777777" w:rsidTr="00DC64B4">
        <w:tc>
          <w:tcPr>
            <w:tcW w:w="1252" w:type="pct"/>
            <w:tcBorders>
              <w:top w:val="single" w:sz="8" w:space="0" w:color="7F7F7F" w:themeColor="text1" w:themeTint="80"/>
              <w:bottom w:val="single" w:sz="8" w:space="0" w:color="7F7F7F" w:themeColor="text1" w:themeTint="80"/>
            </w:tcBorders>
            <w:shd w:val="clear" w:color="auto" w:fill="auto"/>
          </w:tcPr>
          <w:p w14:paraId="7F7D055C" w14:textId="77777777" w:rsidR="00B20749" w:rsidRPr="001A4A31" w:rsidRDefault="00B20749" w:rsidP="00DC64B4">
            <w:pPr>
              <w:jc w:val="center"/>
              <w:rPr>
                <w:rFonts w:eastAsia="Times New Roman" w:cs="Times New Roman"/>
                <w:b/>
                <w:bCs/>
                <w:color w:val="000000" w:themeColor="text1"/>
                <w:lang w:eastAsia="cs-CZ"/>
              </w:rPr>
            </w:pPr>
            <w:r w:rsidRPr="001A4A31">
              <w:rPr>
                <w:rFonts w:eastAsia="Times New Roman" w:cs="Times New Roman"/>
                <w:b/>
                <w:bCs/>
                <w:color w:val="000000" w:themeColor="text1"/>
                <w:lang w:eastAsia="cs-CZ"/>
              </w:rPr>
              <w:t>CELKEM</w:t>
            </w:r>
          </w:p>
        </w:tc>
        <w:tc>
          <w:tcPr>
            <w:tcW w:w="625" w:type="pct"/>
            <w:tcBorders>
              <w:top w:val="single" w:sz="8" w:space="0" w:color="7F7F7F" w:themeColor="text1" w:themeTint="80"/>
              <w:bottom w:val="single" w:sz="8" w:space="0" w:color="7F7F7F" w:themeColor="text1" w:themeTint="80"/>
            </w:tcBorders>
            <w:shd w:val="clear" w:color="auto" w:fill="auto"/>
          </w:tcPr>
          <w:p w14:paraId="7A43965A" w14:textId="77777777" w:rsidR="00B20749" w:rsidRPr="001A4A31" w:rsidRDefault="00B20749" w:rsidP="00DC64B4">
            <w:pPr>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3 958</w:t>
            </w:r>
          </w:p>
        </w:tc>
        <w:tc>
          <w:tcPr>
            <w:tcW w:w="625" w:type="pct"/>
            <w:tcBorders>
              <w:top w:val="single" w:sz="8" w:space="0" w:color="7F7F7F" w:themeColor="text1" w:themeTint="80"/>
              <w:bottom w:val="single" w:sz="8" w:space="0" w:color="7F7F7F" w:themeColor="text1" w:themeTint="80"/>
            </w:tcBorders>
            <w:shd w:val="clear" w:color="auto" w:fill="auto"/>
          </w:tcPr>
          <w:p w14:paraId="0DEBE552" w14:textId="77777777" w:rsidR="00B20749" w:rsidRPr="001A4A31" w:rsidRDefault="00B20749" w:rsidP="00DC64B4">
            <w:pPr>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2DC9408C" w14:textId="77777777" w:rsidR="00B20749" w:rsidRPr="001A4A31" w:rsidRDefault="00B20749" w:rsidP="00DC64B4">
            <w:pPr>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6" w:type="pct"/>
            <w:tcBorders>
              <w:top w:val="single" w:sz="8" w:space="0" w:color="7F7F7F" w:themeColor="text1" w:themeTint="80"/>
              <w:bottom w:val="single" w:sz="8" w:space="0" w:color="7F7F7F" w:themeColor="text1" w:themeTint="80"/>
            </w:tcBorders>
            <w:shd w:val="clear" w:color="auto" w:fill="auto"/>
          </w:tcPr>
          <w:p w14:paraId="1CBE18D2" w14:textId="77777777" w:rsidR="00B20749" w:rsidRPr="001A4A31" w:rsidRDefault="00B20749" w:rsidP="00DC64B4">
            <w:pPr>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5" w:type="pct"/>
            <w:tcBorders>
              <w:top w:val="single" w:sz="8" w:space="0" w:color="7F7F7F" w:themeColor="text1" w:themeTint="80"/>
              <w:bottom w:val="single" w:sz="8" w:space="0" w:color="7F7F7F" w:themeColor="text1" w:themeTint="80"/>
            </w:tcBorders>
            <w:shd w:val="clear" w:color="auto" w:fill="auto"/>
          </w:tcPr>
          <w:p w14:paraId="43CB0196" w14:textId="77777777" w:rsidR="00B20749" w:rsidRPr="001A4A31" w:rsidRDefault="00B20749" w:rsidP="00DC64B4">
            <w:pPr>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c>
          <w:tcPr>
            <w:tcW w:w="622" w:type="pct"/>
            <w:tcBorders>
              <w:top w:val="single" w:sz="8" w:space="0" w:color="7F7F7F" w:themeColor="text1" w:themeTint="80"/>
              <w:bottom w:val="single" w:sz="8" w:space="0" w:color="7F7F7F" w:themeColor="text1" w:themeTint="80"/>
            </w:tcBorders>
            <w:shd w:val="clear" w:color="auto" w:fill="auto"/>
          </w:tcPr>
          <w:p w14:paraId="5E08B467" w14:textId="77777777" w:rsidR="00B20749" w:rsidRPr="001A4A31" w:rsidRDefault="00B20749" w:rsidP="00DC64B4">
            <w:pPr>
              <w:jc w:val="right"/>
              <w:rPr>
                <w:rFonts w:eastAsia="Times New Roman" w:cs="Times New Roman"/>
                <w:b/>
                <w:bCs/>
                <w:color w:val="000000" w:themeColor="text1"/>
                <w:lang w:eastAsia="cs-CZ"/>
              </w:rPr>
            </w:pPr>
            <w:r w:rsidRPr="001A4A31">
              <w:rPr>
                <w:rFonts w:eastAsia="Times New Roman" w:cs="Times New Roman"/>
                <w:b/>
                <w:bCs/>
                <w:color w:val="000000" w:themeColor="text1"/>
                <w:lang w:eastAsia="cs-CZ"/>
              </w:rPr>
              <w:t>0</w:t>
            </w:r>
          </w:p>
        </w:tc>
      </w:tr>
    </w:tbl>
    <w:p w14:paraId="71B87025" w14:textId="77777777" w:rsidR="004B2F70" w:rsidRPr="0088307E" w:rsidRDefault="004B2F70" w:rsidP="0088307E">
      <w:pPr>
        <w:pStyle w:val="Nadpis8"/>
        <w:spacing w:before="120"/>
      </w:pPr>
      <w:r w:rsidRPr="0088307E">
        <w:t>Číslo a název programu:</w:t>
      </w:r>
    </w:p>
    <w:p w14:paraId="4BB321B8" w14:textId="77777777" w:rsidR="004B2F70" w:rsidRPr="0088307E" w:rsidRDefault="004B2F70" w:rsidP="00DE3635">
      <w:pPr>
        <w:pStyle w:val="Odstavecseseznamem"/>
        <w:numPr>
          <w:ilvl w:val="0"/>
          <w:numId w:val="9"/>
        </w:numPr>
        <w:tabs>
          <w:tab w:val="num" w:pos="567"/>
        </w:tabs>
        <w:spacing w:before="120" w:after="200"/>
        <w:ind w:left="568" w:hanging="284"/>
      </w:pPr>
      <w:r w:rsidRPr="0088307E">
        <w:t xml:space="preserve">127 06 „Rozvoj a obnova materiálně-technické základny systému řízení MD - PO, SFDI“ </w:t>
      </w:r>
    </w:p>
    <w:p w14:paraId="242DD979" w14:textId="0984C08A" w:rsidR="00B20749" w:rsidRPr="001A4A31" w:rsidRDefault="00B20749" w:rsidP="00B20749">
      <w:pPr>
        <w:pStyle w:val="Styl1"/>
        <w:spacing w:before="200" w:after="160"/>
        <w:rPr>
          <w:color w:val="000000" w:themeColor="text1"/>
        </w:rPr>
      </w:pPr>
      <w:r w:rsidRPr="001A4A31">
        <w:rPr>
          <w:color w:val="000000" w:themeColor="text1"/>
        </w:rPr>
        <w:t xml:space="preserve">V rámci programu </w:t>
      </w:r>
      <w:r w:rsidRPr="001A4A31">
        <w:rPr>
          <w:b/>
          <w:color w:val="000000" w:themeColor="text1"/>
        </w:rPr>
        <w:t xml:space="preserve">127 06 „Rozvoj a obnova materiálně-technické systému řízení MD-PO, SFDI“ </w:t>
      </w:r>
      <w:r w:rsidRPr="001A4A31">
        <w:rPr>
          <w:color w:val="000000" w:themeColor="text1"/>
        </w:rPr>
        <w:t xml:space="preserve">jsou na rok 2023 nárokovány pro Ředitelství silnic a dálnic ČR prostředky EU ve výši </w:t>
      </w:r>
      <w:r w:rsidRPr="001A4A31">
        <w:rPr>
          <w:b/>
          <w:color w:val="000000" w:themeColor="text1"/>
        </w:rPr>
        <w:t>292 721  tis. Kč</w:t>
      </w:r>
      <w:r w:rsidRPr="001A4A31">
        <w:rPr>
          <w:color w:val="000000" w:themeColor="text1"/>
        </w:rPr>
        <w:t>. Prostředky budou použity v rámci Operačního programu podnikání a inovace pro konkurenceschopnost  2014+ na realizaci projektu „Digitální mapa ŘSD ČR“.</w:t>
      </w:r>
    </w:p>
    <w:p w14:paraId="4689F420" w14:textId="75007B35" w:rsidR="00910074" w:rsidRPr="00E8518E" w:rsidRDefault="00B20749" w:rsidP="0088307E">
      <w:pPr>
        <w:pStyle w:val="Styl1"/>
        <w:spacing w:before="200" w:after="160"/>
        <w:rPr>
          <w:color w:val="FF0000"/>
        </w:rPr>
      </w:pPr>
      <w:r w:rsidRPr="001A4A31">
        <w:rPr>
          <w:color w:val="000000" w:themeColor="text1"/>
        </w:rPr>
        <w:t>Pro Centrum služeb pro silniční dopravu nejsou prostředky na rok 2023 rozpočtovány.</w:t>
      </w:r>
    </w:p>
    <w:p w14:paraId="3567518F" w14:textId="4AF339FA" w:rsidR="00BB459E" w:rsidRPr="0088307E" w:rsidRDefault="00BB459E" w:rsidP="00DE3635">
      <w:pPr>
        <w:pStyle w:val="Nadpis3"/>
        <w:spacing w:before="200"/>
      </w:pPr>
      <w:bookmarkStart w:id="235" w:name="_Toc115787906"/>
      <w:r w:rsidRPr="0088307E">
        <w:t>Podnikatelské subjekty</w:t>
      </w:r>
      <w:bookmarkEnd w:id="231"/>
      <w:bookmarkEnd w:id="232"/>
      <w:bookmarkEnd w:id="233"/>
      <w:bookmarkEnd w:id="234"/>
      <w:bookmarkEnd w:id="235"/>
    </w:p>
    <w:p w14:paraId="57B09DEF" w14:textId="092E4B96" w:rsidR="004B2F70" w:rsidRPr="00E8518E" w:rsidRDefault="002F0D3C" w:rsidP="00DE3635">
      <w:pPr>
        <w:pStyle w:val="Styl1"/>
        <w:spacing w:after="200"/>
        <w:rPr>
          <w:color w:val="FF0000"/>
        </w:rPr>
      </w:pPr>
      <w:r w:rsidRPr="001A4A31">
        <w:rPr>
          <w:color w:val="000000" w:themeColor="text1"/>
        </w:rPr>
        <w:t>Výdaje vedené v EDS/SMVS určené pro podnikatelské subjekty jsou pro rozpočtový rok 2023 navrženy v celkové výši 5 000 tis. Kč</w:t>
      </w:r>
      <w:r>
        <w:rPr>
          <w:color w:val="000000" w:themeColor="text1"/>
        </w:rPr>
        <w:t>. Jedná se o prostředky státního rozpočtu</w:t>
      </w:r>
      <w:r w:rsidRPr="0088307E">
        <w:t xml:space="preserve">. Druhové členění vykazuje následující tabulka.  </w:t>
      </w:r>
      <w:r w:rsidR="004B2F70" w:rsidRPr="00E8518E">
        <w:rPr>
          <w:color w:val="FF0000"/>
        </w:rPr>
        <w:t xml:space="preserve">                                                                                                                                        </w:t>
      </w:r>
    </w:p>
    <w:p w14:paraId="2DA7C280" w14:textId="0C6A114D" w:rsidR="004B2F70" w:rsidRDefault="004B2F70" w:rsidP="004B2F70">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34</w:t>
      </w:r>
      <w:r w:rsidRPr="0088307E">
        <w:rPr>
          <w:noProof/>
        </w:rPr>
        <w:fldChar w:fldCharType="end"/>
      </w:r>
      <w:r w:rsidRPr="0088307E">
        <w:rPr>
          <w:noProof/>
        </w:rPr>
        <w:t xml:space="preserve"> Výdaje podnikatelských subjektů vedených v EDS/SMVS (v tis. Kč)</w:t>
      </w:r>
    </w:p>
    <w:tbl>
      <w:tblPr>
        <w:tblStyle w:val="Svtltabulkasmkou1zvraznn5"/>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3834"/>
        <w:gridCol w:w="1367"/>
        <w:gridCol w:w="1367"/>
        <w:gridCol w:w="1428"/>
        <w:gridCol w:w="1055"/>
      </w:tblGrid>
      <w:tr w:rsidR="0088307E" w:rsidRPr="001A4A31" w14:paraId="5E7DFCD2" w14:textId="77777777" w:rsidTr="0088307E">
        <w:trPr>
          <w:trHeight w:val="1060"/>
        </w:trPr>
        <w:tc>
          <w:tcPr>
            <w:tcW w:w="211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53D41F8"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Ukazatel</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A18B0D1"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Skutečnost</w:t>
            </w:r>
          </w:p>
          <w:p w14:paraId="00442715"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2021</w:t>
            </w:r>
          </w:p>
        </w:tc>
        <w:tc>
          <w:tcPr>
            <w:tcW w:w="755"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19C0C59"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Schválený rozpočet</w:t>
            </w:r>
          </w:p>
          <w:p w14:paraId="6A928341"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2022</w:t>
            </w:r>
          </w:p>
        </w:tc>
        <w:tc>
          <w:tcPr>
            <w:tcW w:w="78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1C2436F"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Návrh</w:t>
            </w:r>
          </w:p>
          <w:p w14:paraId="64A1C599"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rozpočtu</w:t>
            </w:r>
          </w:p>
          <w:p w14:paraId="2D267B57"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2023</w:t>
            </w:r>
          </w:p>
        </w:tc>
        <w:tc>
          <w:tcPr>
            <w:tcW w:w="583"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8567CA4"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Index</w:t>
            </w:r>
          </w:p>
          <w:p w14:paraId="68F876B8"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2022/</w:t>
            </w:r>
            <w:r w:rsidRPr="001A4A31">
              <w:rPr>
                <w:rFonts w:eastAsia="Times New Roman" w:cs="Times New Roman"/>
                <w:b/>
                <w:color w:val="000000" w:themeColor="text1"/>
                <w:lang w:eastAsia="cs-CZ"/>
              </w:rPr>
              <w:br/>
              <w:t>2023</w:t>
            </w:r>
          </w:p>
          <w:p w14:paraId="1EEF5433" w14:textId="77777777" w:rsidR="002F0D3C" w:rsidRPr="001A4A31" w:rsidRDefault="002F0D3C" w:rsidP="00DC64B4">
            <w:pPr>
              <w:jc w:val="center"/>
              <w:rPr>
                <w:rFonts w:eastAsia="Times New Roman" w:cs="Times New Roman"/>
                <w:b/>
                <w:color w:val="000000" w:themeColor="text1"/>
                <w:lang w:eastAsia="cs-CZ"/>
              </w:rPr>
            </w:pPr>
            <w:r w:rsidRPr="001A4A31">
              <w:rPr>
                <w:rFonts w:eastAsia="Times New Roman" w:cs="Times New Roman"/>
                <w:b/>
                <w:color w:val="000000" w:themeColor="text1"/>
                <w:lang w:eastAsia="cs-CZ"/>
              </w:rPr>
              <w:t>(v %)</w:t>
            </w:r>
          </w:p>
        </w:tc>
      </w:tr>
      <w:tr w:rsidR="002F0D3C" w:rsidRPr="001A4A31" w14:paraId="56E417FF" w14:textId="77777777" w:rsidTr="00DC64B4">
        <w:tc>
          <w:tcPr>
            <w:tcW w:w="2118" w:type="pct"/>
            <w:tcBorders>
              <w:top w:val="single" w:sz="4" w:space="0" w:color="7F7F7F" w:themeColor="text1" w:themeTint="80"/>
              <w:bottom w:val="single" w:sz="8" w:space="0" w:color="7F7F7F" w:themeColor="text1" w:themeTint="80"/>
            </w:tcBorders>
            <w:shd w:val="clear" w:color="auto" w:fill="auto"/>
          </w:tcPr>
          <w:p w14:paraId="2258EB64" w14:textId="77777777" w:rsidR="002F0D3C" w:rsidRPr="001A4A31" w:rsidRDefault="002F0D3C" w:rsidP="00DC64B4">
            <w:pPr>
              <w:jc w:val="center"/>
              <w:rPr>
                <w:rFonts w:eastAsia="Times New Roman" w:cs="Times New Roman"/>
                <w:color w:val="000000" w:themeColor="text1"/>
                <w:lang w:eastAsia="cs-CZ"/>
              </w:rPr>
            </w:pPr>
            <w:r w:rsidRPr="001A4A31">
              <w:rPr>
                <w:rFonts w:eastAsia="Times New Roman" w:cs="Times New Roman"/>
                <w:color w:val="000000" w:themeColor="text1"/>
                <w:lang w:eastAsia="cs-CZ"/>
              </w:rPr>
              <w:t>a</w:t>
            </w:r>
          </w:p>
        </w:tc>
        <w:tc>
          <w:tcPr>
            <w:tcW w:w="755" w:type="pct"/>
            <w:tcBorders>
              <w:top w:val="single" w:sz="4" w:space="0" w:color="7F7F7F" w:themeColor="text1" w:themeTint="80"/>
              <w:bottom w:val="single" w:sz="8" w:space="0" w:color="7F7F7F" w:themeColor="text1" w:themeTint="80"/>
            </w:tcBorders>
            <w:shd w:val="clear" w:color="auto" w:fill="auto"/>
          </w:tcPr>
          <w:p w14:paraId="484B32C5" w14:textId="77777777" w:rsidR="002F0D3C" w:rsidRPr="001A4A31" w:rsidRDefault="002F0D3C" w:rsidP="00DC64B4">
            <w:pPr>
              <w:jc w:val="center"/>
              <w:rPr>
                <w:rFonts w:eastAsia="Times New Roman" w:cs="Times New Roman"/>
                <w:color w:val="000000" w:themeColor="text1"/>
                <w:lang w:eastAsia="cs-CZ"/>
              </w:rPr>
            </w:pPr>
            <w:r w:rsidRPr="001A4A31">
              <w:rPr>
                <w:rFonts w:eastAsia="Times New Roman" w:cs="Times New Roman"/>
                <w:color w:val="000000" w:themeColor="text1"/>
                <w:lang w:eastAsia="cs-CZ"/>
              </w:rPr>
              <w:t>1</w:t>
            </w:r>
          </w:p>
        </w:tc>
        <w:tc>
          <w:tcPr>
            <w:tcW w:w="755" w:type="pct"/>
            <w:tcBorders>
              <w:top w:val="single" w:sz="4" w:space="0" w:color="7F7F7F" w:themeColor="text1" w:themeTint="80"/>
              <w:bottom w:val="single" w:sz="8" w:space="0" w:color="7F7F7F" w:themeColor="text1" w:themeTint="80"/>
            </w:tcBorders>
            <w:shd w:val="clear" w:color="auto" w:fill="auto"/>
          </w:tcPr>
          <w:p w14:paraId="07E7886F" w14:textId="77777777" w:rsidR="002F0D3C" w:rsidRPr="001A4A31" w:rsidRDefault="002F0D3C" w:rsidP="00DC64B4">
            <w:pPr>
              <w:jc w:val="center"/>
              <w:rPr>
                <w:rFonts w:eastAsia="Times New Roman" w:cs="Times New Roman"/>
                <w:color w:val="000000" w:themeColor="text1"/>
                <w:lang w:eastAsia="cs-CZ"/>
              </w:rPr>
            </w:pPr>
            <w:r w:rsidRPr="001A4A31">
              <w:rPr>
                <w:rFonts w:eastAsia="Times New Roman" w:cs="Times New Roman"/>
                <w:color w:val="000000" w:themeColor="text1"/>
                <w:lang w:eastAsia="cs-CZ"/>
              </w:rPr>
              <w:t>2</w:t>
            </w:r>
          </w:p>
        </w:tc>
        <w:tc>
          <w:tcPr>
            <w:tcW w:w="789" w:type="pct"/>
            <w:tcBorders>
              <w:top w:val="single" w:sz="4" w:space="0" w:color="7F7F7F" w:themeColor="text1" w:themeTint="80"/>
              <w:bottom w:val="single" w:sz="8" w:space="0" w:color="7F7F7F" w:themeColor="text1" w:themeTint="80"/>
            </w:tcBorders>
            <w:shd w:val="clear" w:color="auto" w:fill="auto"/>
          </w:tcPr>
          <w:p w14:paraId="5869CE22" w14:textId="77777777" w:rsidR="002F0D3C" w:rsidRPr="001A4A31" w:rsidRDefault="002F0D3C" w:rsidP="00DC64B4">
            <w:pPr>
              <w:jc w:val="center"/>
              <w:rPr>
                <w:rFonts w:eastAsia="Times New Roman" w:cs="Times New Roman"/>
                <w:color w:val="000000" w:themeColor="text1"/>
                <w:lang w:eastAsia="cs-CZ"/>
              </w:rPr>
            </w:pPr>
            <w:r w:rsidRPr="001A4A31">
              <w:rPr>
                <w:rFonts w:eastAsia="Times New Roman" w:cs="Times New Roman"/>
                <w:color w:val="000000" w:themeColor="text1"/>
                <w:lang w:eastAsia="cs-CZ"/>
              </w:rPr>
              <w:t>3</w:t>
            </w:r>
          </w:p>
        </w:tc>
        <w:tc>
          <w:tcPr>
            <w:tcW w:w="583" w:type="pct"/>
            <w:tcBorders>
              <w:top w:val="single" w:sz="4" w:space="0" w:color="7F7F7F" w:themeColor="text1" w:themeTint="80"/>
              <w:bottom w:val="single" w:sz="8" w:space="0" w:color="7F7F7F" w:themeColor="text1" w:themeTint="80"/>
            </w:tcBorders>
            <w:shd w:val="clear" w:color="auto" w:fill="auto"/>
          </w:tcPr>
          <w:p w14:paraId="6E15D6F3" w14:textId="77777777" w:rsidR="002F0D3C" w:rsidRPr="001A4A31" w:rsidRDefault="002F0D3C" w:rsidP="00DC64B4">
            <w:pPr>
              <w:jc w:val="center"/>
              <w:rPr>
                <w:rFonts w:eastAsia="Times New Roman" w:cs="Times New Roman"/>
                <w:color w:val="000000" w:themeColor="text1"/>
                <w:lang w:eastAsia="cs-CZ"/>
              </w:rPr>
            </w:pPr>
            <w:r w:rsidRPr="001A4A31">
              <w:rPr>
                <w:rFonts w:eastAsia="Times New Roman" w:cs="Times New Roman"/>
                <w:color w:val="000000" w:themeColor="text1"/>
                <w:lang w:eastAsia="cs-CZ"/>
              </w:rPr>
              <w:t>4</w:t>
            </w:r>
          </w:p>
        </w:tc>
      </w:tr>
      <w:tr w:rsidR="002F0D3C" w:rsidRPr="001A4A31" w14:paraId="1777242F" w14:textId="77777777" w:rsidTr="0000288F">
        <w:trPr>
          <w:trHeight w:val="342"/>
        </w:trPr>
        <w:tc>
          <w:tcPr>
            <w:tcW w:w="2118" w:type="pct"/>
            <w:tcBorders>
              <w:top w:val="single" w:sz="8" w:space="0" w:color="7F7F7F" w:themeColor="text1" w:themeTint="80"/>
              <w:bottom w:val="single" w:sz="8" w:space="0" w:color="7F7F7F" w:themeColor="text1" w:themeTint="80"/>
            </w:tcBorders>
            <w:shd w:val="clear" w:color="auto" w:fill="auto"/>
          </w:tcPr>
          <w:p w14:paraId="077964E3" w14:textId="77777777" w:rsidR="002F0D3C" w:rsidRPr="001A4A31" w:rsidRDefault="002F0D3C" w:rsidP="00DC64B4">
            <w:pPr>
              <w:rPr>
                <w:rFonts w:eastAsia="Times New Roman" w:cs="Times New Roman"/>
                <w:color w:val="000000" w:themeColor="text1"/>
                <w:lang w:eastAsia="cs-CZ"/>
              </w:rPr>
            </w:pPr>
            <w:r w:rsidRPr="001A4A31">
              <w:rPr>
                <w:rFonts w:eastAsia="Times New Roman" w:cs="Times New Roman"/>
                <w:b/>
                <w:color w:val="000000" w:themeColor="text1"/>
                <w:lang w:eastAsia="cs-CZ"/>
              </w:rPr>
              <w:t>Podnikatelská sféra</w:t>
            </w:r>
            <w:r w:rsidRPr="001A4A31">
              <w:rPr>
                <w:rFonts w:eastAsia="Times New Roman" w:cs="Times New Roman"/>
                <w:b/>
                <w:color w:val="000000" w:themeColor="text1"/>
                <w:vertAlign w:val="superscript"/>
                <w:lang w:eastAsia="cs-CZ"/>
              </w:rPr>
              <w:t xml:space="preserve"> </w:t>
            </w:r>
            <w:r w:rsidRPr="001A4A31">
              <w:rPr>
                <w:rFonts w:eastAsia="Times New Roman" w:cs="Times New Roman"/>
                <w:color w:val="000000" w:themeColor="text1"/>
                <w:lang w:eastAsia="cs-CZ"/>
              </w:rPr>
              <w:t>v tom:</w:t>
            </w:r>
          </w:p>
        </w:tc>
        <w:tc>
          <w:tcPr>
            <w:tcW w:w="755" w:type="pct"/>
            <w:tcBorders>
              <w:top w:val="single" w:sz="8" w:space="0" w:color="7F7F7F" w:themeColor="text1" w:themeTint="80"/>
              <w:bottom w:val="single" w:sz="4" w:space="0" w:color="auto"/>
            </w:tcBorders>
            <w:shd w:val="clear" w:color="auto" w:fill="auto"/>
            <w:vAlign w:val="center"/>
          </w:tcPr>
          <w:p w14:paraId="5720045F" w14:textId="77777777" w:rsidR="002F0D3C" w:rsidRPr="001A4A31" w:rsidRDefault="002F0D3C" w:rsidP="00DC64B4">
            <w:pPr>
              <w:jc w:val="right"/>
              <w:rPr>
                <w:rFonts w:eastAsia="Times New Roman" w:cs="Times New Roman"/>
                <w:b/>
                <w:color w:val="000000" w:themeColor="text1"/>
                <w:lang w:eastAsia="cs-CZ"/>
              </w:rPr>
            </w:pPr>
            <w:r w:rsidRPr="001A4A31">
              <w:rPr>
                <w:rFonts w:eastAsia="Times New Roman" w:cs="Times New Roman"/>
                <w:b/>
                <w:color w:val="000000" w:themeColor="text1"/>
                <w:lang w:eastAsia="cs-CZ"/>
              </w:rPr>
              <w:t>87 538</w:t>
            </w:r>
          </w:p>
        </w:tc>
        <w:tc>
          <w:tcPr>
            <w:tcW w:w="755" w:type="pct"/>
            <w:tcBorders>
              <w:top w:val="single" w:sz="8" w:space="0" w:color="7F7F7F" w:themeColor="text1" w:themeTint="80"/>
              <w:bottom w:val="single" w:sz="4" w:space="0" w:color="auto"/>
            </w:tcBorders>
            <w:shd w:val="clear" w:color="auto" w:fill="auto"/>
            <w:vAlign w:val="center"/>
          </w:tcPr>
          <w:p w14:paraId="02549B4A" w14:textId="77777777" w:rsidR="002F0D3C" w:rsidRPr="001A4A31" w:rsidRDefault="002F0D3C" w:rsidP="00DC64B4">
            <w:pPr>
              <w:jc w:val="right"/>
              <w:rPr>
                <w:rFonts w:eastAsia="Times New Roman" w:cs="Times New Roman"/>
                <w:b/>
                <w:color w:val="000000" w:themeColor="text1"/>
                <w:lang w:eastAsia="cs-CZ"/>
              </w:rPr>
            </w:pPr>
            <w:r w:rsidRPr="001A4A31">
              <w:rPr>
                <w:rFonts w:eastAsia="Times New Roman" w:cs="Times New Roman"/>
                <w:b/>
                <w:color w:val="000000" w:themeColor="text1"/>
                <w:lang w:eastAsia="cs-CZ"/>
              </w:rPr>
              <w:t>3 294 777</w:t>
            </w:r>
          </w:p>
        </w:tc>
        <w:tc>
          <w:tcPr>
            <w:tcW w:w="789" w:type="pct"/>
            <w:tcBorders>
              <w:top w:val="single" w:sz="8" w:space="0" w:color="7F7F7F" w:themeColor="text1" w:themeTint="80"/>
              <w:bottom w:val="single" w:sz="4" w:space="0" w:color="auto"/>
            </w:tcBorders>
            <w:shd w:val="clear" w:color="auto" w:fill="auto"/>
            <w:vAlign w:val="center"/>
          </w:tcPr>
          <w:p w14:paraId="02D61325" w14:textId="77777777" w:rsidR="002F0D3C" w:rsidRPr="001A4A31" w:rsidRDefault="002F0D3C" w:rsidP="00DC64B4">
            <w:pPr>
              <w:jc w:val="right"/>
              <w:rPr>
                <w:rFonts w:eastAsia="Times New Roman" w:cs="Times New Roman"/>
                <w:b/>
                <w:color w:val="000000" w:themeColor="text1"/>
                <w:lang w:eastAsia="cs-CZ"/>
              </w:rPr>
            </w:pPr>
            <w:r w:rsidRPr="001A4A31">
              <w:rPr>
                <w:rFonts w:eastAsia="Times New Roman" w:cs="Times New Roman"/>
                <w:b/>
                <w:color w:val="000000" w:themeColor="text1"/>
                <w:lang w:eastAsia="cs-CZ"/>
              </w:rPr>
              <w:t>5 000</w:t>
            </w:r>
          </w:p>
        </w:tc>
        <w:tc>
          <w:tcPr>
            <w:tcW w:w="583" w:type="pct"/>
            <w:tcBorders>
              <w:top w:val="single" w:sz="8" w:space="0" w:color="7F7F7F" w:themeColor="text1" w:themeTint="80"/>
              <w:bottom w:val="single" w:sz="4" w:space="0" w:color="auto"/>
            </w:tcBorders>
            <w:shd w:val="clear" w:color="auto" w:fill="auto"/>
            <w:vAlign w:val="center"/>
          </w:tcPr>
          <w:p w14:paraId="69A91AD4" w14:textId="77777777" w:rsidR="002F0D3C" w:rsidRPr="001A4A31" w:rsidRDefault="002F0D3C" w:rsidP="00DC64B4">
            <w:pPr>
              <w:jc w:val="right"/>
              <w:rPr>
                <w:rFonts w:eastAsia="Times New Roman" w:cs="Times New Roman"/>
                <w:b/>
                <w:color w:val="000000" w:themeColor="text1"/>
                <w:lang w:eastAsia="cs-CZ"/>
              </w:rPr>
            </w:pPr>
            <w:r w:rsidRPr="001A4A31">
              <w:rPr>
                <w:rFonts w:eastAsia="Times New Roman" w:cs="Times New Roman"/>
                <w:b/>
                <w:color w:val="000000" w:themeColor="text1"/>
                <w:lang w:eastAsia="cs-CZ"/>
              </w:rPr>
              <w:t>0,15</w:t>
            </w:r>
          </w:p>
        </w:tc>
      </w:tr>
      <w:tr w:rsidR="002F0D3C" w:rsidRPr="001A4A31" w14:paraId="5F91CCED" w14:textId="77777777" w:rsidTr="00DC64B4">
        <w:tc>
          <w:tcPr>
            <w:tcW w:w="2118" w:type="pct"/>
            <w:tcBorders>
              <w:top w:val="single" w:sz="8" w:space="0" w:color="7F7F7F" w:themeColor="text1" w:themeTint="80"/>
              <w:bottom w:val="nil"/>
            </w:tcBorders>
            <w:shd w:val="clear" w:color="auto" w:fill="auto"/>
          </w:tcPr>
          <w:p w14:paraId="50B3E3DC" w14:textId="77777777" w:rsidR="002F0D3C" w:rsidRPr="001A4A31" w:rsidRDefault="002F0D3C" w:rsidP="00DC64B4">
            <w:pPr>
              <w:rPr>
                <w:rFonts w:eastAsia="Times New Roman" w:cs="Times New Roman"/>
                <w:color w:val="000000" w:themeColor="text1"/>
                <w:lang w:eastAsia="cs-CZ"/>
              </w:rPr>
            </w:pPr>
            <w:r w:rsidRPr="001A4A31">
              <w:rPr>
                <w:rFonts w:eastAsia="Times New Roman" w:cs="Times New Roman"/>
                <w:color w:val="000000" w:themeColor="text1"/>
                <w:lang w:eastAsia="cs-CZ"/>
              </w:rPr>
              <w:t>běžné výdaje v tom:</w:t>
            </w:r>
          </w:p>
        </w:tc>
        <w:tc>
          <w:tcPr>
            <w:tcW w:w="755" w:type="pct"/>
            <w:tcBorders>
              <w:top w:val="single" w:sz="4" w:space="0" w:color="auto"/>
              <w:bottom w:val="nil"/>
            </w:tcBorders>
            <w:shd w:val="clear" w:color="auto" w:fill="auto"/>
            <w:vAlign w:val="center"/>
          </w:tcPr>
          <w:p w14:paraId="20393F06" w14:textId="77777777" w:rsidR="002F0D3C" w:rsidRPr="001A4A31" w:rsidRDefault="002F0D3C" w:rsidP="00DC64B4">
            <w:pPr>
              <w:jc w:val="right"/>
              <w:rPr>
                <w:rFonts w:eastAsia="Times New Roman" w:cs="Times New Roman"/>
                <w:color w:val="000000" w:themeColor="text1"/>
                <w:vertAlign w:val="superscript"/>
                <w:lang w:eastAsia="cs-CZ"/>
              </w:rPr>
            </w:pPr>
            <w:r w:rsidRPr="001A4A31">
              <w:rPr>
                <w:rFonts w:eastAsia="Times New Roman" w:cs="Times New Roman"/>
                <w:color w:val="000000" w:themeColor="text1"/>
                <w:lang w:eastAsia="cs-CZ"/>
              </w:rPr>
              <w:t>5 803</w:t>
            </w:r>
          </w:p>
        </w:tc>
        <w:tc>
          <w:tcPr>
            <w:tcW w:w="755" w:type="pct"/>
            <w:tcBorders>
              <w:top w:val="single" w:sz="4" w:space="0" w:color="auto"/>
              <w:bottom w:val="nil"/>
            </w:tcBorders>
            <w:shd w:val="clear" w:color="auto" w:fill="auto"/>
            <w:vAlign w:val="center"/>
          </w:tcPr>
          <w:p w14:paraId="4F338353" w14:textId="77777777" w:rsidR="002F0D3C" w:rsidRPr="001A4A31" w:rsidRDefault="002F0D3C"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 xml:space="preserve">5 000 </w:t>
            </w:r>
          </w:p>
        </w:tc>
        <w:tc>
          <w:tcPr>
            <w:tcW w:w="789" w:type="pct"/>
            <w:tcBorders>
              <w:top w:val="single" w:sz="4" w:space="0" w:color="auto"/>
              <w:bottom w:val="nil"/>
            </w:tcBorders>
            <w:shd w:val="clear" w:color="auto" w:fill="auto"/>
            <w:vAlign w:val="center"/>
          </w:tcPr>
          <w:p w14:paraId="0641DF32" w14:textId="77777777" w:rsidR="002F0D3C" w:rsidRPr="001A4A31" w:rsidRDefault="002F0D3C"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 xml:space="preserve">5 000 </w:t>
            </w:r>
          </w:p>
        </w:tc>
        <w:tc>
          <w:tcPr>
            <w:tcW w:w="583" w:type="pct"/>
            <w:tcBorders>
              <w:top w:val="single" w:sz="4" w:space="0" w:color="auto"/>
              <w:bottom w:val="nil"/>
            </w:tcBorders>
            <w:shd w:val="clear" w:color="auto" w:fill="auto"/>
            <w:vAlign w:val="center"/>
          </w:tcPr>
          <w:p w14:paraId="281C450D" w14:textId="77777777" w:rsidR="002F0D3C" w:rsidRPr="001A4A31" w:rsidRDefault="002F0D3C"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100,00</w:t>
            </w:r>
          </w:p>
        </w:tc>
      </w:tr>
      <w:tr w:rsidR="002F0D3C" w:rsidRPr="001A4A31" w14:paraId="28345939" w14:textId="77777777" w:rsidTr="00DC64B4">
        <w:tc>
          <w:tcPr>
            <w:tcW w:w="2118" w:type="pct"/>
            <w:tcBorders>
              <w:top w:val="nil"/>
              <w:bottom w:val="nil"/>
              <w:right w:val="single" w:sz="4" w:space="0" w:color="7F7F7F" w:themeColor="text1" w:themeTint="80"/>
            </w:tcBorders>
            <w:shd w:val="clear" w:color="auto" w:fill="auto"/>
          </w:tcPr>
          <w:p w14:paraId="776F8BB1" w14:textId="77777777" w:rsidR="002F0D3C" w:rsidRPr="001A4A31" w:rsidRDefault="002F0D3C" w:rsidP="00DC64B4">
            <w:pPr>
              <w:rPr>
                <w:rFonts w:eastAsia="Times New Roman" w:cs="Times New Roman"/>
                <w:i/>
                <w:color w:val="000000" w:themeColor="text1"/>
                <w:lang w:eastAsia="cs-CZ"/>
              </w:rPr>
            </w:pPr>
            <w:r w:rsidRPr="001A4A31">
              <w:rPr>
                <w:rFonts w:eastAsia="Times New Roman" w:cs="Times New Roman"/>
                <w:i/>
                <w:color w:val="000000" w:themeColor="text1"/>
                <w:lang w:eastAsia="cs-CZ"/>
              </w:rPr>
              <w:t xml:space="preserve">      prostředky SR</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0D4EFF36"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3 820</w:t>
            </w:r>
          </w:p>
        </w:tc>
        <w:tc>
          <w:tcPr>
            <w:tcW w:w="755"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2AA1827A"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 xml:space="preserve">5 000 </w:t>
            </w:r>
          </w:p>
        </w:tc>
        <w:tc>
          <w:tcPr>
            <w:tcW w:w="789" w:type="pct"/>
            <w:tcBorders>
              <w:top w:val="nil"/>
              <w:left w:val="single" w:sz="4" w:space="0" w:color="7F7F7F" w:themeColor="text1" w:themeTint="80"/>
              <w:bottom w:val="nil"/>
              <w:right w:val="single" w:sz="4" w:space="0" w:color="7F7F7F" w:themeColor="text1" w:themeTint="80"/>
            </w:tcBorders>
            <w:shd w:val="clear" w:color="auto" w:fill="auto"/>
            <w:vAlign w:val="center"/>
          </w:tcPr>
          <w:p w14:paraId="11173D38"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 xml:space="preserve">5 000 </w:t>
            </w:r>
          </w:p>
        </w:tc>
        <w:tc>
          <w:tcPr>
            <w:tcW w:w="583" w:type="pct"/>
            <w:tcBorders>
              <w:top w:val="nil"/>
              <w:left w:val="single" w:sz="2" w:space="0" w:color="7F7F7F" w:themeColor="text1" w:themeTint="80"/>
              <w:bottom w:val="nil"/>
            </w:tcBorders>
            <w:shd w:val="clear" w:color="auto" w:fill="auto"/>
            <w:vAlign w:val="center"/>
          </w:tcPr>
          <w:p w14:paraId="439437FA"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100,00</w:t>
            </w:r>
          </w:p>
        </w:tc>
      </w:tr>
      <w:tr w:rsidR="002F0D3C" w:rsidRPr="001A4A31" w14:paraId="1D79381D" w14:textId="77777777" w:rsidTr="0000288F">
        <w:tc>
          <w:tcPr>
            <w:tcW w:w="2118" w:type="pct"/>
            <w:tcBorders>
              <w:top w:val="nil"/>
              <w:bottom w:val="dashed" w:sz="4" w:space="0" w:color="auto"/>
              <w:right w:val="single" w:sz="4" w:space="0" w:color="7F7F7F" w:themeColor="text1" w:themeTint="80"/>
            </w:tcBorders>
            <w:shd w:val="clear" w:color="auto" w:fill="auto"/>
          </w:tcPr>
          <w:p w14:paraId="7B4FACA8" w14:textId="77777777" w:rsidR="002F0D3C" w:rsidRPr="001A4A31" w:rsidRDefault="002F0D3C" w:rsidP="00DC64B4">
            <w:pPr>
              <w:rPr>
                <w:rFonts w:eastAsia="Times New Roman" w:cs="Times New Roman"/>
                <w:i/>
                <w:color w:val="000000" w:themeColor="text1"/>
                <w:lang w:eastAsia="cs-CZ"/>
              </w:rPr>
            </w:pPr>
            <w:r w:rsidRPr="001A4A31">
              <w:rPr>
                <w:rFonts w:eastAsia="Times New Roman" w:cs="Times New Roman"/>
                <w:i/>
                <w:color w:val="000000" w:themeColor="text1"/>
                <w:lang w:eastAsia="cs-CZ"/>
              </w:rPr>
              <w:t xml:space="preserve">      prostředky z fondů EU</w:t>
            </w:r>
          </w:p>
        </w:tc>
        <w:tc>
          <w:tcPr>
            <w:tcW w:w="755" w:type="pct"/>
            <w:tcBorders>
              <w:top w:val="nil"/>
              <w:left w:val="single" w:sz="4" w:space="0" w:color="7F7F7F" w:themeColor="text1" w:themeTint="80"/>
              <w:bottom w:val="dashed" w:sz="4" w:space="0" w:color="auto"/>
              <w:right w:val="single" w:sz="4" w:space="0" w:color="7F7F7F" w:themeColor="text1" w:themeTint="80"/>
            </w:tcBorders>
            <w:shd w:val="clear" w:color="auto" w:fill="auto"/>
            <w:vAlign w:val="center"/>
          </w:tcPr>
          <w:p w14:paraId="3A9F97C7"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1 983</w:t>
            </w:r>
          </w:p>
        </w:tc>
        <w:tc>
          <w:tcPr>
            <w:tcW w:w="755" w:type="pct"/>
            <w:tcBorders>
              <w:top w:val="nil"/>
              <w:left w:val="single" w:sz="4" w:space="0" w:color="7F7F7F" w:themeColor="text1" w:themeTint="80"/>
              <w:bottom w:val="dashed" w:sz="4" w:space="0" w:color="auto"/>
              <w:right w:val="single" w:sz="4" w:space="0" w:color="7F7F7F" w:themeColor="text1" w:themeTint="80"/>
            </w:tcBorders>
            <w:shd w:val="clear" w:color="auto" w:fill="auto"/>
            <w:vAlign w:val="center"/>
          </w:tcPr>
          <w:p w14:paraId="178E72C1"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789" w:type="pct"/>
            <w:tcBorders>
              <w:top w:val="nil"/>
              <w:left w:val="single" w:sz="4" w:space="0" w:color="7F7F7F" w:themeColor="text1" w:themeTint="80"/>
              <w:bottom w:val="dashed" w:sz="4" w:space="0" w:color="auto"/>
              <w:right w:val="single" w:sz="4" w:space="0" w:color="7F7F7F" w:themeColor="text1" w:themeTint="80"/>
            </w:tcBorders>
            <w:shd w:val="clear" w:color="auto" w:fill="auto"/>
            <w:vAlign w:val="center"/>
          </w:tcPr>
          <w:p w14:paraId="4ED51833"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583" w:type="pct"/>
            <w:tcBorders>
              <w:top w:val="nil"/>
              <w:left w:val="single" w:sz="2" w:space="0" w:color="7F7F7F" w:themeColor="text1" w:themeTint="80"/>
              <w:bottom w:val="dashed" w:sz="4" w:space="0" w:color="auto"/>
            </w:tcBorders>
            <w:shd w:val="clear" w:color="auto" w:fill="auto"/>
            <w:vAlign w:val="center"/>
          </w:tcPr>
          <w:p w14:paraId="600E3E4F"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x</w:t>
            </w:r>
          </w:p>
        </w:tc>
      </w:tr>
      <w:tr w:rsidR="002F0D3C" w:rsidRPr="001A4A31" w14:paraId="6F5F3EF7" w14:textId="77777777" w:rsidTr="0000288F">
        <w:tc>
          <w:tcPr>
            <w:tcW w:w="2118" w:type="pct"/>
            <w:tcBorders>
              <w:top w:val="dashed" w:sz="4" w:space="0" w:color="auto"/>
              <w:bottom w:val="nil"/>
            </w:tcBorders>
            <w:shd w:val="clear" w:color="auto" w:fill="auto"/>
          </w:tcPr>
          <w:p w14:paraId="4E6A7B17" w14:textId="77777777" w:rsidR="002F0D3C" w:rsidRPr="001A4A31" w:rsidRDefault="002F0D3C" w:rsidP="00DC64B4">
            <w:pPr>
              <w:rPr>
                <w:rFonts w:eastAsia="Times New Roman" w:cs="Times New Roman"/>
                <w:color w:val="000000" w:themeColor="text1"/>
                <w:lang w:eastAsia="cs-CZ"/>
              </w:rPr>
            </w:pPr>
            <w:r w:rsidRPr="001A4A31">
              <w:rPr>
                <w:rFonts w:eastAsia="Times New Roman" w:cs="Times New Roman"/>
                <w:color w:val="000000" w:themeColor="text1"/>
                <w:lang w:eastAsia="cs-CZ"/>
              </w:rPr>
              <w:t>kapitálové výdaje v tom:</w:t>
            </w:r>
          </w:p>
        </w:tc>
        <w:tc>
          <w:tcPr>
            <w:tcW w:w="755" w:type="pct"/>
            <w:tcBorders>
              <w:top w:val="dashed" w:sz="4" w:space="0" w:color="auto"/>
              <w:bottom w:val="nil"/>
            </w:tcBorders>
            <w:shd w:val="clear" w:color="auto" w:fill="auto"/>
            <w:vAlign w:val="center"/>
          </w:tcPr>
          <w:p w14:paraId="6600F0ED" w14:textId="77777777" w:rsidR="002F0D3C" w:rsidRPr="001A4A31" w:rsidRDefault="002F0D3C"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81 735</w:t>
            </w:r>
          </w:p>
        </w:tc>
        <w:tc>
          <w:tcPr>
            <w:tcW w:w="755" w:type="pct"/>
            <w:tcBorders>
              <w:top w:val="dashed" w:sz="4" w:space="0" w:color="auto"/>
              <w:bottom w:val="nil"/>
            </w:tcBorders>
            <w:shd w:val="clear" w:color="auto" w:fill="auto"/>
            <w:vAlign w:val="center"/>
          </w:tcPr>
          <w:p w14:paraId="4D27B08E" w14:textId="77777777" w:rsidR="002F0D3C" w:rsidRPr="001A4A31" w:rsidRDefault="002F0D3C"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  3 289 777</w:t>
            </w:r>
          </w:p>
        </w:tc>
        <w:tc>
          <w:tcPr>
            <w:tcW w:w="789" w:type="pct"/>
            <w:tcBorders>
              <w:top w:val="dashed" w:sz="4" w:space="0" w:color="auto"/>
              <w:bottom w:val="nil"/>
            </w:tcBorders>
            <w:shd w:val="clear" w:color="auto" w:fill="auto"/>
            <w:vAlign w:val="center"/>
          </w:tcPr>
          <w:p w14:paraId="06AD061D" w14:textId="77777777" w:rsidR="002F0D3C" w:rsidRPr="001A4A31" w:rsidRDefault="002F0D3C" w:rsidP="00DC64B4">
            <w:pPr>
              <w:jc w:val="right"/>
              <w:rPr>
                <w:rFonts w:eastAsia="Times New Roman" w:cs="Times New Roman"/>
                <w:bCs/>
                <w:color w:val="000000" w:themeColor="text1"/>
                <w:lang w:eastAsia="cs-CZ"/>
              </w:rPr>
            </w:pPr>
            <w:r w:rsidRPr="001A4A31">
              <w:rPr>
                <w:rFonts w:eastAsia="Times New Roman" w:cs="Times New Roman"/>
                <w:bCs/>
                <w:color w:val="000000" w:themeColor="text1"/>
                <w:lang w:eastAsia="cs-CZ"/>
              </w:rPr>
              <w:t>  0</w:t>
            </w:r>
          </w:p>
        </w:tc>
        <w:tc>
          <w:tcPr>
            <w:tcW w:w="583" w:type="pct"/>
            <w:tcBorders>
              <w:top w:val="dashed" w:sz="4" w:space="0" w:color="auto"/>
              <w:bottom w:val="nil"/>
            </w:tcBorders>
            <w:shd w:val="clear" w:color="auto" w:fill="auto"/>
            <w:vAlign w:val="center"/>
          </w:tcPr>
          <w:p w14:paraId="36D047CC" w14:textId="77777777" w:rsidR="002F0D3C" w:rsidRPr="001A4A31" w:rsidRDefault="002F0D3C"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0,00</w:t>
            </w:r>
          </w:p>
        </w:tc>
      </w:tr>
      <w:tr w:rsidR="002F0D3C" w:rsidRPr="001A4A31" w14:paraId="1153DDBF" w14:textId="77777777" w:rsidTr="0000288F">
        <w:tc>
          <w:tcPr>
            <w:tcW w:w="2118" w:type="pct"/>
            <w:tcBorders>
              <w:top w:val="nil"/>
              <w:bottom w:val="nil"/>
            </w:tcBorders>
            <w:shd w:val="clear" w:color="auto" w:fill="auto"/>
          </w:tcPr>
          <w:p w14:paraId="33FF6C1D" w14:textId="77777777" w:rsidR="002F0D3C" w:rsidRPr="001A4A31" w:rsidRDefault="002F0D3C" w:rsidP="00DC64B4">
            <w:pPr>
              <w:rPr>
                <w:rFonts w:eastAsia="Times New Roman" w:cs="Times New Roman"/>
                <w:i/>
                <w:color w:val="000000" w:themeColor="text1"/>
                <w:lang w:eastAsia="cs-CZ"/>
              </w:rPr>
            </w:pPr>
            <w:r w:rsidRPr="001A4A31">
              <w:rPr>
                <w:rFonts w:eastAsia="Times New Roman" w:cs="Times New Roman"/>
                <w:i/>
                <w:color w:val="000000" w:themeColor="text1"/>
                <w:lang w:eastAsia="cs-CZ"/>
              </w:rPr>
              <w:t xml:space="preserve">      prostředky SR</w:t>
            </w:r>
          </w:p>
        </w:tc>
        <w:tc>
          <w:tcPr>
            <w:tcW w:w="755" w:type="pct"/>
            <w:tcBorders>
              <w:top w:val="nil"/>
              <w:bottom w:val="nil"/>
            </w:tcBorders>
            <w:shd w:val="clear" w:color="auto" w:fill="auto"/>
            <w:vAlign w:val="center"/>
          </w:tcPr>
          <w:p w14:paraId="68E35B0A"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  0</w:t>
            </w:r>
          </w:p>
        </w:tc>
        <w:tc>
          <w:tcPr>
            <w:tcW w:w="755" w:type="pct"/>
            <w:tcBorders>
              <w:top w:val="nil"/>
              <w:bottom w:val="nil"/>
            </w:tcBorders>
            <w:shd w:val="clear" w:color="auto" w:fill="auto"/>
            <w:vAlign w:val="center"/>
          </w:tcPr>
          <w:p w14:paraId="75288BE9"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789" w:type="pct"/>
            <w:tcBorders>
              <w:top w:val="nil"/>
              <w:bottom w:val="nil"/>
            </w:tcBorders>
            <w:shd w:val="clear" w:color="auto" w:fill="auto"/>
            <w:vAlign w:val="center"/>
          </w:tcPr>
          <w:p w14:paraId="2F8C5E76"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583" w:type="pct"/>
            <w:tcBorders>
              <w:top w:val="nil"/>
              <w:bottom w:val="nil"/>
            </w:tcBorders>
            <w:shd w:val="clear" w:color="auto" w:fill="auto"/>
            <w:vAlign w:val="center"/>
          </w:tcPr>
          <w:p w14:paraId="37108F3D"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 xml:space="preserve"> x</w:t>
            </w:r>
          </w:p>
        </w:tc>
      </w:tr>
      <w:tr w:rsidR="002F0D3C" w:rsidRPr="001A4A31" w14:paraId="3600A98D" w14:textId="77777777" w:rsidTr="0000288F">
        <w:tc>
          <w:tcPr>
            <w:tcW w:w="2118" w:type="pct"/>
            <w:tcBorders>
              <w:top w:val="nil"/>
              <w:bottom w:val="single" w:sz="8" w:space="0" w:color="7F7F7F" w:themeColor="text1" w:themeTint="80"/>
            </w:tcBorders>
            <w:shd w:val="clear" w:color="auto" w:fill="auto"/>
          </w:tcPr>
          <w:p w14:paraId="596E9FE8" w14:textId="77777777" w:rsidR="002F0D3C" w:rsidRPr="001A4A31" w:rsidRDefault="002F0D3C" w:rsidP="00DC64B4">
            <w:pPr>
              <w:rPr>
                <w:rFonts w:eastAsia="Times New Roman" w:cs="Times New Roman"/>
                <w:i/>
                <w:color w:val="000000" w:themeColor="text1"/>
                <w:lang w:eastAsia="cs-CZ"/>
              </w:rPr>
            </w:pPr>
            <w:r w:rsidRPr="001A4A31">
              <w:rPr>
                <w:rFonts w:eastAsia="Times New Roman" w:cs="Times New Roman"/>
                <w:i/>
                <w:color w:val="000000" w:themeColor="text1"/>
                <w:lang w:eastAsia="cs-CZ"/>
              </w:rPr>
              <w:t xml:space="preserve">      prostředky z fondů EU</w:t>
            </w:r>
          </w:p>
        </w:tc>
        <w:tc>
          <w:tcPr>
            <w:tcW w:w="755" w:type="pct"/>
            <w:tcBorders>
              <w:top w:val="nil"/>
              <w:bottom w:val="single" w:sz="4" w:space="0" w:color="auto"/>
            </w:tcBorders>
            <w:shd w:val="clear" w:color="auto" w:fill="auto"/>
            <w:vAlign w:val="center"/>
          </w:tcPr>
          <w:p w14:paraId="03F977FA" w14:textId="77777777" w:rsidR="002F0D3C" w:rsidRPr="001A4A31" w:rsidRDefault="002F0D3C" w:rsidP="00DC64B4">
            <w:pPr>
              <w:jc w:val="right"/>
              <w:rPr>
                <w:rFonts w:eastAsia="Times New Roman" w:cs="Times New Roman"/>
                <w:color w:val="000000" w:themeColor="text1"/>
                <w:lang w:eastAsia="cs-CZ"/>
              </w:rPr>
            </w:pPr>
            <w:r w:rsidRPr="001A4A31">
              <w:rPr>
                <w:rFonts w:eastAsia="Times New Roman" w:cs="Times New Roman"/>
                <w:color w:val="000000" w:themeColor="text1"/>
                <w:lang w:eastAsia="cs-CZ"/>
              </w:rPr>
              <w:t>81 735</w:t>
            </w:r>
          </w:p>
        </w:tc>
        <w:tc>
          <w:tcPr>
            <w:tcW w:w="755" w:type="pct"/>
            <w:tcBorders>
              <w:top w:val="nil"/>
              <w:bottom w:val="single" w:sz="8" w:space="0" w:color="7F7F7F" w:themeColor="text1" w:themeTint="80"/>
            </w:tcBorders>
            <w:shd w:val="clear" w:color="auto" w:fill="auto"/>
            <w:vAlign w:val="center"/>
          </w:tcPr>
          <w:p w14:paraId="147C6C7E"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3 289 777</w:t>
            </w:r>
          </w:p>
        </w:tc>
        <w:tc>
          <w:tcPr>
            <w:tcW w:w="789" w:type="pct"/>
            <w:tcBorders>
              <w:top w:val="nil"/>
              <w:bottom w:val="single" w:sz="8" w:space="0" w:color="7F7F7F" w:themeColor="text1" w:themeTint="80"/>
            </w:tcBorders>
            <w:shd w:val="clear" w:color="auto" w:fill="auto"/>
            <w:vAlign w:val="center"/>
          </w:tcPr>
          <w:p w14:paraId="045AD9DF"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w:t>
            </w:r>
          </w:p>
        </w:tc>
        <w:tc>
          <w:tcPr>
            <w:tcW w:w="583" w:type="pct"/>
            <w:tcBorders>
              <w:top w:val="nil"/>
              <w:bottom w:val="single" w:sz="8" w:space="0" w:color="7F7F7F" w:themeColor="text1" w:themeTint="80"/>
            </w:tcBorders>
            <w:shd w:val="clear" w:color="auto" w:fill="auto"/>
            <w:vAlign w:val="center"/>
          </w:tcPr>
          <w:p w14:paraId="2C64E70D" w14:textId="77777777" w:rsidR="002F0D3C" w:rsidRPr="001A4A31" w:rsidRDefault="002F0D3C" w:rsidP="00DC64B4">
            <w:pPr>
              <w:jc w:val="right"/>
              <w:rPr>
                <w:rFonts w:eastAsia="Times New Roman" w:cs="Times New Roman"/>
                <w:i/>
                <w:color w:val="000000" w:themeColor="text1"/>
                <w:lang w:eastAsia="cs-CZ"/>
              </w:rPr>
            </w:pPr>
            <w:r w:rsidRPr="001A4A31">
              <w:rPr>
                <w:rFonts w:eastAsia="Times New Roman" w:cs="Times New Roman"/>
                <w:i/>
                <w:color w:val="000000" w:themeColor="text1"/>
                <w:lang w:eastAsia="cs-CZ"/>
              </w:rPr>
              <w:t>0,00</w:t>
            </w:r>
          </w:p>
        </w:tc>
      </w:tr>
    </w:tbl>
    <w:p w14:paraId="504F7D82" w14:textId="77777777" w:rsidR="004B2F70" w:rsidRPr="0088307E" w:rsidRDefault="004B2F70" w:rsidP="00DE3635">
      <w:pPr>
        <w:pStyle w:val="Styl1"/>
        <w:spacing w:before="200" w:after="200"/>
      </w:pPr>
      <w:r w:rsidRPr="0088307E">
        <w:t xml:space="preserve">V dalším textu je uváděn návrh rozpočtu výdajů na financování reprodukce majetku v členění na jednotlivé programy vedené v EDS/SMVS. </w:t>
      </w:r>
    </w:p>
    <w:p w14:paraId="148EB4EE" w14:textId="543CA152" w:rsidR="004B2F70" w:rsidRPr="0088307E" w:rsidRDefault="004B2F70" w:rsidP="004B2F70">
      <w:pPr>
        <w:pStyle w:val="Titulek"/>
        <w:rPr>
          <w:noProof/>
        </w:rPr>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35</w:t>
      </w:r>
      <w:r w:rsidRPr="0088307E">
        <w:rPr>
          <w:noProof/>
        </w:rPr>
        <w:fldChar w:fldCharType="end"/>
      </w:r>
      <w:r w:rsidRPr="0088307E">
        <w:rPr>
          <w:noProof/>
        </w:rPr>
        <w:t xml:space="preserve"> Přehled jednotlivých programů vedených v EDS/SMVS (v tis. Kč)</w:t>
      </w:r>
    </w:p>
    <w:tbl>
      <w:tblPr>
        <w:tblStyle w:val="Svtltabulkasmkou1zvraznn5"/>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2117"/>
        <w:gridCol w:w="1136"/>
        <w:gridCol w:w="1135"/>
        <w:gridCol w:w="1135"/>
        <w:gridCol w:w="1274"/>
        <w:gridCol w:w="991"/>
        <w:gridCol w:w="1274"/>
      </w:tblGrid>
      <w:tr w:rsidR="005C67B9" w:rsidRPr="003B44D0" w14:paraId="2B1EF5A4" w14:textId="77777777" w:rsidTr="00DC64B4">
        <w:tc>
          <w:tcPr>
            <w:tcW w:w="1168"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2DE3604" w14:textId="77777777" w:rsidR="005C67B9" w:rsidRPr="003B44D0" w:rsidRDefault="005C67B9" w:rsidP="00DC64B4">
            <w:pPr>
              <w:spacing w:before="163"/>
              <w:jc w:val="center"/>
              <w:rPr>
                <w:rFonts w:eastAsia="Times New Roman" w:cs="Times New Roman"/>
                <w:b/>
                <w:bCs/>
                <w:color w:val="000000" w:themeColor="text1"/>
                <w:lang w:eastAsia="cs-CZ"/>
              </w:rPr>
            </w:pPr>
            <w:r w:rsidRPr="003B44D0">
              <w:rPr>
                <w:rFonts w:eastAsia="Times New Roman" w:cs="Times New Roman"/>
                <w:b/>
                <w:bCs/>
                <w:color w:val="000000" w:themeColor="text1"/>
                <w:lang w:eastAsia="cs-CZ"/>
              </w:rPr>
              <w:t>Číslo programu</w:t>
            </w:r>
          </w:p>
        </w:tc>
        <w:tc>
          <w:tcPr>
            <w:tcW w:w="1253"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1CB03E1" w14:textId="77777777" w:rsidR="005C67B9" w:rsidRPr="003B44D0" w:rsidRDefault="005C67B9" w:rsidP="00DC64B4">
            <w:pPr>
              <w:jc w:val="center"/>
              <w:rPr>
                <w:rFonts w:eastAsia="Times New Roman" w:cs="Times New Roman"/>
                <w:b/>
                <w:bCs/>
                <w:color w:val="000000" w:themeColor="text1"/>
                <w:lang w:eastAsia="cs-CZ"/>
              </w:rPr>
            </w:pPr>
            <w:r w:rsidRPr="003B44D0">
              <w:rPr>
                <w:rFonts w:eastAsia="Times New Roman" w:cs="Times New Roman"/>
                <w:b/>
                <w:bCs/>
                <w:color w:val="000000" w:themeColor="text1"/>
                <w:lang w:eastAsia="cs-CZ"/>
              </w:rPr>
              <w:t xml:space="preserve">Skutečnost </w:t>
            </w:r>
            <w:r w:rsidRPr="003B44D0">
              <w:rPr>
                <w:rFonts w:eastAsia="Times New Roman" w:cs="Times New Roman"/>
                <w:b/>
                <w:bCs/>
                <w:color w:val="000000" w:themeColor="text1"/>
                <w:lang w:eastAsia="cs-CZ"/>
              </w:rPr>
              <w:br/>
              <w:t xml:space="preserve">2021 </w:t>
            </w:r>
          </w:p>
        </w:tc>
        <w:tc>
          <w:tcPr>
            <w:tcW w:w="1329"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460B312" w14:textId="77777777" w:rsidR="005C67B9" w:rsidRPr="003B44D0" w:rsidRDefault="005C67B9" w:rsidP="00DC64B4">
            <w:pPr>
              <w:jc w:val="center"/>
              <w:rPr>
                <w:rFonts w:eastAsia="Times New Roman" w:cs="Times New Roman"/>
                <w:b/>
                <w:bCs/>
                <w:color w:val="000000" w:themeColor="text1"/>
                <w:lang w:eastAsia="cs-CZ"/>
              </w:rPr>
            </w:pPr>
            <w:r w:rsidRPr="003B44D0">
              <w:rPr>
                <w:rFonts w:eastAsia="Times New Roman" w:cs="Times New Roman"/>
                <w:b/>
                <w:bCs/>
                <w:color w:val="000000" w:themeColor="text1"/>
                <w:lang w:eastAsia="cs-CZ"/>
              </w:rPr>
              <w:t>Schválený rozpočet 2022</w:t>
            </w:r>
          </w:p>
        </w:tc>
        <w:tc>
          <w:tcPr>
            <w:tcW w:w="1250" w:type="pct"/>
            <w:gridSpan w:val="2"/>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5CC27568" w14:textId="77777777" w:rsidR="005C67B9" w:rsidRPr="003B44D0" w:rsidRDefault="005C67B9" w:rsidP="00DC64B4">
            <w:pPr>
              <w:jc w:val="center"/>
              <w:rPr>
                <w:rFonts w:eastAsia="Times New Roman" w:cs="Times New Roman"/>
                <w:b/>
                <w:bCs/>
                <w:color w:val="000000" w:themeColor="text1"/>
                <w:lang w:eastAsia="cs-CZ"/>
              </w:rPr>
            </w:pPr>
            <w:r w:rsidRPr="003B44D0">
              <w:rPr>
                <w:rFonts w:eastAsia="Times New Roman" w:cs="Times New Roman"/>
                <w:b/>
                <w:bCs/>
                <w:color w:val="000000" w:themeColor="text1"/>
                <w:lang w:eastAsia="cs-CZ"/>
              </w:rPr>
              <w:t>Návrh rozpočtu</w:t>
            </w:r>
            <w:r w:rsidRPr="003B44D0">
              <w:rPr>
                <w:rFonts w:eastAsia="Times New Roman" w:cs="Times New Roman"/>
                <w:b/>
                <w:bCs/>
                <w:color w:val="000000" w:themeColor="text1"/>
                <w:lang w:eastAsia="cs-CZ"/>
              </w:rPr>
              <w:br/>
              <w:t xml:space="preserve"> 2023 </w:t>
            </w:r>
          </w:p>
        </w:tc>
      </w:tr>
      <w:tr w:rsidR="005C67B9" w:rsidRPr="003B44D0" w14:paraId="76B6055A" w14:textId="77777777" w:rsidTr="00DC64B4">
        <w:tc>
          <w:tcPr>
            <w:tcW w:w="1168"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DC26CC4" w14:textId="77777777" w:rsidR="005C67B9" w:rsidRPr="003B44D0" w:rsidRDefault="005C67B9" w:rsidP="00DC64B4">
            <w:pPr>
              <w:rPr>
                <w:rFonts w:eastAsia="Times New Roman" w:cs="Times New Roman"/>
                <w:color w:val="000000" w:themeColor="text1"/>
                <w:lang w:eastAsia="cs-CZ"/>
              </w:rPr>
            </w:pPr>
          </w:p>
        </w:tc>
        <w:tc>
          <w:tcPr>
            <w:tcW w:w="62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6D39364" w14:textId="77777777" w:rsidR="005C67B9" w:rsidRPr="003B44D0" w:rsidRDefault="005C67B9" w:rsidP="00DC64B4">
            <w:pPr>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SR</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DCA244A" w14:textId="77777777" w:rsidR="005C67B9" w:rsidRPr="003B44D0" w:rsidRDefault="005C67B9" w:rsidP="00DC64B4">
            <w:pPr>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EU</w:t>
            </w:r>
          </w:p>
        </w:tc>
        <w:tc>
          <w:tcPr>
            <w:tcW w:w="626"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4EDF173B" w14:textId="77777777" w:rsidR="005C67B9" w:rsidRPr="003B44D0" w:rsidRDefault="005C67B9" w:rsidP="00DC64B4">
            <w:pPr>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F8AFF15" w14:textId="77777777" w:rsidR="005C67B9" w:rsidRPr="003B44D0" w:rsidRDefault="005C67B9" w:rsidP="00DC64B4">
            <w:pPr>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EU</w:t>
            </w:r>
          </w:p>
        </w:tc>
        <w:tc>
          <w:tcPr>
            <w:tcW w:w="547"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268C1DC" w14:textId="77777777" w:rsidR="005C67B9" w:rsidRPr="003B44D0" w:rsidRDefault="005C67B9" w:rsidP="00DC64B4">
            <w:pPr>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SR</w:t>
            </w:r>
          </w:p>
        </w:tc>
        <w:tc>
          <w:tcPr>
            <w:tcW w:w="70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7E21114" w14:textId="77777777" w:rsidR="005C67B9" w:rsidRPr="003B44D0" w:rsidRDefault="005C67B9" w:rsidP="00DC64B4">
            <w:pPr>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EU</w:t>
            </w:r>
          </w:p>
        </w:tc>
      </w:tr>
      <w:tr w:rsidR="005C67B9" w:rsidRPr="003B44D0" w14:paraId="1C6D696E" w14:textId="77777777" w:rsidTr="00DC64B4">
        <w:tc>
          <w:tcPr>
            <w:tcW w:w="1168" w:type="pct"/>
            <w:shd w:val="clear" w:color="auto" w:fill="auto"/>
          </w:tcPr>
          <w:p w14:paraId="3FF84CC6" w14:textId="77777777" w:rsidR="005C67B9" w:rsidRPr="003B44D0" w:rsidRDefault="005C67B9" w:rsidP="00DC64B4">
            <w:pPr>
              <w:jc w:val="center"/>
              <w:rPr>
                <w:rFonts w:eastAsia="Times New Roman" w:cs="Times New Roman"/>
                <w:color w:val="000000" w:themeColor="text1"/>
                <w:lang w:eastAsia="cs-CZ"/>
              </w:rPr>
            </w:pPr>
            <w:r w:rsidRPr="003B44D0">
              <w:rPr>
                <w:rFonts w:eastAsia="Times New Roman" w:cs="Times New Roman"/>
                <w:color w:val="000000" w:themeColor="text1"/>
                <w:lang w:eastAsia="cs-CZ"/>
              </w:rPr>
              <w:t>127 65</w:t>
            </w:r>
          </w:p>
        </w:tc>
        <w:tc>
          <w:tcPr>
            <w:tcW w:w="627" w:type="pct"/>
            <w:shd w:val="clear" w:color="auto" w:fill="auto"/>
          </w:tcPr>
          <w:p w14:paraId="33A6242B"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c>
          <w:tcPr>
            <w:tcW w:w="626" w:type="pct"/>
            <w:shd w:val="clear" w:color="auto" w:fill="auto"/>
          </w:tcPr>
          <w:p w14:paraId="07C6501B"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c>
          <w:tcPr>
            <w:tcW w:w="626" w:type="pct"/>
            <w:shd w:val="clear" w:color="auto" w:fill="auto"/>
          </w:tcPr>
          <w:p w14:paraId="5DFBBE0D"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c>
          <w:tcPr>
            <w:tcW w:w="703" w:type="pct"/>
            <w:shd w:val="clear" w:color="auto" w:fill="auto"/>
          </w:tcPr>
          <w:p w14:paraId="1DB6D2F0"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3 289 777</w:t>
            </w:r>
          </w:p>
        </w:tc>
        <w:tc>
          <w:tcPr>
            <w:tcW w:w="547" w:type="pct"/>
            <w:shd w:val="clear" w:color="auto" w:fill="auto"/>
          </w:tcPr>
          <w:p w14:paraId="09C70F57"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c>
          <w:tcPr>
            <w:tcW w:w="703" w:type="pct"/>
            <w:shd w:val="clear" w:color="auto" w:fill="auto"/>
          </w:tcPr>
          <w:p w14:paraId="34A44164"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r>
      <w:tr w:rsidR="005C67B9" w:rsidRPr="003B44D0" w14:paraId="07D5A8B3" w14:textId="77777777" w:rsidTr="00DC64B4">
        <w:tc>
          <w:tcPr>
            <w:tcW w:w="1168" w:type="pct"/>
            <w:shd w:val="clear" w:color="auto" w:fill="auto"/>
          </w:tcPr>
          <w:p w14:paraId="2C725B1B" w14:textId="77777777" w:rsidR="005C67B9" w:rsidRPr="003B44D0" w:rsidRDefault="005C67B9" w:rsidP="00DC64B4">
            <w:pPr>
              <w:jc w:val="center"/>
              <w:rPr>
                <w:rFonts w:eastAsia="Times New Roman" w:cs="Times New Roman"/>
                <w:color w:val="000000" w:themeColor="text1"/>
                <w:lang w:eastAsia="cs-CZ"/>
              </w:rPr>
            </w:pPr>
            <w:r w:rsidRPr="003B44D0">
              <w:rPr>
                <w:rFonts w:eastAsia="Times New Roman" w:cs="Times New Roman"/>
                <w:color w:val="000000" w:themeColor="text1"/>
                <w:lang w:eastAsia="cs-CZ"/>
              </w:rPr>
              <w:t>127 66/127 67</w:t>
            </w:r>
          </w:p>
        </w:tc>
        <w:tc>
          <w:tcPr>
            <w:tcW w:w="627" w:type="pct"/>
            <w:shd w:val="clear" w:color="auto" w:fill="auto"/>
          </w:tcPr>
          <w:p w14:paraId="3A1DF2DA"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3 820</w:t>
            </w:r>
          </w:p>
        </w:tc>
        <w:tc>
          <w:tcPr>
            <w:tcW w:w="626" w:type="pct"/>
            <w:shd w:val="clear" w:color="auto" w:fill="auto"/>
          </w:tcPr>
          <w:p w14:paraId="29FA5915"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c>
          <w:tcPr>
            <w:tcW w:w="626" w:type="pct"/>
            <w:shd w:val="clear" w:color="auto" w:fill="auto"/>
          </w:tcPr>
          <w:p w14:paraId="043843D6"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5 000</w:t>
            </w:r>
          </w:p>
        </w:tc>
        <w:tc>
          <w:tcPr>
            <w:tcW w:w="703" w:type="pct"/>
            <w:shd w:val="clear" w:color="auto" w:fill="auto"/>
          </w:tcPr>
          <w:p w14:paraId="7D8F2DF9"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c>
          <w:tcPr>
            <w:tcW w:w="547" w:type="pct"/>
            <w:shd w:val="clear" w:color="auto" w:fill="auto"/>
          </w:tcPr>
          <w:p w14:paraId="78E3A35D"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5 000</w:t>
            </w:r>
          </w:p>
        </w:tc>
        <w:tc>
          <w:tcPr>
            <w:tcW w:w="703" w:type="pct"/>
            <w:shd w:val="clear" w:color="auto" w:fill="auto"/>
          </w:tcPr>
          <w:p w14:paraId="4FFF1501" w14:textId="77777777" w:rsidR="005C67B9" w:rsidRPr="003B44D0" w:rsidRDefault="005C67B9" w:rsidP="00DC64B4">
            <w:pPr>
              <w:jc w:val="right"/>
              <w:rPr>
                <w:rFonts w:eastAsia="Times New Roman" w:cs="Times New Roman"/>
                <w:color w:val="000000" w:themeColor="text1"/>
                <w:lang w:eastAsia="cs-CZ"/>
              </w:rPr>
            </w:pPr>
            <w:r w:rsidRPr="003B44D0">
              <w:rPr>
                <w:rFonts w:eastAsia="Times New Roman" w:cs="Times New Roman"/>
                <w:color w:val="000000" w:themeColor="text1"/>
                <w:lang w:eastAsia="cs-CZ"/>
              </w:rPr>
              <w:t>0</w:t>
            </w:r>
          </w:p>
        </w:tc>
      </w:tr>
      <w:tr w:rsidR="005C67B9" w:rsidRPr="003B44D0" w14:paraId="7A131A1C" w14:textId="77777777" w:rsidTr="00DC64B4">
        <w:tc>
          <w:tcPr>
            <w:tcW w:w="1168" w:type="pct"/>
            <w:tcBorders>
              <w:top w:val="single" w:sz="4" w:space="0" w:color="7F7F7F" w:themeColor="text1" w:themeTint="80"/>
              <w:bottom w:val="single" w:sz="8" w:space="0" w:color="7F7F7F" w:themeColor="text1" w:themeTint="80"/>
            </w:tcBorders>
            <w:shd w:val="clear" w:color="auto" w:fill="auto"/>
          </w:tcPr>
          <w:p w14:paraId="2AB58CA2" w14:textId="77777777" w:rsidR="005C67B9" w:rsidRPr="003B44D0" w:rsidRDefault="005C67B9" w:rsidP="00DC64B4">
            <w:pPr>
              <w:jc w:val="center"/>
              <w:rPr>
                <w:rFonts w:eastAsia="Times New Roman" w:cs="Times New Roman"/>
                <w:bCs/>
                <w:color w:val="000000" w:themeColor="text1"/>
                <w:lang w:eastAsia="cs-CZ"/>
              </w:rPr>
            </w:pPr>
            <w:r w:rsidRPr="003B44D0">
              <w:rPr>
                <w:rFonts w:eastAsia="Times New Roman" w:cs="Times New Roman"/>
                <w:bCs/>
                <w:color w:val="000000" w:themeColor="text1"/>
                <w:lang w:eastAsia="cs-CZ"/>
              </w:rPr>
              <w:t>127 77</w:t>
            </w:r>
          </w:p>
        </w:tc>
        <w:tc>
          <w:tcPr>
            <w:tcW w:w="627" w:type="pct"/>
            <w:tcBorders>
              <w:top w:val="single" w:sz="4" w:space="0" w:color="7F7F7F" w:themeColor="text1" w:themeTint="80"/>
              <w:bottom w:val="single" w:sz="8" w:space="0" w:color="7F7F7F" w:themeColor="text1" w:themeTint="80"/>
            </w:tcBorders>
            <w:shd w:val="clear" w:color="auto" w:fill="auto"/>
          </w:tcPr>
          <w:p w14:paraId="11E0DFC5" w14:textId="77777777" w:rsidR="005C67B9" w:rsidRPr="003B44D0" w:rsidRDefault="005C67B9" w:rsidP="00DC64B4">
            <w:pPr>
              <w:jc w:val="right"/>
              <w:rPr>
                <w:rFonts w:eastAsia="Times New Roman" w:cs="Times New Roman"/>
                <w:bCs/>
                <w:color w:val="000000" w:themeColor="text1"/>
                <w:lang w:eastAsia="cs-CZ"/>
              </w:rPr>
            </w:pPr>
            <w:r w:rsidRPr="003B44D0">
              <w:rPr>
                <w:rFonts w:eastAsia="Times New Roman" w:cs="Times New Roman"/>
                <w:bCs/>
                <w:color w:val="000000" w:themeColor="text1"/>
                <w:lang w:eastAsia="cs-CZ"/>
              </w:rPr>
              <w:t>0</w:t>
            </w:r>
          </w:p>
        </w:tc>
        <w:tc>
          <w:tcPr>
            <w:tcW w:w="626" w:type="pct"/>
            <w:tcBorders>
              <w:top w:val="single" w:sz="4" w:space="0" w:color="7F7F7F" w:themeColor="text1" w:themeTint="80"/>
              <w:bottom w:val="single" w:sz="8" w:space="0" w:color="7F7F7F" w:themeColor="text1" w:themeTint="80"/>
            </w:tcBorders>
            <w:shd w:val="clear" w:color="auto" w:fill="auto"/>
          </w:tcPr>
          <w:p w14:paraId="7AF555E4" w14:textId="77777777" w:rsidR="005C67B9" w:rsidRPr="003B44D0" w:rsidRDefault="005C67B9" w:rsidP="00DC64B4">
            <w:pPr>
              <w:jc w:val="right"/>
              <w:rPr>
                <w:rFonts w:eastAsia="Times New Roman" w:cs="Times New Roman"/>
                <w:bCs/>
                <w:color w:val="000000" w:themeColor="text1"/>
                <w:lang w:eastAsia="cs-CZ"/>
              </w:rPr>
            </w:pPr>
            <w:r w:rsidRPr="003B44D0">
              <w:rPr>
                <w:rFonts w:eastAsia="Times New Roman" w:cs="Times New Roman"/>
                <w:bCs/>
                <w:color w:val="000000" w:themeColor="text1"/>
                <w:lang w:eastAsia="cs-CZ"/>
              </w:rPr>
              <w:t>83 718</w:t>
            </w:r>
          </w:p>
        </w:tc>
        <w:tc>
          <w:tcPr>
            <w:tcW w:w="626" w:type="pct"/>
            <w:tcBorders>
              <w:top w:val="single" w:sz="4" w:space="0" w:color="7F7F7F" w:themeColor="text1" w:themeTint="80"/>
              <w:bottom w:val="single" w:sz="8" w:space="0" w:color="7F7F7F" w:themeColor="text1" w:themeTint="80"/>
            </w:tcBorders>
            <w:shd w:val="clear" w:color="auto" w:fill="auto"/>
          </w:tcPr>
          <w:p w14:paraId="30ECF70D" w14:textId="77777777" w:rsidR="005C67B9" w:rsidRPr="003B44D0" w:rsidRDefault="005C67B9" w:rsidP="00DC64B4">
            <w:pPr>
              <w:jc w:val="right"/>
              <w:rPr>
                <w:rFonts w:eastAsia="Times New Roman" w:cs="Times New Roman"/>
                <w:bCs/>
                <w:color w:val="000000" w:themeColor="text1"/>
                <w:lang w:eastAsia="cs-CZ"/>
              </w:rPr>
            </w:pPr>
            <w:r w:rsidRPr="003B44D0">
              <w:rPr>
                <w:rFonts w:eastAsia="Times New Roman" w:cs="Times New Roman"/>
                <w:bCs/>
                <w:color w:val="000000" w:themeColor="text1"/>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14:paraId="0DCE84DE" w14:textId="77777777" w:rsidR="005C67B9" w:rsidRPr="003B44D0" w:rsidRDefault="005C67B9" w:rsidP="00DC64B4">
            <w:pPr>
              <w:jc w:val="right"/>
              <w:rPr>
                <w:rFonts w:eastAsia="Times New Roman" w:cs="Times New Roman"/>
                <w:bCs/>
                <w:color w:val="000000" w:themeColor="text1"/>
                <w:lang w:eastAsia="cs-CZ"/>
              </w:rPr>
            </w:pPr>
            <w:r w:rsidRPr="003B44D0">
              <w:rPr>
                <w:rFonts w:eastAsia="Times New Roman" w:cs="Times New Roman"/>
                <w:bCs/>
                <w:color w:val="000000" w:themeColor="text1"/>
                <w:lang w:eastAsia="cs-CZ"/>
              </w:rPr>
              <w:t xml:space="preserve">0 </w:t>
            </w:r>
          </w:p>
        </w:tc>
        <w:tc>
          <w:tcPr>
            <w:tcW w:w="547" w:type="pct"/>
            <w:tcBorders>
              <w:top w:val="single" w:sz="4" w:space="0" w:color="7F7F7F" w:themeColor="text1" w:themeTint="80"/>
              <w:bottom w:val="single" w:sz="8" w:space="0" w:color="7F7F7F" w:themeColor="text1" w:themeTint="80"/>
            </w:tcBorders>
            <w:shd w:val="clear" w:color="auto" w:fill="auto"/>
          </w:tcPr>
          <w:p w14:paraId="46CBF5A4" w14:textId="77777777" w:rsidR="005C67B9" w:rsidRPr="003B44D0" w:rsidRDefault="005C67B9" w:rsidP="00DC64B4">
            <w:pPr>
              <w:jc w:val="right"/>
              <w:rPr>
                <w:rFonts w:eastAsia="Times New Roman" w:cs="Times New Roman"/>
                <w:bCs/>
                <w:color w:val="000000" w:themeColor="text1"/>
                <w:lang w:eastAsia="cs-CZ"/>
              </w:rPr>
            </w:pPr>
            <w:r w:rsidRPr="003B44D0">
              <w:rPr>
                <w:rFonts w:eastAsia="Times New Roman" w:cs="Times New Roman"/>
                <w:bCs/>
                <w:color w:val="000000" w:themeColor="text1"/>
                <w:lang w:eastAsia="cs-CZ"/>
              </w:rPr>
              <w:t>0</w:t>
            </w:r>
          </w:p>
        </w:tc>
        <w:tc>
          <w:tcPr>
            <w:tcW w:w="703" w:type="pct"/>
            <w:tcBorders>
              <w:top w:val="single" w:sz="4" w:space="0" w:color="7F7F7F" w:themeColor="text1" w:themeTint="80"/>
              <w:bottom w:val="single" w:sz="8" w:space="0" w:color="7F7F7F" w:themeColor="text1" w:themeTint="80"/>
            </w:tcBorders>
            <w:shd w:val="clear" w:color="auto" w:fill="auto"/>
          </w:tcPr>
          <w:p w14:paraId="199B68E0" w14:textId="77777777" w:rsidR="005C67B9" w:rsidRPr="003B44D0" w:rsidRDefault="005C67B9" w:rsidP="00DC64B4">
            <w:pPr>
              <w:jc w:val="right"/>
              <w:rPr>
                <w:rFonts w:eastAsia="Times New Roman" w:cs="Times New Roman"/>
                <w:bCs/>
                <w:color w:val="000000" w:themeColor="text1"/>
                <w:lang w:eastAsia="cs-CZ"/>
              </w:rPr>
            </w:pPr>
            <w:r w:rsidRPr="003B44D0">
              <w:rPr>
                <w:rFonts w:eastAsia="Times New Roman" w:cs="Times New Roman"/>
                <w:bCs/>
                <w:color w:val="000000" w:themeColor="text1"/>
                <w:lang w:eastAsia="cs-CZ"/>
              </w:rPr>
              <w:t xml:space="preserve">0 </w:t>
            </w:r>
          </w:p>
        </w:tc>
      </w:tr>
      <w:tr w:rsidR="005C67B9" w:rsidRPr="003B44D0" w14:paraId="77F76BE5" w14:textId="77777777" w:rsidTr="00DC64B4">
        <w:tc>
          <w:tcPr>
            <w:tcW w:w="1168" w:type="pct"/>
            <w:tcBorders>
              <w:top w:val="single" w:sz="8" w:space="0" w:color="7F7F7F" w:themeColor="text1" w:themeTint="80"/>
              <w:bottom w:val="single" w:sz="8" w:space="0" w:color="7F7F7F" w:themeColor="text1" w:themeTint="80"/>
            </w:tcBorders>
            <w:shd w:val="clear" w:color="auto" w:fill="auto"/>
          </w:tcPr>
          <w:p w14:paraId="49DDA1FA" w14:textId="77777777" w:rsidR="005C67B9" w:rsidRPr="003B44D0" w:rsidRDefault="005C67B9" w:rsidP="00DC64B4">
            <w:pPr>
              <w:jc w:val="center"/>
              <w:rPr>
                <w:rFonts w:eastAsia="Times New Roman" w:cs="Times New Roman"/>
                <w:b/>
                <w:bCs/>
                <w:color w:val="000000" w:themeColor="text1"/>
                <w:lang w:eastAsia="cs-CZ"/>
              </w:rPr>
            </w:pPr>
            <w:r w:rsidRPr="003B44D0">
              <w:rPr>
                <w:rFonts w:eastAsia="Times New Roman" w:cs="Times New Roman"/>
                <w:b/>
                <w:bCs/>
                <w:color w:val="000000" w:themeColor="text1"/>
                <w:lang w:eastAsia="cs-CZ"/>
              </w:rPr>
              <w:t>CELKEM</w:t>
            </w:r>
          </w:p>
        </w:tc>
        <w:tc>
          <w:tcPr>
            <w:tcW w:w="627" w:type="pct"/>
            <w:tcBorders>
              <w:top w:val="single" w:sz="8" w:space="0" w:color="7F7F7F" w:themeColor="text1" w:themeTint="80"/>
              <w:bottom w:val="single" w:sz="8" w:space="0" w:color="7F7F7F" w:themeColor="text1" w:themeTint="80"/>
            </w:tcBorders>
            <w:shd w:val="clear" w:color="auto" w:fill="auto"/>
          </w:tcPr>
          <w:p w14:paraId="569BCCC2" w14:textId="77777777" w:rsidR="005C67B9" w:rsidRPr="003B44D0" w:rsidRDefault="005C67B9" w:rsidP="00DC64B4">
            <w:pPr>
              <w:jc w:val="right"/>
              <w:rPr>
                <w:rFonts w:eastAsia="Times New Roman" w:cs="Times New Roman"/>
                <w:b/>
                <w:bCs/>
                <w:color w:val="000000" w:themeColor="text1"/>
                <w:lang w:eastAsia="cs-CZ"/>
              </w:rPr>
            </w:pPr>
            <w:r w:rsidRPr="003B44D0">
              <w:rPr>
                <w:rFonts w:eastAsia="Times New Roman" w:cs="Times New Roman"/>
                <w:b/>
                <w:bCs/>
                <w:color w:val="000000" w:themeColor="text1"/>
                <w:lang w:eastAsia="cs-CZ"/>
              </w:rPr>
              <w:t>3 820</w:t>
            </w:r>
          </w:p>
        </w:tc>
        <w:tc>
          <w:tcPr>
            <w:tcW w:w="626" w:type="pct"/>
            <w:tcBorders>
              <w:top w:val="single" w:sz="8" w:space="0" w:color="7F7F7F" w:themeColor="text1" w:themeTint="80"/>
              <w:bottom w:val="single" w:sz="8" w:space="0" w:color="7F7F7F" w:themeColor="text1" w:themeTint="80"/>
            </w:tcBorders>
            <w:shd w:val="clear" w:color="auto" w:fill="auto"/>
          </w:tcPr>
          <w:p w14:paraId="320B1F9F" w14:textId="77777777" w:rsidR="005C67B9" w:rsidRPr="003B44D0" w:rsidRDefault="005C67B9" w:rsidP="00DC64B4">
            <w:pPr>
              <w:jc w:val="right"/>
              <w:rPr>
                <w:rFonts w:eastAsia="Times New Roman" w:cs="Times New Roman"/>
                <w:b/>
                <w:bCs/>
                <w:color w:val="000000" w:themeColor="text1"/>
                <w:lang w:eastAsia="cs-CZ"/>
              </w:rPr>
            </w:pPr>
            <w:r w:rsidRPr="003B44D0">
              <w:rPr>
                <w:rFonts w:eastAsia="Times New Roman" w:cs="Times New Roman"/>
                <w:b/>
                <w:bCs/>
                <w:color w:val="000000" w:themeColor="text1"/>
                <w:lang w:eastAsia="cs-CZ"/>
              </w:rPr>
              <w:t>83 718</w:t>
            </w:r>
          </w:p>
        </w:tc>
        <w:tc>
          <w:tcPr>
            <w:tcW w:w="626" w:type="pct"/>
            <w:tcBorders>
              <w:top w:val="single" w:sz="8" w:space="0" w:color="7F7F7F" w:themeColor="text1" w:themeTint="80"/>
              <w:bottom w:val="single" w:sz="8" w:space="0" w:color="7F7F7F" w:themeColor="text1" w:themeTint="80"/>
            </w:tcBorders>
            <w:shd w:val="clear" w:color="auto" w:fill="auto"/>
          </w:tcPr>
          <w:p w14:paraId="6FC8D4E0" w14:textId="77777777" w:rsidR="005C67B9" w:rsidRPr="003B44D0" w:rsidRDefault="005C67B9" w:rsidP="00DC64B4">
            <w:pPr>
              <w:jc w:val="right"/>
              <w:rPr>
                <w:rFonts w:eastAsia="Times New Roman" w:cs="Times New Roman"/>
                <w:b/>
                <w:bCs/>
                <w:color w:val="000000" w:themeColor="text1"/>
                <w:lang w:eastAsia="cs-CZ"/>
              </w:rPr>
            </w:pPr>
            <w:r w:rsidRPr="003B44D0">
              <w:rPr>
                <w:rFonts w:eastAsia="Times New Roman" w:cs="Times New Roman"/>
                <w:b/>
                <w:bCs/>
                <w:color w:val="000000" w:themeColor="text1"/>
                <w:lang w:eastAsia="cs-CZ"/>
              </w:rPr>
              <w:t>5 000</w:t>
            </w:r>
          </w:p>
        </w:tc>
        <w:tc>
          <w:tcPr>
            <w:tcW w:w="703" w:type="pct"/>
            <w:tcBorders>
              <w:top w:val="single" w:sz="8" w:space="0" w:color="7F7F7F" w:themeColor="text1" w:themeTint="80"/>
              <w:bottom w:val="single" w:sz="8" w:space="0" w:color="7F7F7F" w:themeColor="text1" w:themeTint="80"/>
            </w:tcBorders>
            <w:shd w:val="clear" w:color="auto" w:fill="auto"/>
          </w:tcPr>
          <w:p w14:paraId="069B8579" w14:textId="77777777" w:rsidR="005C67B9" w:rsidRPr="003B44D0" w:rsidRDefault="005C67B9" w:rsidP="00DC64B4">
            <w:pPr>
              <w:jc w:val="right"/>
              <w:rPr>
                <w:rFonts w:eastAsia="Times New Roman" w:cs="Times New Roman"/>
                <w:b/>
                <w:bCs/>
                <w:color w:val="000000" w:themeColor="text1"/>
                <w:lang w:eastAsia="cs-CZ"/>
              </w:rPr>
            </w:pPr>
            <w:r w:rsidRPr="003B44D0">
              <w:rPr>
                <w:rFonts w:eastAsia="Times New Roman" w:cs="Times New Roman"/>
                <w:b/>
                <w:bCs/>
                <w:color w:val="000000" w:themeColor="text1"/>
                <w:lang w:eastAsia="cs-CZ"/>
              </w:rPr>
              <w:t>3 289 777</w:t>
            </w:r>
          </w:p>
        </w:tc>
        <w:tc>
          <w:tcPr>
            <w:tcW w:w="547" w:type="pct"/>
            <w:tcBorders>
              <w:top w:val="single" w:sz="8" w:space="0" w:color="7F7F7F" w:themeColor="text1" w:themeTint="80"/>
              <w:bottom w:val="single" w:sz="8" w:space="0" w:color="7F7F7F" w:themeColor="text1" w:themeTint="80"/>
            </w:tcBorders>
            <w:shd w:val="clear" w:color="auto" w:fill="auto"/>
          </w:tcPr>
          <w:p w14:paraId="175C1C3F" w14:textId="77777777" w:rsidR="005C67B9" w:rsidRPr="003B44D0" w:rsidRDefault="005C67B9" w:rsidP="00DC64B4">
            <w:pPr>
              <w:jc w:val="right"/>
              <w:rPr>
                <w:rFonts w:eastAsia="Times New Roman" w:cs="Times New Roman"/>
                <w:b/>
                <w:bCs/>
                <w:color w:val="000000" w:themeColor="text1"/>
                <w:lang w:eastAsia="cs-CZ"/>
              </w:rPr>
            </w:pPr>
            <w:r w:rsidRPr="003B44D0">
              <w:rPr>
                <w:rFonts w:eastAsia="Times New Roman" w:cs="Times New Roman"/>
                <w:b/>
                <w:bCs/>
                <w:color w:val="000000" w:themeColor="text1"/>
                <w:lang w:eastAsia="cs-CZ"/>
              </w:rPr>
              <w:t>5 000</w:t>
            </w:r>
          </w:p>
        </w:tc>
        <w:tc>
          <w:tcPr>
            <w:tcW w:w="703" w:type="pct"/>
            <w:tcBorders>
              <w:top w:val="single" w:sz="8" w:space="0" w:color="7F7F7F" w:themeColor="text1" w:themeTint="80"/>
              <w:bottom w:val="single" w:sz="8" w:space="0" w:color="7F7F7F" w:themeColor="text1" w:themeTint="80"/>
            </w:tcBorders>
            <w:shd w:val="clear" w:color="auto" w:fill="auto"/>
          </w:tcPr>
          <w:p w14:paraId="43B45396" w14:textId="77777777" w:rsidR="005C67B9" w:rsidRPr="003B44D0" w:rsidRDefault="005C67B9" w:rsidP="00DC64B4">
            <w:pPr>
              <w:jc w:val="right"/>
              <w:rPr>
                <w:rFonts w:eastAsia="Times New Roman" w:cs="Times New Roman"/>
                <w:b/>
                <w:bCs/>
                <w:color w:val="000000" w:themeColor="text1"/>
                <w:lang w:eastAsia="cs-CZ"/>
              </w:rPr>
            </w:pPr>
            <w:r w:rsidRPr="003B44D0">
              <w:rPr>
                <w:rFonts w:eastAsia="Times New Roman" w:cs="Times New Roman"/>
                <w:b/>
                <w:bCs/>
                <w:color w:val="000000" w:themeColor="text1"/>
                <w:lang w:eastAsia="cs-CZ"/>
              </w:rPr>
              <w:t>0</w:t>
            </w:r>
          </w:p>
        </w:tc>
      </w:tr>
    </w:tbl>
    <w:p w14:paraId="4CAFC61F" w14:textId="77777777" w:rsidR="004B2F70" w:rsidRPr="0088307E" w:rsidRDefault="004B2F70" w:rsidP="004B2F70">
      <w:pPr>
        <w:spacing w:before="120" w:after="120" w:line="240" w:lineRule="auto"/>
        <w:rPr>
          <w:rFonts w:eastAsia="Times New Roman" w:cs="Times New Roman"/>
          <w:szCs w:val="24"/>
          <w:u w:val="single"/>
          <w:lang w:eastAsia="cs-CZ"/>
        </w:rPr>
      </w:pPr>
      <w:r w:rsidRPr="0088307E">
        <w:rPr>
          <w:rFonts w:eastAsia="Times New Roman" w:cs="Times New Roman"/>
          <w:szCs w:val="24"/>
          <w:u w:val="single"/>
          <w:lang w:eastAsia="cs-CZ"/>
        </w:rPr>
        <w:t>Čísla a názvy programů:</w:t>
      </w:r>
    </w:p>
    <w:p w14:paraId="0E5069CF" w14:textId="77777777" w:rsidR="004B2F70" w:rsidRPr="0088307E" w:rsidRDefault="004B2F70" w:rsidP="004B2F70">
      <w:pPr>
        <w:pStyle w:val="Odstavecseseznamem"/>
        <w:numPr>
          <w:ilvl w:val="0"/>
          <w:numId w:val="33"/>
        </w:numPr>
        <w:tabs>
          <w:tab w:val="num" w:pos="709"/>
          <w:tab w:val="num" w:pos="851"/>
        </w:tabs>
        <w:spacing w:before="40"/>
        <w:ind w:left="567" w:hanging="283"/>
      </w:pPr>
      <w:r w:rsidRPr="0088307E">
        <w:t>127 65 „Pořízení a modernizace železničních kolejových vozidel“</w:t>
      </w:r>
    </w:p>
    <w:p w14:paraId="3DF7D5CF" w14:textId="77777777" w:rsidR="004B2F70" w:rsidRPr="0088307E" w:rsidRDefault="004B2F70" w:rsidP="00D1426E">
      <w:pPr>
        <w:pStyle w:val="Odstavecseseznamem"/>
        <w:numPr>
          <w:ilvl w:val="0"/>
          <w:numId w:val="33"/>
        </w:numPr>
        <w:spacing w:before="40"/>
        <w:ind w:left="567" w:hanging="283"/>
      </w:pPr>
      <w:r w:rsidRPr="0088307E">
        <w:t>127 66 „Podpora obnovy historických železničních kolejových vozidel v období 2017-</w:t>
      </w:r>
      <w:r w:rsidRPr="0088307E">
        <w:br/>
      </w:r>
      <w:r w:rsidR="00D1426E" w:rsidRPr="0088307E">
        <w:tab/>
      </w:r>
      <w:r w:rsidR="00D1426E" w:rsidRPr="0088307E">
        <w:tab/>
      </w:r>
      <w:r w:rsidRPr="0088307E">
        <w:t>2020“</w:t>
      </w:r>
    </w:p>
    <w:p w14:paraId="67D23519" w14:textId="77777777" w:rsidR="004B2F70" w:rsidRPr="0088307E" w:rsidRDefault="004B2F70" w:rsidP="004B2F70">
      <w:pPr>
        <w:pStyle w:val="Odstavecseseznamem"/>
        <w:numPr>
          <w:ilvl w:val="0"/>
          <w:numId w:val="33"/>
        </w:numPr>
        <w:spacing w:before="40"/>
        <w:ind w:left="567" w:hanging="283"/>
      </w:pPr>
      <w:r w:rsidRPr="0088307E">
        <w:t>127 67 „Podpora obnovy historických železničních kolejových vozidel v období 2021-</w:t>
      </w:r>
    </w:p>
    <w:p w14:paraId="064BE431" w14:textId="77777777" w:rsidR="004B2F70" w:rsidRPr="0088307E" w:rsidRDefault="00D1426E" w:rsidP="004B2F70">
      <w:pPr>
        <w:spacing w:before="40"/>
        <w:ind w:left="284" w:firstLine="283"/>
      </w:pPr>
      <w:r w:rsidRPr="0088307E">
        <w:tab/>
      </w:r>
      <w:r w:rsidRPr="0088307E">
        <w:tab/>
      </w:r>
      <w:r w:rsidR="004B2F70" w:rsidRPr="0088307E">
        <w:t>2023“</w:t>
      </w:r>
    </w:p>
    <w:p w14:paraId="287DD2B1" w14:textId="77777777" w:rsidR="004B2F70" w:rsidRPr="0088307E" w:rsidRDefault="004B2F70" w:rsidP="004B2F70">
      <w:pPr>
        <w:pStyle w:val="Odstavecseseznamem"/>
        <w:numPr>
          <w:ilvl w:val="0"/>
          <w:numId w:val="33"/>
        </w:numPr>
        <w:tabs>
          <w:tab w:val="num" w:pos="851"/>
          <w:tab w:val="num" w:pos="1134"/>
        </w:tabs>
        <w:spacing w:before="40" w:after="240"/>
        <w:ind w:left="568" w:hanging="284"/>
      </w:pPr>
      <w:r w:rsidRPr="0088307E">
        <w:t>127 77 „Podpora financování dopravy“</w:t>
      </w:r>
    </w:p>
    <w:p w14:paraId="2943C8FD" w14:textId="1A8322A4" w:rsidR="00EB7194" w:rsidRPr="0088307E" w:rsidRDefault="005C67B9" w:rsidP="00CC40A4">
      <w:pPr>
        <w:pStyle w:val="Styl1"/>
        <w:spacing w:before="200" w:after="200"/>
      </w:pPr>
      <w:r w:rsidRPr="003B44D0">
        <w:rPr>
          <w:color w:val="000000" w:themeColor="text1"/>
        </w:rPr>
        <w:t xml:space="preserve">Pro rok 2023 je navržena účast státu na úhradu běžných výdajů programu </w:t>
      </w:r>
      <w:r w:rsidRPr="003B44D0">
        <w:rPr>
          <w:b/>
          <w:color w:val="000000" w:themeColor="text1"/>
        </w:rPr>
        <w:t>127 67 „Podpora obnovy historických železničních kolejových vozidel v období 2021-2023“</w:t>
      </w:r>
      <w:r w:rsidRPr="003B44D0">
        <w:rPr>
          <w:color w:val="000000" w:themeColor="text1"/>
        </w:rPr>
        <w:t xml:space="preserve"> ve výši </w:t>
      </w:r>
      <w:r w:rsidRPr="003B44D0">
        <w:rPr>
          <w:color w:val="000000" w:themeColor="text1"/>
        </w:rPr>
        <w:br/>
      </w:r>
      <w:r w:rsidRPr="0088307E">
        <w:rPr>
          <w:b/>
        </w:rPr>
        <w:t>5 000 tis. Kč</w:t>
      </w:r>
      <w:r w:rsidRPr="0088307E">
        <w:t xml:space="preserve">. Prostředky </w:t>
      </w:r>
      <w:r w:rsidRPr="003B44D0">
        <w:rPr>
          <w:color w:val="000000" w:themeColor="text1"/>
        </w:rPr>
        <w:t xml:space="preserve">budou použity formou neinvestiční dotace na financování obnovy historických železničních </w:t>
      </w:r>
      <w:r w:rsidRPr="0088307E">
        <w:t>kolejových vozidel</w:t>
      </w:r>
      <w:r w:rsidR="004B2F70" w:rsidRPr="0088307E">
        <w:t xml:space="preserve">. </w:t>
      </w:r>
    </w:p>
    <w:p w14:paraId="28826E00" w14:textId="4305F025" w:rsidR="00A36B40" w:rsidRPr="0088307E" w:rsidRDefault="00A36B40" w:rsidP="00CC40A4">
      <w:pPr>
        <w:pStyle w:val="Nadpis3"/>
        <w:spacing w:before="180"/>
      </w:pPr>
      <w:bookmarkStart w:id="236" w:name="_Toc115787907"/>
      <w:r w:rsidRPr="0088307E">
        <w:t>Státní fondy</w:t>
      </w:r>
      <w:bookmarkEnd w:id="196"/>
      <w:bookmarkEnd w:id="197"/>
      <w:bookmarkEnd w:id="236"/>
    </w:p>
    <w:p w14:paraId="2EC2B28B" w14:textId="7E7A34CB" w:rsidR="00316A6C" w:rsidRPr="0088307E" w:rsidRDefault="004327DD" w:rsidP="00CC40A4">
      <w:pPr>
        <w:pStyle w:val="Styl1"/>
        <w:spacing w:before="200" w:after="200"/>
      </w:pPr>
      <w:r w:rsidRPr="0088307E">
        <w:t xml:space="preserve">Výdaje vedené v EDS/SMVS určené pro Státní fond dopravní infrastruktury jsou pro rozpočtový rok 2023 navrženy ve výši 69 075 796 tis. Kč, v tom prostředky státního rozpočtu 64 825 000 tis. Kč, prostředky EU 4 250 796 tis. Kč. Druhové členění vykazuje následující tabulka.    </w:t>
      </w:r>
      <w:r w:rsidR="00316A6C" w:rsidRPr="0088307E">
        <w:t xml:space="preserve">    </w:t>
      </w:r>
    </w:p>
    <w:p w14:paraId="7E484F57" w14:textId="738274FA" w:rsidR="00316A6C" w:rsidRPr="0088307E" w:rsidRDefault="00316A6C" w:rsidP="00A4652C">
      <w:pPr>
        <w:pStyle w:val="Titulek"/>
      </w:pPr>
      <w:r w:rsidRPr="0088307E">
        <w:t xml:space="preserve">Tabulka </w:t>
      </w:r>
      <w:fldSimple w:instr=" SEQ Tabulka \* ARABIC ">
        <w:r w:rsidR="00F80947">
          <w:rPr>
            <w:noProof/>
          </w:rPr>
          <w:t>36</w:t>
        </w:r>
      </w:fldSimple>
      <w:r w:rsidRPr="0088307E">
        <w:t xml:space="preserve"> Výdaje státních fondů vedených v EDS/SMVS (v tis. Kč)</w:t>
      </w:r>
    </w:p>
    <w:tbl>
      <w:tblPr>
        <w:tblW w:w="5000"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3833"/>
        <w:gridCol w:w="1397"/>
        <w:gridCol w:w="1398"/>
        <w:gridCol w:w="1396"/>
        <w:gridCol w:w="1032"/>
      </w:tblGrid>
      <w:tr w:rsidR="004327DD" w:rsidRPr="003B44D0" w14:paraId="517FF174" w14:textId="77777777" w:rsidTr="0088307E">
        <w:tc>
          <w:tcPr>
            <w:tcW w:w="2116" w:type="pct"/>
            <w:tcBorders>
              <w:top w:val="single" w:sz="8" w:space="0" w:color="7F7F7F" w:themeColor="text1" w:themeTint="80"/>
              <w:bottom w:val="single" w:sz="4" w:space="0" w:color="7F7F7F" w:themeColor="text1" w:themeTint="80"/>
              <w:right w:val="single" w:sz="4" w:space="0" w:color="auto"/>
            </w:tcBorders>
            <w:shd w:val="thinReverseDiagStripe" w:color="D9D9D9" w:themeColor="background1" w:themeShade="D9" w:fill="FFFFFF" w:themeFill="background1"/>
            <w:vAlign w:val="center"/>
          </w:tcPr>
          <w:p w14:paraId="6D87B2B2"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Ukazatel</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09DF4E07"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Skutečnost</w:t>
            </w:r>
          </w:p>
          <w:p w14:paraId="56C123A8" w14:textId="77777777" w:rsidR="004327DD" w:rsidRPr="003B44D0" w:rsidRDefault="004327DD" w:rsidP="00DC64B4">
            <w:pPr>
              <w:spacing w:line="240" w:lineRule="auto"/>
              <w:jc w:val="center"/>
              <w:rPr>
                <w:rFonts w:eastAsia="Times New Roman" w:cs="Times New Roman"/>
                <w:b/>
                <w:color w:val="000000" w:themeColor="text1"/>
                <w:vertAlign w:val="superscript"/>
                <w:lang w:eastAsia="cs-CZ"/>
              </w:rPr>
            </w:pPr>
            <w:r w:rsidRPr="003B44D0">
              <w:rPr>
                <w:rFonts w:eastAsia="Times New Roman" w:cs="Times New Roman"/>
                <w:b/>
                <w:color w:val="000000" w:themeColor="text1"/>
                <w:lang w:eastAsia="cs-CZ"/>
              </w:rPr>
              <w:t>2021</w:t>
            </w:r>
          </w:p>
        </w:tc>
        <w:tc>
          <w:tcPr>
            <w:tcW w:w="772"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4A81B7F3"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Schválený rozpočet</w:t>
            </w:r>
          </w:p>
          <w:p w14:paraId="6D7ACFE6"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2022</w:t>
            </w:r>
          </w:p>
        </w:tc>
        <w:tc>
          <w:tcPr>
            <w:tcW w:w="771"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1B86969B"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Návrh</w:t>
            </w:r>
          </w:p>
          <w:p w14:paraId="154C6917"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rozpočtu</w:t>
            </w:r>
          </w:p>
          <w:p w14:paraId="2F685459"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2023</w:t>
            </w:r>
          </w:p>
        </w:tc>
        <w:tc>
          <w:tcPr>
            <w:tcW w:w="570" w:type="pct"/>
            <w:tcBorders>
              <w:top w:val="single" w:sz="4" w:space="0" w:color="auto"/>
              <w:left w:val="single" w:sz="4" w:space="0" w:color="auto"/>
              <w:bottom w:val="single" w:sz="4" w:space="0" w:color="auto"/>
              <w:right w:val="single" w:sz="4" w:space="0" w:color="auto"/>
            </w:tcBorders>
            <w:shd w:val="thinReverseDiagStripe" w:color="D0CECE" w:themeColor="background2" w:themeShade="E6" w:fill="auto"/>
            <w:vAlign w:val="center"/>
          </w:tcPr>
          <w:p w14:paraId="5078AEA0"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Index</w:t>
            </w:r>
          </w:p>
          <w:p w14:paraId="40D0173A"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2023/</w:t>
            </w:r>
            <w:r w:rsidRPr="003B44D0">
              <w:rPr>
                <w:rFonts w:eastAsia="Times New Roman" w:cs="Times New Roman"/>
                <w:b/>
                <w:color w:val="000000" w:themeColor="text1"/>
                <w:lang w:eastAsia="cs-CZ"/>
              </w:rPr>
              <w:br/>
              <w:t>2022</w:t>
            </w:r>
          </w:p>
          <w:p w14:paraId="0A17E384" w14:textId="77777777" w:rsidR="004327DD" w:rsidRPr="003B44D0" w:rsidRDefault="004327DD" w:rsidP="00DC64B4">
            <w:pPr>
              <w:spacing w:line="240" w:lineRule="auto"/>
              <w:jc w:val="center"/>
              <w:rPr>
                <w:rFonts w:eastAsia="Times New Roman" w:cs="Times New Roman"/>
                <w:b/>
                <w:color w:val="000000" w:themeColor="text1"/>
                <w:lang w:eastAsia="cs-CZ"/>
              </w:rPr>
            </w:pPr>
            <w:r w:rsidRPr="003B44D0">
              <w:rPr>
                <w:rFonts w:eastAsia="Times New Roman" w:cs="Times New Roman"/>
                <w:b/>
                <w:color w:val="000000" w:themeColor="text1"/>
                <w:lang w:eastAsia="cs-CZ"/>
              </w:rPr>
              <w:t>(v %)</w:t>
            </w:r>
          </w:p>
        </w:tc>
      </w:tr>
      <w:tr w:rsidR="004327DD" w:rsidRPr="003B44D0" w14:paraId="716352FA" w14:textId="77777777" w:rsidTr="0088307E">
        <w:trPr>
          <w:trHeight w:val="202"/>
        </w:trPr>
        <w:tc>
          <w:tcPr>
            <w:tcW w:w="2116" w:type="pct"/>
            <w:tcBorders>
              <w:top w:val="single" w:sz="4" w:space="0" w:color="7F7F7F" w:themeColor="text1" w:themeTint="80"/>
              <w:bottom w:val="single" w:sz="8" w:space="0" w:color="7F7F7F" w:themeColor="text1" w:themeTint="80"/>
            </w:tcBorders>
          </w:tcPr>
          <w:p w14:paraId="345ED951" w14:textId="77777777" w:rsidR="004327DD" w:rsidRPr="003B44D0" w:rsidRDefault="004327DD" w:rsidP="00DC64B4">
            <w:pPr>
              <w:spacing w:line="240" w:lineRule="auto"/>
              <w:jc w:val="center"/>
              <w:rPr>
                <w:rFonts w:eastAsia="Times New Roman" w:cs="Times New Roman"/>
                <w:color w:val="000000" w:themeColor="text1"/>
                <w:lang w:eastAsia="cs-CZ"/>
              </w:rPr>
            </w:pPr>
            <w:r w:rsidRPr="003B44D0">
              <w:rPr>
                <w:rFonts w:eastAsia="Times New Roman" w:cs="Times New Roman"/>
                <w:color w:val="000000" w:themeColor="text1"/>
                <w:lang w:eastAsia="cs-CZ"/>
              </w:rPr>
              <w:t>a</w:t>
            </w:r>
          </w:p>
        </w:tc>
        <w:tc>
          <w:tcPr>
            <w:tcW w:w="771" w:type="pct"/>
            <w:tcBorders>
              <w:top w:val="single" w:sz="4" w:space="0" w:color="7F7F7F" w:themeColor="text1" w:themeTint="80"/>
              <w:bottom w:val="single" w:sz="8" w:space="0" w:color="7F7F7F" w:themeColor="text1" w:themeTint="80"/>
            </w:tcBorders>
          </w:tcPr>
          <w:p w14:paraId="35C3BAAA" w14:textId="77777777" w:rsidR="004327DD" w:rsidRPr="003B44D0" w:rsidRDefault="004327DD" w:rsidP="00DC64B4">
            <w:pPr>
              <w:spacing w:line="240" w:lineRule="auto"/>
              <w:jc w:val="center"/>
              <w:rPr>
                <w:rFonts w:eastAsia="Times New Roman" w:cs="Times New Roman"/>
                <w:color w:val="000000" w:themeColor="text1"/>
                <w:lang w:eastAsia="cs-CZ"/>
              </w:rPr>
            </w:pPr>
            <w:r w:rsidRPr="003B44D0">
              <w:rPr>
                <w:rFonts w:eastAsia="Times New Roman" w:cs="Times New Roman"/>
                <w:color w:val="000000" w:themeColor="text1"/>
                <w:lang w:eastAsia="cs-CZ"/>
              </w:rPr>
              <w:t>1</w:t>
            </w:r>
          </w:p>
        </w:tc>
        <w:tc>
          <w:tcPr>
            <w:tcW w:w="772" w:type="pct"/>
            <w:tcBorders>
              <w:top w:val="single" w:sz="4" w:space="0" w:color="7F7F7F" w:themeColor="text1" w:themeTint="80"/>
              <w:bottom w:val="single" w:sz="8" w:space="0" w:color="7F7F7F" w:themeColor="text1" w:themeTint="80"/>
            </w:tcBorders>
          </w:tcPr>
          <w:p w14:paraId="30DCD51D" w14:textId="77777777" w:rsidR="004327DD" w:rsidRPr="003B44D0" w:rsidRDefault="004327DD" w:rsidP="00DC64B4">
            <w:pPr>
              <w:spacing w:line="240" w:lineRule="auto"/>
              <w:jc w:val="center"/>
              <w:rPr>
                <w:rFonts w:eastAsia="Times New Roman" w:cs="Times New Roman"/>
                <w:color w:val="000000" w:themeColor="text1"/>
                <w:lang w:eastAsia="cs-CZ"/>
              </w:rPr>
            </w:pPr>
            <w:r w:rsidRPr="003B44D0">
              <w:rPr>
                <w:rFonts w:eastAsia="Times New Roman" w:cs="Times New Roman"/>
                <w:color w:val="000000" w:themeColor="text1"/>
                <w:lang w:eastAsia="cs-CZ"/>
              </w:rPr>
              <w:t>2</w:t>
            </w:r>
          </w:p>
        </w:tc>
        <w:tc>
          <w:tcPr>
            <w:tcW w:w="771" w:type="pct"/>
            <w:tcBorders>
              <w:top w:val="single" w:sz="4" w:space="0" w:color="7F7F7F" w:themeColor="text1" w:themeTint="80"/>
              <w:bottom w:val="single" w:sz="8" w:space="0" w:color="7F7F7F" w:themeColor="text1" w:themeTint="80"/>
            </w:tcBorders>
          </w:tcPr>
          <w:p w14:paraId="22E88CB5" w14:textId="77777777" w:rsidR="004327DD" w:rsidRPr="003B44D0" w:rsidRDefault="004327DD" w:rsidP="00DC64B4">
            <w:pPr>
              <w:spacing w:line="240" w:lineRule="auto"/>
              <w:jc w:val="center"/>
              <w:rPr>
                <w:rFonts w:eastAsia="Times New Roman" w:cs="Times New Roman"/>
                <w:color w:val="000000" w:themeColor="text1"/>
                <w:lang w:eastAsia="cs-CZ"/>
              </w:rPr>
            </w:pPr>
            <w:r w:rsidRPr="003B44D0">
              <w:rPr>
                <w:rFonts w:eastAsia="Times New Roman" w:cs="Times New Roman"/>
                <w:color w:val="000000" w:themeColor="text1"/>
                <w:lang w:eastAsia="cs-CZ"/>
              </w:rPr>
              <w:t>3</w:t>
            </w:r>
          </w:p>
        </w:tc>
        <w:tc>
          <w:tcPr>
            <w:tcW w:w="570" w:type="pct"/>
            <w:tcBorders>
              <w:top w:val="single" w:sz="4" w:space="0" w:color="7F7F7F" w:themeColor="text1" w:themeTint="80"/>
              <w:bottom w:val="single" w:sz="8" w:space="0" w:color="7F7F7F" w:themeColor="text1" w:themeTint="80"/>
            </w:tcBorders>
          </w:tcPr>
          <w:p w14:paraId="4E6AC70E" w14:textId="77777777" w:rsidR="004327DD" w:rsidRPr="003B44D0" w:rsidRDefault="004327DD" w:rsidP="00DC64B4">
            <w:pPr>
              <w:spacing w:line="240" w:lineRule="auto"/>
              <w:jc w:val="center"/>
              <w:rPr>
                <w:rFonts w:eastAsia="Times New Roman" w:cs="Times New Roman"/>
                <w:color w:val="000000" w:themeColor="text1"/>
                <w:lang w:eastAsia="cs-CZ"/>
              </w:rPr>
            </w:pPr>
            <w:r w:rsidRPr="003B44D0">
              <w:rPr>
                <w:rFonts w:eastAsia="Times New Roman" w:cs="Times New Roman"/>
                <w:color w:val="000000" w:themeColor="text1"/>
                <w:lang w:eastAsia="cs-CZ"/>
              </w:rPr>
              <w:t>4</w:t>
            </w:r>
          </w:p>
        </w:tc>
      </w:tr>
      <w:tr w:rsidR="004327DD" w:rsidRPr="003B44D0" w14:paraId="0B153361" w14:textId="77777777" w:rsidTr="0088307E">
        <w:tc>
          <w:tcPr>
            <w:tcW w:w="2116" w:type="pct"/>
            <w:tcBorders>
              <w:top w:val="single" w:sz="8" w:space="0" w:color="7F7F7F" w:themeColor="text1" w:themeTint="80"/>
              <w:bottom w:val="single" w:sz="8" w:space="0" w:color="7F7F7F" w:themeColor="text1" w:themeTint="80"/>
            </w:tcBorders>
          </w:tcPr>
          <w:p w14:paraId="0A733A6F" w14:textId="77777777" w:rsidR="004327DD" w:rsidRPr="003B44D0" w:rsidRDefault="004327DD" w:rsidP="00DC64B4">
            <w:pPr>
              <w:spacing w:line="240" w:lineRule="auto"/>
              <w:rPr>
                <w:rFonts w:eastAsia="Times New Roman" w:cs="Times New Roman"/>
                <w:color w:val="000000" w:themeColor="text1"/>
                <w:lang w:eastAsia="cs-CZ"/>
              </w:rPr>
            </w:pPr>
            <w:r w:rsidRPr="003B44D0">
              <w:rPr>
                <w:rFonts w:eastAsia="Times New Roman" w:cs="Times New Roman"/>
                <w:b/>
                <w:color w:val="000000" w:themeColor="text1"/>
                <w:lang w:eastAsia="cs-CZ"/>
              </w:rPr>
              <w:t xml:space="preserve">Státní fondy </w:t>
            </w:r>
            <w:r w:rsidRPr="003B44D0">
              <w:rPr>
                <w:rFonts w:eastAsia="Times New Roman" w:cs="Times New Roman"/>
                <w:color w:val="000000" w:themeColor="text1"/>
                <w:lang w:eastAsia="cs-CZ"/>
              </w:rPr>
              <w:t>v tom:</w:t>
            </w:r>
          </w:p>
        </w:tc>
        <w:tc>
          <w:tcPr>
            <w:tcW w:w="771" w:type="pct"/>
            <w:tcBorders>
              <w:top w:val="single" w:sz="4" w:space="0" w:color="auto"/>
              <w:left w:val="single" w:sz="4" w:space="0" w:color="auto"/>
              <w:bottom w:val="single" w:sz="4" w:space="0" w:color="auto"/>
              <w:right w:val="single" w:sz="4" w:space="0" w:color="auto"/>
            </w:tcBorders>
          </w:tcPr>
          <w:p w14:paraId="01956050" w14:textId="77777777" w:rsidR="004327DD" w:rsidRPr="003B44D0" w:rsidRDefault="004327DD" w:rsidP="00DC64B4">
            <w:pPr>
              <w:spacing w:line="240" w:lineRule="auto"/>
              <w:jc w:val="right"/>
              <w:rPr>
                <w:rFonts w:cs="Times New Roman"/>
                <w:b/>
                <w:color w:val="000000" w:themeColor="text1"/>
              </w:rPr>
            </w:pPr>
            <w:r>
              <w:rPr>
                <w:rFonts w:cs="Times New Roman"/>
                <w:b/>
                <w:color w:val="000000" w:themeColor="text1"/>
              </w:rPr>
              <w:t>90 522 548</w:t>
            </w:r>
          </w:p>
        </w:tc>
        <w:tc>
          <w:tcPr>
            <w:tcW w:w="772" w:type="pct"/>
            <w:tcBorders>
              <w:top w:val="single" w:sz="8" w:space="0" w:color="7F7F7F" w:themeColor="text1" w:themeTint="80"/>
              <w:bottom w:val="single" w:sz="8" w:space="0" w:color="7F7F7F" w:themeColor="text1" w:themeTint="80"/>
            </w:tcBorders>
          </w:tcPr>
          <w:p w14:paraId="5A9C8213" w14:textId="77777777" w:rsidR="004327DD" w:rsidRPr="003B44D0" w:rsidRDefault="004327DD" w:rsidP="00DC64B4">
            <w:pPr>
              <w:spacing w:line="240" w:lineRule="auto"/>
              <w:jc w:val="right"/>
              <w:rPr>
                <w:rFonts w:eastAsia="Times New Roman" w:cs="Times New Roman"/>
                <w:b/>
                <w:color w:val="000000" w:themeColor="text1"/>
                <w:lang w:eastAsia="cs-CZ"/>
              </w:rPr>
            </w:pPr>
            <w:r w:rsidRPr="003B44D0">
              <w:rPr>
                <w:rFonts w:eastAsia="Times New Roman" w:cs="Times New Roman"/>
                <w:b/>
                <w:color w:val="000000" w:themeColor="text1"/>
                <w:lang w:eastAsia="cs-CZ"/>
              </w:rPr>
              <w:t>63 137 456</w:t>
            </w:r>
          </w:p>
        </w:tc>
        <w:tc>
          <w:tcPr>
            <w:tcW w:w="771" w:type="pct"/>
            <w:tcBorders>
              <w:top w:val="single" w:sz="8" w:space="0" w:color="7F7F7F" w:themeColor="text1" w:themeTint="80"/>
              <w:bottom w:val="single" w:sz="8" w:space="0" w:color="7F7F7F" w:themeColor="text1" w:themeTint="80"/>
            </w:tcBorders>
          </w:tcPr>
          <w:p w14:paraId="413708C4" w14:textId="77777777" w:rsidR="004327DD" w:rsidRPr="003B44D0" w:rsidRDefault="004327DD" w:rsidP="00DC64B4">
            <w:pPr>
              <w:spacing w:line="240" w:lineRule="auto"/>
              <w:jc w:val="right"/>
              <w:rPr>
                <w:rFonts w:eastAsia="Times New Roman" w:cs="Times New Roman"/>
                <w:b/>
                <w:color w:val="000000" w:themeColor="text1"/>
                <w:lang w:eastAsia="cs-CZ"/>
              </w:rPr>
            </w:pPr>
            <w:r w:rsidRPr="003B44D0">
              <w:rPr>
                <w:rFonts w:eastAsia="Times New Roman" w:cs="Times New Roman"/>
                <w:b/>
                <w:color w:val="000000" w:themeColor="text1"/>
                <w:lang w:eastAsia="cs-CZ"/>
              </w:rPr>
              <w:t>69 075 796</w:t>
            </w:r>
          </w:p>
        </w:tc>
        <w:tc>
          <w:tcPr>
            <w:tcW w:w="570" w:type="pct"/>
            <w:tcBorders>
              <w:top w:val="single" w:sz="8" w:space="0" w:color="7F7F7F" w:themeColor="text1" w:themeTint="80"/>
              <w:bottom w:val="single" w:sz="8" w:space="0" w:color="7F7F7F" w:themeColor="text1" w:themeTint="80"/>
            </w:tcBorders>
          </w:tcPr>
          <w:p w14:paraId="775821CA" w14:textId="77777777" w:rsidR="004327DD" w:rsidRPr="003B44D0" w:rsidRDefault="004327DD" w:rsidP="00DC64B4">
            <w:pPr>
              <w:spacing w:line="240" w:lineRule="auto"/>
              <w:jc w:val="right"/>
              <w:rPr>
                <w:rFonts w:eastAsia="Times New Roman" w:cs="Times New Roman"/>
                <w:b/>
                <w:color w:val="000000" w:themeColor="text1"/>
                <w:lang w:eastAsia="cs-CZ"/>
              </w:rPr>
            </w:pPr>
            <w:r w:rsidRPr="003B44D0">
              <w:rPr>
                <w:rFonts w:eastAsia="Times New Roman" w:cs="Times New Roman"/>
                <w:b/>
                <w:color w:val="000000" w:themeColor="text1"/>
                <w:lang w:eastAsia="cs-CZ"/>
              </w:rPr>
              <w:t>67,25</w:t>
            </w:r>
          </w:p>
        </w:tc>
      </w:tr>
      <w:tr w:rsidR="004327DD" w:rsidRPr="003B44D0" w14:paraId="0D7A098B" w14:textId="77777777" w:rsidTr="0088307E">
        <w:tc>
          <w:tcPr>
            <w:tcW w:w="2116" w:type="pct"/>
            <w:tcBorders>
              <w:top w:val="single" w:sz="8" w:space="0" w:color="7F7F7F" w:themeColor="text1" w:themeTint="80"/>
              <w:bottom w:val="nil"/>
            </w:tcBorders>
          </w:tcPr>
          <w:p w14:paraId="4760C06B" w14:textId="77777777" w:rsidR="004327DD" w:rsidRPr="003B44D0" w:rsidRDefault="004327DD" w:rsidP="00DC64B4">
            <w:pPr>
              <w:spacing w:line="240" w:lineRule="auto"/>
              <w:rPr>
                <w:rFonts w:eastAsia="Times New Roman" w:cs="Times New Roman"/>
                <w:color w:val="000000" w:themeColor="text1"/>
                <w:lang w:eastAsia="cs-CZ"/>
              </w:rPr>
            </w:pPr>
            <w:r w:rsidRPr="003B44D0">
              <w:rPr>
                <w:rFonts w:eastAsia="Times New Roman" w:cs="Times New Roman"/>
                <w:color w:val="000000" w:themeColor="text1"/>
                <w:lang w:eastAsia="cs-CZ"/>
              </w:rPr>
              <w:t>běžné výdaje celkem v tom:</w:t>
            </w:r>
          </w:p>
        </w:tc>
        <w:tc>
          <w:tcPr>
            <w:tcW w:w="771" w:type="pct"/>
            <w:tcBorders>
              <w:top w:val="single" w:sz="8" w:space="0" w:color="7F7F7F" w:themeColor="text1" w:themeTint="80"/>
              <w:bottom w:val="nil"/>
            </w:tcBorders>
          </w:tcPr>
          <w:p w14:paraId="65C29AD7" w14:textId="77777777" w:rsidR="004327DD" w:rsidRPr="003B44D0" w:rsidRDefault="004327DD" w:rsidP="00DC64B4">
            <w:pPr>
              <w:spacing w:line="240" w:lineRule="auto"/>
              <w:jc w:val="right"/>
              <w:rPr>
                <w:rFonts w:eastAsia="Times New Roman" w:cs="Times New Roman"/>
                <w:color w:val="000000" w:themeColor="text1"/>
                <w:vertAlign w:val="superscript"/>
                <w:lang w:eastAsia="cs-CZ"/>
              </w:rPr>
            </w:pPr>
            <w:r w:rsidRPr="003B44D0">
              <w:rPr>
                <w:rFonts w:eastAsia="Times New Roman" w:cs="Times New Roman"/>
                <w:color w:val="000000" w:themeColor="text1"/>
                <w:lang w:eastAsia="cs-CZ"/>
              </w:rPr>
              <w:t>24 179 707</w:t>
            </w:r>
          </w:p>
        </w:tc>
        <w:tc>
          <w:tcPr>
            <w:tcW w:w="772" w:type="pct"/>
            <w:tcBorders>
              <w:top w:val="single" w:sz="8" w:space="0" w:color="7F7F7F" w:themeColor="text1" w:themeTint="80"/>
              <w:bottom w:val="nil"/>
            </w:tcBorders>
          </w:tcPr>
          <w:p w14:paraId="75BB1F5E" w14:textId="77777777" w:rsidR="004327DD" w:rsidRPr="003B44D0" w:rsidRDefault="004327DD" w:rsidP="00DC64B4">
            <w:pPr>
              <w:spacing w:line="240" w:lineRule="auto"/>
              <w:jc w:val="right"/>
              <w:rPr>
                <w:rFonts w:eastAsia="Times New Roman" w:cs="Times New Roman"/>
                <w:color w:val="000000" w:themeColor="text1"/>
                <w:lang w:eastAsia="cs-CZ"/>
              </w:rPr>
            </w:pPr>
            <w:r w:rsidRPr="003B44D0">
              <w:rPr>
                <w:rFonts w:eastAsia="Times New Roman" w:cs="Times New Roman"/>
                <w:color w:val="000000" w:themeColor="text1"/>
                <w:lang w:eastAsia="cs-CZ"/>
              </w:rPr>
              <w:t>12 309 984</w:t>
            </w:r>
          </w:p>
        </w:tc>
        <w:tc>
          <w:tcPr>
            <w:tcW w:w="771" w:type="pct"/>
            <w:tcBorders>
              <w:top w:val="single" w:sz="8" w:space="0" w:color="7F7F7F" w:themeColor="text1" w:themeTint="80"/>
              <w:bottom w:val="nil"/>
            </w:tcBorders>
          </w:tcPr>
          <w:p w14:paraId="26AF3D41" w14:textId="77777777" w:rsidR="004327DD" w:rsidRPr="003B44D0" w:rsidRDefault="004327DD" w:rsidP="00DC64B4">
            <w:pPr>
              <w:spacing w:line="240" w:lineRule="auto"/>
              <w:jc w:val="right"/>
              <w:rPr>
                <w:rFonts w:eastAsia="Times New Roman" w:cs="Times New Roman"/>
                <w:color w:val="000000" w:themeColor="text1"/>
                <w:lang w:eastAsia="cs-CZ"/>
              </w:rPr>
            </w:pPr>
            <w:r w:rsidRPr="003B44D0">
              <w:rPr>
                <w:rFonts w:eastAsia="Times New Roman" w:cs="Times New Roman"/>
                <w:color w:val="000000" w:themeColor="text1"/>
                <w:lang w:eastAsia="cs-CZ"/>
              </w:rPr>
              <w:t>16 423 000</w:t>
            </w:r>
          </w:p>
        </w:tc>
        <w:tc>
          <w:tcPr>
            <w:tcW w:w="570" w:type="pct"/>
            <w:tcBorders>
              <w:top w:val="single" w:sz="8" w:space="0" w:color="7F7F7F" w:themeColor="text1" w:themeTint="80"/>
              <w:bottom w:val="nil"/>
            </w:tcBorders>
          </w:tcPr>
          <w:p w14:paraId="2BCDB3DE" w14:textId="77777777" w:rsidR="004327DD" w:rsidRPr="003B44D0" w:rsidRDefault="004327DD" w:rsidP="00DC64B4">
            <w:pPr>
              <w:spacing w:line="240" w:lineRule="auto"/>
              <w:jc w:val="right"/>
              <w:rPr>
                <w:rFonts w:eastAsia="Times New Roman" w:cs="Times New Roman"/>
                <w:color w:val="000000" w:themeColor="text1"/>
                <w:lang w:eastAsia="cs-CZ"/>
              </w:rPr>
            </w:pPr>
            <w:r w:rsidRPr="003B44D0">
              <w:rPr>
                <w:rFonts w:eastAsia="Times New Roman" w:cs="Times New Roman"/>
                <w:color w:val="000000" w:themeColor="text1"/>
                <w:lang w:eastAsia="cs-CZ"/>
              </w:rPr>
              <w:t>133,41</w:t>
            </w:r>
          </w:p>
        </w:tc>
      </w:tr>
      <w:tr w:rsidR="004327DD" w:rsidRPr="003B44D0" w14:paraId="7BF10794" w14:textId="77777777" w:rsidTr="0088307E">
        <w:tc>
          <w:tcPr>
            <w:tcW w:w="2116" w:type="pct"/>
            <w:tcBorders>
              <w:top w:val="nil"/>
              <w:bottom w:val="nil"/>
            </w:tcBorders>
          </w:tcPr>
          <w:p w14:paraId="1DCCCE53" w14:textId="77777777" w:rsidR="004327DD" w:rsidRPr="003B44D0" w:rsidRDefault="004327DD" w:rsidP="00DC64B4">
            <w:pPr>
              <w:spacing w:line="240" w:lineRule="auto"/>
              <w:rPr>
                <w:rFonts w:eastAsia="Times New Roman" w:cs="Times New Roman"/>
                <w:i/>
                <w:color w:val="000000" w:themeColor="text1"/>
                <w:lang w:eastAsia="cs-CZ"/>
              </w:rPr>
            </w:pPr>
            <w:r w:rsidRPr="003B44D0">
              <w:rPr>
                <w:rFonts w:eastAsia="Times New Roman" w:cs="Times New Roman"/>
                <w:i/>
                <w:color w:val="000000" w:themeColor="text1"/>
                <w:lang w:eastAsia="cs-CZ"/>
              </w:rPr>
              <w:t xml:space="preserve">      prostředky SR</w:t>
            </w:r>
          </w:p>
        </w:tc>
        <w:tc>
          <w:tcPr>
            <w:tcW w:w="771" w:type="pct"/>
            <w:tcBorders>
              <w:top w:val="nil"/>
              <w:bottom w:val="nil"/>
            </w:tcBorders>
          </w:tcPr>
          <w:p w14:paraId="5513FBCD"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24 179 270</w:t>
            </w:r>
          </w:p>
        </w:tc>
        <w:tc>
          <w:tcPr>
            <w:tcW w:w="772" w:type="pct"/>
            <w:tcBorders>
              <w:top w:val="nil"/>
              <w:bottom w:val="nil"/>
            </w:tcBorders>
          </w:tcPr>
          <w:p w14:paraId="7AAFC368"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12 309 940</w:t>
            </w:r>
          </w:p>
        </w:tc>
        <w:tc>
          <w:tcPr>
            <w:tcW w:w="771" w:type="pct"/>
            <w:tcBorders>
              <w:top w:val="nil"/>
              <w:bottom w:val="nil"/>
            </w:tcBorders>
          </w:tcPr>
          <w:p w14:paraId="43E8681D"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16 423 000</w:t>
            </w:r>
          </w:p>
        </w:tc>
        <w:tc>
          <w:tcPr>
            <w:tcW w:w="570" w:type="pct"/>
            <w:tcBorders>
              <w:top w:val="nil"/>
              <w:bottom w:val="nil"/>
            </w:tcBorders>
          </w:tcPr>
          <w:p w14:paraId="45EEF9C6"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133,41</w:t>
            </w:r>
          </w:p>
        </w:tc>
      </w:tr>
      <w:tr w:rsidR="004327DD" w:rsidRPr="003B44D0" w14:paraId="13F1C745" w14:textId="77777777" w:rsidTr="0088307E">
        <w:trPr>
          <w:trHeight w:val="176"/>
        </w:trPr>
        <w:tc>
          <w:tcPr>
            <w:tcW w:w="2116" w:type="pct"/>
            <w:tcBorders>
              <w:top w:val="nil"/>
            </w:tcBorders>
          </w:tcPr>
          <w:p w14:paraId="68BCB31F" w14:textId="77777777" w:rsidR="004327DD" w:rsidRPr="003B44D0" w:rsidRDefault="004327DD" w:rsidP="00DC64B4">
            <w:pPr>
              <w:spacing w:line="240" w:lineRule="auto"/>
              <w:rPr>
                <w:rFonts w:eastAsia="Times New Roman" w:cs="Times New Roman"/>
                <w:i/>
                <w:color w:val="000000" w:themeColor="text1"/>
                <w:lang w:eastAsia="cs-CZ"/>
              </w:rPr>
            </w:pPr>
            <w:r w:rsidRPr="003B44D0">
              <w:rPr>
                <w:rFonts w:eastAsia="Times New Roman" w:cs="Times New Roman"/>
                <w:i/>
                <w:color w:val="000000" w:themeColor="text1"/>
                <w:lang w:eastAsia="cs-CZ"/>
              </w:rPr>
              <w:t xml:space="preserve">      prostředky z fondů EU</w:t>
            </w:r>
          </w:p>
        </w:tc>
        <w:tc>
          <w:tcPr>
            <w:tcW w:w="771" w:type="pct"/>
            <w:tcBorders>
              <w:top w:val="nil"/>
            </w:tcBorders>
          </w:tcPr>
          <w:p w14:paraId="2A309DEE"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437</w:t>
            </w:r>
          </w:p>
        </w:tc>
        <w:tc>
          <w:tcPr>
            <w:tcW w:w="772" w:type="pct"/>
            <w:tcBorders>
              <w:top w:val="nil"/>
            </w:tcBorders>
          </w:tcPr>
          <w:p w14:paraId="26277BFE"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44</w:t>
            </w:r>
          </w:p>
        </w:tc>
        <w:tc>
          <w:tcPr>
            <w:tcW w:w="771" w:type="pct"/>
            <w:tcBorders>
              <w:top w:val="nil"/>
            </w:tcBorders>
          </w:tcPr>
          <w:p w14:paraId="53CC9285"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0</w:t>
            </w:r>
          </w:p>
        </w:tc>
        <w:tc>
          <w:tcPr>
            <w:tcW w:w="570" w:type="pct"/>
            <w:tcBorders>
              <w:top w:val="nil"/>
            </w:tcBorders>
          </w:tcPr>
          <w:p w14:paraId="6A1DCA96" w14:textId="77777777" w:rsidR="004327DD" w:rsidRPr="003B44D0" w:rsidRDefault="004327DD" w:rsidP="00DC64B4">
            <w:pPr>
              <w:spacing w:line="240" w:lineRule="auto"/>
              <w:jc w:val="right"/>
              <w:rPr>
                <w:rFonts w:eastAsia="Times New Roman" w:cs="Times New Roman"/>
                <w:i/>
                <w:color w:val="000000" w:themeColor="text1"/>
                <w:lang w:eastAsia="cs-CZ"/>
              </w:rPr>
            </w:pPr>
            <w:r w:rsidRPr="003B44D0">
              <w:rPr>
                <w:rFonts w:eastAsia="Times New Roman" w:cs="Times New Roman"/>
                <w:i/>
                <w:color w:val="000000" w:themeColor="text1"/>
                <w:lang w:eastAsia="cs-CZ"/>
              </w:rPr>
              <w:t>0,00</w:t>
            </w:r>
          </w:p>
        </w:tc>
      </w:tr>
      <w:tr w:rsidR="004327DD" w:rsidRPr="00283015" w14:paraId="7D9A5D62" w14:textId="77777777" w:rsidTr="0088307E">
        <w:tc>
          <w:tcPr>
            <w:tcW w:w="2116" w:type="pct"/>
            <w:tcBorders>
              <w:bottom w:val="nil"/>
            </w:tcBorders>
          </w:tcPr>
          <w:p w14:paraId="3D764F53" w14:textId="77777777" w:rsidR="004327DD" w:rsidRPr="003B44D0" w:rsidRDefault="004327DD" w:rsidP="00DC64B4">
            <w:pPr>
              <w:spacing w:line="240" w:lineRule="auto"/>
              <w:rPr>
                <w:rFonts w:eastAsia="Times New Roman" w:cs="Times New Roman"/>
                <w:color w:val="000000" w:themeColor="text1"/>
                <w:lang w:eastAsia="cs-CZ"/>
              </w:rPr>
            </w:pPr>
            <w:r w:rsidRPr="003B44D0">
              <w:rPr>
                <w:rFonts w:eastAsia="Times New Roman" w:cs="Times New Roman"/>
                <w:color w:val="000000" w:themeColor="text1"/>
                <w:lang w:eastAsia="cs-CZ"/>
              </w:rPr>
              <w:t>kapitálové výdaje celkem v tom:</w:t>
            </w:r>
          </w:p>
        </w:tc>
        <w:tc>
          <w:tcPr>
            <w:tcW w:w="771" w:type="pct"/>
            <w:tcBorders>
              <w:bottom w:val="nil"/>
            </w:tcBorders>
          </w:tcPr>
          <w:p w14:paraId="7ECDF1E6" w14:textId="77777777" w:rsidR="004327DD" w:rsidRPr="0088307E" w:rsidRDefault="004327DD" w:rsidP="00DC64B4">
            <w:pPr>
              <w:spacing w:line="240" w:lineRule="auto"/>
              <w:jc w:val="right"/>
              <w:rPr>
                <w:rFonts w:eastAsia="Times New Roman" w:cs="Times New Roman"/>
                <w:lang w:eastAsia="cs-CZ"/>
              </w:rPr>
            </w:pPr>
            <w:r w:rsidRPr="0088307E">
              <w:rPr>
                <w:rFonts w:eastAsia="Times New Roman" w:cs="Times New Roman"/>
                <w:lang w:eastAsia="cs-CZ"/>
              </w:rPr>
              <w:t>66 342 841</w:t>
            </w:r>
          </w:p>
        </w:tc>
        <w:tc>
          <w:tcPr>
            <w:tcW w:w="772" w:type="pct"/>
            <w:tcBorders>
              <w:top w:val="single" w:sz="4" w:space="0" w:color="7F7F7F" w:themeColor="text1" w:themeTint="80"/>
              <w:left w:val="single" w:sz="4" w:space="0" w:color="auto"/>
              <w:bottom w:val="nil"/>
              <w:right w:val="single" w:sz="4" w:space="0" w:color="auto"/>
            </w:tcBorders>
          </w:tcPr>
          <w:p w14:paraId="3DC60116" w14:textId="77777777" w:rsidR="004327DD" w:rsidRPr="0088307E" w:rsidRDefault="004327DD" w:rsidP="00DC64B4">
            <w:pPr>
              <w:spacing w:line="240" w:lineRule="auto"/>
              <w:jc w:val="right"/>
              <w:rPr>
                <w:rFonts w:cs="Times New Roman"/>
              </w:rPr>
            </w:pPr>
            <w:r w:rsidRPr="0088307E">
              <w:rPr>
                <w:rFonts w:eastAsia="Times New Roman" w:cs="Times New Roman"/>
                <w:lang w:eastAsia="cs-CZ"/>
              </w:rPr>
              <w:t>50 827 472</w:t>
            </w:r>
          </w:p>
        </w:tc>
        <w:tc>
          <w:tcPr>
            <w:tcW w:w="771" w:type="pct"/>
            <w:tcBorders>
              <w:top w:val="single" w:sz="4" w:space="0" w:color="7F7F7F" w:themeColor="text1" w:themeTint="80"/>
              <w:left w:val="single" w:sz="4" w:space="0" w:color="auto"/>
              <w:bottom w:val="nil"/>
              <w:right w:val="single" w:sz="4" w:space="0" w:color="auto"/>
            </w:tcBorders>
          </w:tcPr>
          <w:p w14:paraId="70247EA2" w14:textId="77777777" w:rsidR="004327DD" w:rsidRPr="0088307E" w:rsidRDefault="004327DD" w:rsidP="00DC64B4">
            <w:pPr>
              <w:spacing w:line="240" w:lineRule="auto"/>
              <w:jc w:val="right"/>
              <w:rPr>
                <w:rFonts w:cs="Times New Roman"/>
              </w:rPr>
            </w:pPr>
            <w:r w:rsidRPr="0088307E">
              <w:rPr>
                <w:rFonts w:eastAsia="Times New Roman" w:cs="Times New Roman"/>
                <w:lang w:eastAsia="cs-CZ"/>
              </w:rPr>
              <w:t>52 652 796</w:t>
            </w:r>
          </w:p>
        </w:tc>
        <w:tc>
          <w:tcPr>
            <w:tcW w:w="570" w:type="pct"/>
            <w:tcBorders>
              <w:bottom w:val="nil"/>
            </w:tcBorders>
          </w:tcPr>
          <w:p w14:paraId="431AFE4B" w14:textId="77777777" w:rsidR="004327DD" w:rsidRPr="0088307E" w:rsidRDefault="004327DD" w:rsidP="00DC64B4">
            <w:pPr>
              <w:spacing w:line="240" w:lineRule="auto"/>
              <w:jc w:val="right"/>
              <w:rPr>
                <w:rFonts w:eastAsia="Times New Roman" w:cs="Times New Roman"/>
                <w:lang w:eastAsia="cs-CZ"/>
              </w:rPr>
            </w:pPr>
            <w:r w:rsidRPr="0088307E">
              <w:rPr>
                <w:rFonts w:eastAsia="Times New Roman" w:cs="Times New Roman"/>
                <w:lang w:eastAsia="cs-CZ"/>
              </w:rPr>
              <w:t>103,59</w:t>
            </w:r>
          </w:p>
        </w:tc>
      </w:tr>
      <w:tr w:rsidR="004327DD" w:rsidRPr="00283015" w14:paraId="398AAEC0" w14:textId="77777777" w:rsidTr="0088307E">
        <w:tc>
          <w:tcPr>
            <w:tcW w:w="2116" w:type="pct"/>
            <w:tcBorders>
              <w:top w:val="nil"/>
              <w:bottom w:val="nil"/>
            </w:tcBorders>
          </w:tcPr>
          <w:p w14:paraId="25FD6626" w14:textId="77777777" w:rsidR="004327DD" w:rsidRPr="003B44D0" w:rsidRDefault="004327DD" w:rsidP="00DC64B4">
            <w:pPr>
              <w:spacing w:line="240" w:lineRule="auto"/>
              <w:rPr>
                <w:rFonts w:eastAsia="Times New Roman" w:cs="Times New Roman"/>
                <w:i/>
                <w:color w:val="000000" w:themeColor="text1"/>
                <w:lang w:eastAsia="cs-CZ"/>
              </w:rPr>
            </w:pPr>
            <w:r w:rsidRPr="003B44D0">
              <w:rPr>
                <w:rFonts w:eastAsia="Times New Roman" w:cs="Times New Roman"/>
                <w:i/>
                <w:color w:val="000000" w:themeColor="text1"/>
                <w:lang w:eastAsia="cs-CZ"/>
              </w:rPr>
              <w:t xml:space="preserve">      prostředky SR</w:t>
            </w:r>
          </w:p>
        </w:tc>
        <w:tc>
          <w:tcPr>
            <w:tcW w:w="771" w:type="pct"/>
            <w:tcBorders>
              <w:top w:val="nil"/>
              <w:bottom w:val="nil"/>
            </w:tcBorders>
          </w:tcPr>
          <w:p w14:paraId="054488DD" w14:textId="77777777" w:rsidR="004327DD" w:rsidRPr="0088307E" w:rsidRDefault="004327DD" w:rsidP="00DC64B4">
            <w:pPr>
              <w:spacing w:line="240" w:lineRule="auto"/>
              <w:jc w:val="right"/>
              <w:rPr>
                <w:rFonts w:eastAsia="Times New Roman" w:cs="Times New Roman"/>
                <w:i/>
                <w:lang w:eastAsia="cs-CZ"/>
              </w:rPr>
            </w:pPr>
            <w:r w:rsidRPr="0088307E">
              <w:rPr>
                <w:rFonts w:eastAsia="Times New Roman" w:cs="Times New Roman"/>
                <w:i/>
                <w:lang w:eastAsia="cs-CZ"/>
              </w:rPr>
              <w:t>35 074 622</w:t>
            </w:r>
          </w:p>
        </w:tc>
        <w:tc>
          <w:tcPr>
            <w:tcW w:w="772" w:type="pct"/>
            <w:tcBorders>
              <w:top w:val="nil"/>
              <w:left w:val="single" w:sz="4" w:space="0" w:color="auto"/>
              <w:bottom w:val="nil"/>
              <w:right w:val="single" w:sz="4" w:space="0" w:color="auto"/>
            </w:tcBorders>
          </w:tcPr>
          <w:p w14:paraId="31433D95" w14:textId="77777777" w:rsidR="004327DD" w:rsidRPr="0088307E" w:rsidRDefault="004327DD" w:rsidP="00DC64B4">
            <w:pPr>
              <w:spacing w:line="240" w:lineRule="auto"/>
              <w:jc w:val="right"/>
              <w:rPr>
                <w:rFonts w:cs="Times New Roman"/>
                <w:i/>
              </w:rPr>
            </w:pPr>
            <w:r w:rsidRPr="0088307E">
              <w:rPr>
                <w:rFonts w:cs="Times New Roman"/>
                <w:i/>
              </w:rPr>
              <w:t>33 075 060</w:t>
            </w:r>
          </w:p>
        </w:tc>
        <w:tc>
          <w:tcPr>
            <w:tcW w:w="771" w:type="pct"/>
            <w:tcBorders>
              <w:top w:val="nil"/>
              <w:left w:val="single" w:sz="4" w:space="0" w:color="auto"/>
              <w:bottom w:val="nil"/>
              <w:right w:val="single" w:sz="4" w:space="0" w:color="auto"/>
            </w:tcBorders>
          </w:tcPr>
          <w:p w14:paraId="7B9E58EA" w14:textId="77777777" w:rsidR="004327DD" w:rsidRPr="0088307E" w:rsidRDefault="004327DD" w:rsidP="00DC64B4">
            <w:pPr>
              <w:spacing w:line="240" w:lineRule="auto"/>
              <w:jc w:val="right"/>
              <w:rPr>
                <w:rFonts w:cs="Times New Roman"/>
                <w:i/>
              </w:rPr>
            </w:pPr>
            <w:r w:rsidRPr="0088307E">
              <w:rPr>
                <w:rFonts w:cs="Times New Roman"/>
                <w:i/>
              </w:rPr>
              <w:t>48 402 000</w:t>
            </w:r>
          </w:p>
        </w:tc>
        <w:tc>
          <w:tcPr>
            <w:tcW w:w="570" w:type="pct"/>
            <w:tcBorders>
              <w:top w:val="nil"/>
              <w:bottom w:val="nil"/>
            </w:tcBorders>
          </w:tcPr>
          <w:p w14:paraId="04C5F668" w14:textId="77777777" w:rsidR="004327DD" w:rsidRPr="0088307E" w:rsidRDefault="004327DD" w:rsidP="00DC64B4">
            <w:pPr>
              <w:spacing w:line="240" w:lineRule="auto"/>
              <w:jc w:val="right"/>
              <w:rPr>
                <w:rFonts w:eastAsia="Times New Roman" w:cs="Times New Roman"/>
                <w:i/>
                <w:lang w:eastAsia="cs-CZ"/>
              </w:rPr>
            </w:pPr>
            <w:r w:rsidRPr="0088307E">
              <w:rPr>
                <w:rFonts w:eastAsia="Times New Roman" w:cs="Times New Roman"/>
                <w:i/>
                <w:lang w:eastAsia="cs-CZ"/>
              </w:rPr>
              <w:t>146,34</w:t>
            </w:r>
          </w:p>
        </w:tc>
      </w:tr>
      <w:tr w:rsidR="004327DD" w:rsidRPr="00283015" w14:paraId="03A80D24" w14:textId="77777777" w:rsidTr="0088307E">
        <w:tc>
          <w:tcPr>
            <w:tcW w:w="2116" w:type="pct"/>
            <w:tcBorders>
              <w:top w:val="nil"/>
              <w:bottom w:val="single" w:sz="8" w:space="0" w:color="7F7F7F" w:themeColor="text1" w:themeTint="80"/>
            </w:tcBorders>
          </w:tcPr>
          <w:p w14:paraId="185ED3B8" w14:textId="77777777" w:rsidR="004327DD" w:rsidRPr="003B44D0" w:rsidRDefault="004327DD" w:rsidP="00DC64B4">
            <w:pPr>
              <w:spacing w:line="240" w:lineRule="auto"/>
              <w:rPr>
                <w:rFonts w:eastAsia="Times New Roman" w:cs="Times New Roman"/>
                <w:i/>
                <w:color w:val="000000" w:themeColor="text1"/>
                <w:lang w:eastAsia="cs-CZ"/>
              </w:rPr>
            </w:pPr>
            <w:r w:rsidRPr="003B44D0">
              <w:rPr>
                <w:rFonts w:eastAsia="Times New Roman" w:cs="Times New Roman"/>
                <w:i/>
                <w:color w:val="000000" w:themeColor="text1"/>
                <w:lang w:eastAsia="cs-CZ"/>
              </w:rPr>
              <w:t xml:space="preserve">      prostředky z fondů EU</w:t>
            </w:r>
          </w:p>
        </w:tc>
        <w:tc>
          <w:tcPr>
            <w:tcW w:w="771" w:type="pct"/>
            <w:tcBorders>
              <w:top w:val="nil"/>
              <w:bottom w:val="single" w:sz="8" w:space="0" w:color="7F7F7F" w:themeColor="text1" w:themeTint="80"/>
            </w:tcBorders>
          </w:tcPr>
          <w:p w14:paraId="08ECF6C4" w14:textId="77777777" w:rsidR="004327DD" w:rsidRPr="0088307E" w:rsidRDefault="004327DD" w:rsidP="00DC64B4">
            <w:pPr>
              <w:spacing w:line="240" w:lineRule="auto"/>
              <w:jc w:val="right"/>
              <w:rPr>
                <w:rFonts w:eastAsia="Times New Roman" w:cs="Times New Roman"/>
                <w:i/>
                <w:lang w:eastAsia="cs-CZ"/>
              </w:rPr>
            </w:pPr>
            <w:r w:rsidRPr="0088307E">
              <w:rPr>
                <w:rFonts w:eastAsia="Times New Roman" w:cs="Times New Roman"/>
                <w:i/>
                <w:lang w:eastAsia="cs-CZ"/>
              </w:rPr>
              <w:t>31 268 219</w:t>
            </w:r>
          </w:p>
        </w:tc>
        <w:tc>
          <w:tcPr>
            <w:tcW w:w="772" w:type="pct"/>
            <w:tcBorders>
              <w:top w:val="nil"/>
              <w:left w:val="single" w:sz="4" w:space="0" w:color="auto"/>
              <w:bottom w:val="single" w:sz="8" w:space="0" w:color="7F7F7F" w:themeColor="text1" w:themeTint="80"/>
              <w:right w:val="single" w:sz="4" w:space="0" w:color="auto"/>
            </w:tcBorders>
          </w:tcPr>
          <w:p w14:paraId="05C3642B" w14:textId="77777777" w:rsidR="004327DD" w:rsidRPr="0088307E" w:rsidRDefault="004327DD" w:rsidP="00DC64B4">
            <w:pPr>
              <w:spacing w:line="240" w:lineRule="auto"/>
              <w:jc w:val="right"/>
              <w:rPr>
                <w:rFonts w:cs="Times New Roman"/>
                <w:i/>
              </w:rPr>
            </w:pPr>
            <w:r w:rsidRPr="0088307E">
              <w:rPr>
                <w:rFonts w:eastAsia="Times New Roman" w:cs="Times New Roman"/>
                <w:lang w:eastAsia="cs-CZ"/>
              </w:rPr>
              <w:t>17 752 412</w:t>
            </w:r>
          </w:p>
        </w:tc>
        <w:tc>
          <w:tcPr>
            <w:tcW w:w="771" w:type="pct"/>
            <w:tcBorders>
              <w:top w:val="nil"/>
              <w:left w:val="single" w:sz="4" w:space="0" w:color="auto"/>
              <w:bottom w:val="single" w:sz="8" w:space="0" w:color="7F7F7F" w:themeColor="text1" w:themeTint="80"/>
              <w:right w:val="single" w:sz="4" w:space="0" w:color="auto"/>
            </w:tcBorders>
          </w:tcPr>
          <w:p w14:paraId="33E68A7B" w14:textId="77777777" w:rsidR="004327DD" w:rsidRPr="0088307E" w:rsidRDefault="004327DD" w:rsidP="00DC64B4">
            <w:pPr>
              <w:spacing w:line="240" w:lineRule="auto"/>
              <w:jc w:val="right"/>
              <w:rPr>
                <w:rFonts w:cs="Times New Roman"/>
                <w:i/>
              </w:rPr>
            </w:pPr>
            <w:r w:rsidRPr="0088307E">
              <w:rPr>
                <w:rFonts w:eastAsia="Times New Roman" w:cs="Times New Roman"/>
                <w:lang w:eastAsia="cs-CZ"/>
              </w:rPr>
              <w:t>4 250 796</w:t>
            </w:r>
          </w:p>
        </w:tc>
        <w:tc>
          <w:tcPr>
            <w:tcW w:w="570" w:type="pct"/>
            <w:tcBorders>
              <w:top w:val="nil"/>
            </w:tcBorders>
          </w:tcPr>
          <w:p w14:paraId="2E5B67C0" w14:textId="77777777" w:rsidR="004327DD" w:rsidRPr="0088307E" w:rsidRDefault="004327DD" w:rsidP="00DC64B4">
            <w:pPr>
              <w:spacing w:line="240" w:lineRule="auto"/>
              <w:jc w:val="right"/>
              <w:rPr>
                <w:rFonts w:eastAsia="Times New Roman" w:cs="Times New Roman"/>
                <w:i/>
                <w:lang w:eastAsia="cs-CZ"/>
              </w:rPr>
            </w:pPr>
            <w:r w:rsidRPr="0088307E">
              <w:rPr>
                <w:rFonts w:eastAsia="Times New Roman" w:cs="Times New Roman"/>
                <w:i/>
                <w:lang w:eastAsia="cs-CZ"/>
              </w:rPr>
              <w:t>23,94</w:t>
            </w:r>
          </w:p>
        </w:tc>
      </w:tr>
    </w:tbl>
    <w:p w14:paraId="46A6ABEC" w14:textId="77777777" w:rsidR="00316A6C" w:rsidRPr="0088307E" w:rsidRDefault="00316A6C" w:rsidP="00CC40A4">
      <w:pPr>
        <w:pStyle w:val="Styl1"/>
        <w:spacing w:before="200" w:after="200"/>
      </w:pPr>
      <w:r w:rsidRPr="0088307E">
        <w:t>V dalším textu je uváděn návrh rozpočtu výdajů na financování reprodukce majetku v členění na jednotlivé programy vedené v EDS/SMVS.</w:t>
      </w:r>
    </w:p>
    <w:p w14:paraId="031E668A" w14:textId="5083EB72" w:rsidR="00316A6C" w:rsidRPr="0088307E" w:rsidRDefault="00316A6C" w:rsidP="00A4652C">
      <w:pPr>
        <w:pStyle w:val="Titulek"/>
      </w:pPr>
      <w:r w:rsidRPr="0088307E">
        <w:t xml:space="preserve">Tabulka </w:t>
      </w:r>
      <w:fldSimple w:instr=" SEQ Tabulka \* ARABIC ">
        <w:r w:rsidR="00F80947">
          <w:rPr>
            <w:noProof/>
          </w:rPr>
          <w:t>37</w:t>
        </w:r>
      </w:fldSimple>
      <w:r w:rsidRPr="0088307E">
        <w:t xml:space="preserve"> Přehled jednotlivých programů vedených v EDS/SMVS (v tis. Kč)</w:t>
      </w:r>
    </w:p>
    <w:tbl>
      <w:tblPr>
        <w:tblW w:w="5241"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CellMar>
          <w:left w:w="70" w:type="dxa"/>
          <w:right w:w="70" w:type="dxa"/>
        </w:tblCellMar>
        <w:tblLook w:val="0000" w:firstRow="0" w:lastRow="0" w:firstColumn="0" w:lastColumn="0" w:noHBand="0" w:noVBand="0"/>
      </w:tblPr>
      <w:tblGrid>
        <w:gridCol w:w="1833"/>
        <w:gridCol w:w="1277"/>
        <w:gridCol w:w="1275"/>
        <w:gridCol w:w="1273"/>
        <w:gridCol w:w="1279"/>
        <w:gridCol w:w="1273"/>
        <w:gridCol w:w="1277"/>
      </w:tblGrid>
      <w:tr w:rsidR="00704C31" w:rsidRPr="00344F6C" w14:paraId="0AAD5742" w14:textId="77777777" w:rsidTr="00DC64B4">
        <w:tc>
          <w:tcPr>
            <w:tcW w:w="966" w:type="pct"/>
            <w:vMerge w:val="restar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CB9B8CC" w14:textId="77777777" w:rsidR="00704C31" w:rsidRPr="00344F6C" w:rsidRDefault="00704C31" w:rsidP="00DC64B4">
            <w:pPr>
              <w:spacing w:line="240" w:lineRule="auto"/>
              <w:jc w:val="center"/>
              <w:rPr>
                <w:rFonts w:eastAsia="Times New Roman" w:cs="Times New Roman"/>
                <w:b/>
                <w:bCs/>
                <w:color w:val="000000" w:themeColor="text1"/>
                <w:lang w:eastAsia="cs-CZ"/>
              </w:rPr>
            </w:pPr>
            <w:r w:rsidRPr="00344F6C">
              <w:rPr>
                <w:rFonts w:eastAsia="Times New Roman" w:cs="Times New Roman"/>
                <w:b/>
                <w:bCs/>
                <w:color w:val="000000" w:themeColor="text1"/>
                <w:lang w:eastAsia="cs-CZ"/>
              </w:rPr>
              <w:t>Číslo programu</w:t>
            </w:r>
          </w:p>
        </w:tc>
        <w:tc>
          <w:tcPr>
            <w:tcW w:w="1345" w:type="pct"/>
            <w:gridSpan w:val="2"/>
            <w:shd w:val="thinReverseDiagStripe" w:color="D9D9D9" w:themeColor="background1" w:themeShade="D9" w:fill="auto"/>
            <w:vAlign w:val="center"/>
          </w:tcPr>
          <w:p w14:paraId="3BF330B1" w14:textId="77777777" w:rsidR="00704C31" w:rsidRPr="00344F6C" w:rsidRDefault="00704C31" w:rsidP="00DC64B4">
            <w:pPr>
              <w:spacing w:line="240" w:lineRule="auto"/>
              <w:jc w:val="center"/>
              <w:rPr>
                <w:rFonts w:eastAsia="Times New Roman" w:cs="Times New Roman"/>
                <w:b/>
                <w:bCs/>
                <w:color w:val="000000" w:themeColor="text1"/>
                <w:lang w:eastAsia="cs-CZ"/>
              </w:rPr>
            </w:pPr>
            <w:r w:rsidRPr="00344F6C">
              <w:rPr>
                <w:rFonts w:eastAsia="Times New Roman" w:cs="Times New Roman"/>
                <w:b/>
                <w:bCs/>
                <w:color w:val="000000" w:themeColor="text1"/>
                <w:lang w:eastAsia="cs-CZ"/>
              </w:rPr>
              <w:t xml:space="preserve">Skutečnost </w:t>
            </w:r>
            <w:r w:rsidRPr="00344F6C">
              <w:rPr>
                <w:rFonts w:eastAsia="Times New Roman" w:cs="Times New Roman"/>
                <w:b/>
                <w:bCs/>
                <w:color w:val="000000" w:themeColor="text1"/>
                <w:lang w:eastAsia="cs-CZ"/>
              </w:rPr>
              <w:br/>
              <w:t>2021</w:t>
            </w:r>
          </w:p>
        </w:tc>
        <w:tc>
          <w:tcPr>
            <w:tcW w:w="1345" w:type="pct"/>
            <w:gridSpan w:val="2"/>
            <w:shd w:val="thinReverseDiagStripe" w:color="D9D9D9" w:themeColor="background1" w:themeShade="D9" w:fill="auto"/>
            <w:vAlign w:val="center"/>
          </w:tcPr>
          <w:p w14:paraId="7B9FD42F" w14:textId="77777777" w:rsidR="00704C31" w:rsidRPr="00344F6C" w:rsidRDefault="00704C31" w:rsidP="00DC64B4">
            <w:pPr>
              <w:spacing w:line="240" w:lineRule="auto"/>
              <w:jc w:val="center"/>
              <w:rPr>
                <w:rFonts w:eastAsia="Times New Roman" w:cs="Times New Roman"/>
                <w:b/>
                <w:bCs/>
                <w:color w:val="000000" w:themeColor="text1"/>
                <w:lang w:eastAsia="cs-CZ"/>
              </w:rPr>
            </w:pPr>
            <w:r w:rsidRPr="00344F6C">
              <w:rPr>
                <w:rFonts w:eastAsia="Times New Roman" w:cs="Times New Roman"/>
                <w:b/>
                <w:bCs/>
                <w:color w:val="000000" w:themeColor="text1"/>
                <w:lang w:eastAsia="cs-CZ"/>
              </w:rPr>
              <w:t>Schválený rozpočet 2022</w:t>
            </w:r>
          </w:p>
        </w:tc>
        <w:tc>
          <w:tcPr>
            <w:tcW w:w="1344" w:type="pct"/>
            <w:gridSpan w:val="2"/>
            <w:shd w:val="thinReverseDiagStripe" w:color="D9D9D9" w:themeColor="background1" w:themeShade="D9" w:fill="auto"/>
            <w:vAlign w:val="center"/>
          </w:tcPr>
          <w:p w14:paraId="3D9BFFC4" w14:textId="77777777" w:rsidR="00704C31" w:rsidRPr="00344F6C" w:rsidRDefault="00704C31" w:rsidP="00DC64B4">
            <w:pPr>
              <w:spacing w:line="240" w:lineRule="auto"/>
              <w:jc w:val="center"/>
              <w:rPr>
                <w:rFonts w:eastAsia="Times New Roman" w:cs="Times New Roman"/>
                <w:b/>
                <w:bCs/>
                <w:color w:val="000000" w:themeColor="text1"/>
                <w:lang w:eastAsia="cs-CZ"/>
              </w:rPr>
            </w:pPr>
            <w:r w:rsidRPr="00344F6C">
              <w:rPr>
                <w:rFonts w:eastAsia="Times New Roman" w:cs="Times New Roman"/>
                <w:b/>
                <w:bCs/>
                <w:color w:val="000000" w:themeColor="text1"/>
                <w:lang w:eastAsia="cs-CZ"/>
              </w:rPr>
              <w:t xml:space="preserve">Návrh rozpočtu </w:t>
            </w:r>
          </w:p>
          <w:p w14:paraId="24AFE33D" w14:textId="77777777" w:rsidR="00704C31" w:rsidRPr="00344F6C" w:rsidRDefault="00704C31" w:rsidP="00DC64B4">
            <w:pPr>
              <w:spacing w:line="240" w:lineRule="auto"/>
              <w:jc w:val="center"/>
              <w:rPr>
                <w:rFonts w:eastAsia="Times New Roman" w:cs="Times New Roman"/>
                <w:b/>
                <w:bCs/>
                <w:color w:val="000000" w:themeColor="text1"/>
                <w:lang w:eastAsia="cs-CZ"/>
              </w:rPr>
            </w:pPr>
            <w:r w:rsidRPr="00344F6C">
              <w:rPr>
                <w:rFonts w:eastAsia="Times New Roman" w:cs="Times New Roman"/>
                <w:b/>
                <w:bCs/>
                <w:color w:val="000000" w:themeColor="text1"/>
                <w:lang w:eastAsia="cs-CZ"/>
              </w:rPr>
              <w:t xml:space="preserve"> 2023</w:t>
            </w:r>
          </w:p>
        </w:tc>
      </w:tr>
      <w:tr w:rsidR="00704C31" w:rsidRPr="00344F6C" w14:paraId="530F6593" w14:textId="77777777" w:rsidTr="00DC64B4">
        <w:tc>
          <w:tcPr>
            <w:tcW w:w="966" w:type="pct"/>
            <w:vMerge/>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36F92604" w14:textId="77777777" w:rsidR="00704C31" w:rsidRPr="00344F6C" w:rsidRDefault="00704C31" w:rsidP="00DC64B4">
            <w:pPr>
              <w:spacing w:line="240" w:lineRule="auto"/>
              <w:rPr>
                <w:rFonts w:eastAsia="Times New Roman" w:cs="Times New Roman"/>
                <w:color w:val="000000" w:themeColor="text1"/>
                <w:lang w:eastAsia="cs-CZ"/>
              </w:rPr>
            </w:pP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F343349" w14:textId="77777777" w:rsidR="00704C31" w:rsidRPr="00344F6C" w:rsidRDefault="00704C31" w:rsidP="00DC64B4">
            <w:pPr>
              <w:spacing w:line="240" w:lineRule="auto"/>
              <w:jc w:val="center"/>
              <w:rPr>
                <w:rFonts w:eastAsia="Times New Roman" w:cs="Times New Roman"/>
                <w:b/>
                <w:color w:val="000000" w:themeColor="text1"/>
                <w:lang w:eastAsia="cs-CZ"/>
              </w:rPr>
            </w:pPr>
            <w:r w:rsidRPr="00344F6C">
              <w:rPr>
                <w:rFonts w:eastAsia="Times New Roman" w:cs="Times New Roman"/>
                <w:b/>
                <w:color w:val="000000" w:themeColor="text1"/>
                <w:lang w:eastAsia="cs-CZ"/>
              </w:rPr>
              <w:t>SR</w:t>
            </w:r>
          </w:p>
        </w:tc>
        <w:tc>
          <w:tcPr>
            <w:tcW w:w="672"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0A0241A" w14:textId="77777777" w:rsidR="00704C31" w:rsidRPr="00344F6C" w:rsidRDefault="00704C31" w:rsidP="00DC64B4">
            <w:pPr>
              <w:spacing w:line="240" w:lineRule="auto"/>
              <w:jc w:val="center"/>
              <w:rPr>
                <w:rFonts w:eastAsia="Times New Roman" w:cs="Times New Roman"/>
                <w:b/>
                <w:color w:val="000000" w:themeColor="text1"/>
                <w:lang w:eastAsia="cs-CZ"/>
              </w:rPr>
            </w:pPr>
            <w:r w:rsidRPr="00344F6C">
              <w:rPr>
                <w:rFonts w:eastAsia="Times New Roman" w:cs="Times New Roman"/>
                <w:b/>
                <w:color w:val="000000" w:themeColor="text1"/>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7A95D634" w14:textId="77777777" w:rsidR="00704C31" w:rsidRPr="00344F6C" w:rsidRDefault="00704C31" w:rsidP="00DC64B4">
            <w:pPr>
              <w:spacing w:line="240" w:lineRule="auto"/>
              <w:jc w:val="center"/>
              <w:rPr>
                <w:rFonts w:eastAsia="Times New Roman" w:cs="Times New Roman"/>
                <w:b/>
                <w:color w:val="000000" w:themeColor="text1"/>
                <w:lang w:eastAsia="cs-CZ"/>
              </w:rPr>
            </w:pPr>
            <w:r w:rsidRPr="00344F6C">
              <w:rPr>
                <w:rFonts w:eastAsia="Times New Roman" w:cs="Times New Roman"/>
                <w:b/>
                <w:color w:val="000000" w:themeColor="text1"/>
                <w:lang w:eastAsia="cs-CZ"/>
              </w:rPr>
              <w:t>SR</w:t>
            </w:r>
          </w:p>
        </w:tc>
        <w:tc>
          <w:tcPr>
            <w:tcW w:w="674"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61478425" w14:textId="77777777" w:rsidR="00704C31" w:rsidRPr="00344F6C" w:rsidRDefault="00704C31" w:rsidP="00DC64B4">
            <w:pPr>
              <w:spacing w:line="240" w:lineRule="auto"/>
              <w:jc w:val="center"/>
              <w:rPr>
                <w:rFonts w:eastAsia="Times New Roman" w:cs="Times New Roman"/>
                <w:b/>
                <w:color w:val="000000" w:themeColor="text1"/>
                <w:lang w:eastAsia="cs-CZ"/>
              </w:rPr>
            </w:pPr>
            <w:r w:rsidRPr="00344F6C">
              <w:rPr>
                <w:rFonts w:eastAsia="Times New Roman" w:cs="Times New Roman"/>
                <w:b/>
                <w:color w:val="000000" w:themeColor="text1"/>
                <w:lang w:eastAsia="cs-CZ"/>
              </w:rPr>
              <w:t>EU</w:t>
            </w:r>
          </w:p>
        </w:tc>
        <w:tc>
          <w:tcPr>
            <w:tcW w:w="671"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0FA57801" w14:textId="77777777" w:rsidR="00704C31" w:rsidRPr="00344F6C" w:rsidRDefault="00704C31" w:rsidP="00DC64B4">
            <w:pPr>
              <w:spacing w:line="240" w:lineRule="auto"/>
              <w:jc w:val="center"/>
              <w:rPr>
                <w:rFonts w:eastAsia="Times New Roman" w:cs="Times New Roman"/>
                <w:b/>
                <w:color w:val="000000" w:themeColor="text1"/>
                <w:lang w:eastAsia="cs-CZ"/>
              </w:rPr>
            </w:pPr>
            <w:r w:rsidRPr="00344F6C">
              <w:rPr>
                <w:rFonts w:eastAsia="Times New Roman" w:cs="Times New Roman"/>
                <w:b/>
                <w:color w:val="000000" w:themeColor="text1"/>
                <w:lang w:eastAsia="cs-CZ"/>
              </w:rPr>
              <w:t>SR</w:t>
            </w:r>
          </w:p>
        </w:tc>
        <w:tc>
          <w:tcPr>
            <w:tcW w:w="673" w:type="pct"/>
            <w:tcBorders>
              <w:top w:val="single" w:sz="4" w:space="0" w:color="7F7F7F" w:themeColor="text1" w:themeTint="80"/>
              <w:bottom w:val="single" w:sz="4" w:space="0" w:color="7F7F7F" w:themeColor="text1" w:themeTint="80"/>
            </w:tcBorders>
            <w:shd w:val="thinReverseDiagStripe" w:color="D9D9D9" w:themeColor="background1" w:themeShade="D9" w:fill="FFFFFF" w:themeFill="background1"/>
          </w:tcPr>
          <w:p w14:paraId="59F97BCE" w14:textId="77777777" w:rsidR="00704C31" w:rsidRPr="00344F6C" w:rsidRDefault="00704C31" w:rsidP="00DC64B4">
            <w:pPr>
              <w:spacing w:line="240" w:lineRule="auto"/>
              <w:jc w:val="center"/>
              <w:rPr>
                <w:rFonts w:eastAsia="Times New Roman" w:cs="Times New Roman"/>
                <w:b/>
                <w:color w:val="000000" w:themeColor="text1"/>
                <w:lang w:eastAsia="cs-CZ"/>
              </w:rPr>
            </w:pPr>
            <w:r w:rsidRPr="00344F6C">
              <w:rPr>
                <w:rFonts w:eastAsia="Times New Roman" w:cs="Times New Roman"/>
                <w:b/>
                <w:color w:val="000000" w:themeColor="text1"/>
                <w:lang w:eastAsia="cs-CZ"/>
              </w:rPr>
              <w:t>EU</w:t>
            </w:r>
          </w:p>
        </w:tc>
      </w:tr>
      <w:tr w:rsidR="00704C31" w:rsidRPr="00344F6C" w14:paraId="5ABDA1AA" w14:textId="77777777" w:rsidTr="00DC64B4">
        <w:tc>
          <w:tcPr>
            <w:tcW w:w="966" w:type="pct"/>
            <w:vAlign w:val="center"/>
          </w:tcPr>
          <w:p w14:paraId="10B8AD25" w14:textId="77777777" w:rsidR="00704C31" w:rsidRPr="00344F6C" w:rsidRDefault="00704C31" w:rsidP="00DC64B4">
            <w:pPr>
              <w:spacing w:line="240" w:lineRule="auto"/>
              <w:jc w:val="center"/>
              <w:rPr>
                <w:rFonts w:eastAsia="Times New Roman" w:cs="Times New Roman"/>
                <w:color w:val="000000" w:themeColor="text1"/>
                <w:lang w:eastAsia="cs-CZ"/>
              </w:rPr>
            </w:pPr>
            <w:r w:rsidRPr="00344F6C">
              <w:rPr>
                <w:rFonts w:eastAsia="Times New Roman" w:cs="Times New Roman"/>
                <w:color w:val="000000" w:themeColor="text1"/>
                <w:lang w:eastAsia="cs-CZ"/>
              </w:rPr>
              <w:t>127 06</w:t>
            </w:r>
          </w:p>
        </w:tc>
        <w:tc>
          <w:tcPr>
            <w:tcW w:w="673" w:type="pct"/>
            <w:shd w:val="clear" w:color="auto" w:fill="auto"/>
          </w:tcPr>
          <w:p w14:paraId="17D717C5"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0</w:t>
            </w:r>
          </w:p>
        </w:tc>
        <w:tc>
          <w:tcPr>
            <w:tcW w:w="672" w:type="pct"/>
            <w:shd w:val="clear" w:color="auto" w:fill="auto"/>
            <w:vAlign w:val="center"/>
          </w:tcPr>
          <w:p w14:paraId="31B7A44E" w14:textId="77777777" w:rsidR="00704C31" w:rsidRPr="00344F6C" w:rsidRDefault="00704C31" w:rsidP="00DC64B4">
            <w:pPr>
              <w:spacing w:line="240" w:lineRule="auto"/>
              <w:jc w:val="right"/>
              <w:rPr>
                <w:rFonts w:cs="Times New Roman"/>
                <w:color w:val="000000" w:themeColor="text1"/>
              </w:rPr>
            </w:pPr>
            <w:r>
              <w:rPr>
                <w:rFonts w:cs="Times New Roman"/>
                <w:color w:val="000000" w:themeColor="text1"/>
              </w:rPr>
              <w:t>555</w:t>
            </w:r>
          </w:p>
        </w:tc>
        <w:tc>
          <w:tcPr>
            <w:tcW w:w="671" w:type="pct"/>
            <w:shd w:val="clear" w:color="auto" w:fill="auto"/>
            <w:vAlign w:val="center"/>
          </w:tcPr>
          <w:p w14:paraId="6D26FF9A"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0</w:t>
            </w:r>
          </w:p>
        </w:tc>
        <w:tc>
          <w:tcPr>
            <w:tcW w:w="674" w:type="pct"/>
            <w:shd w:val="clear" w:color="auto" w:fill="auto"/>
            <w:vAlign w:val="center"/>
          </w:tcPr>
          <w:p w14:paraId="0C28AACA"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0</w:t>
            </w:r>
          </w:p>
        </w:tc>
        <w:tc>
          <w:tcPr>
            <w:tcW w:w="671" w:type="pct"/>
            <w:shd w:val="clear" w:color="auto" w:fill="auto"/>
            <w:vAlign w:val="center"/>
          </w:tcPr>
          <w:p w14:paraId="0F2CB3F8"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0</w:t>
            </w:r>
          </w:p>
        </w:tc>
        <w:tc>
          <w:tcPr>
            <w:tcW w:w="673" w:type="pct"/>
            <w:shd w:val="clear" w:color="auto" w:fill="auto"/>
            <w:vAlign w:val="center"/>
          </w:tcPr>
          <w:p w14:paraId="4100E77E"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0</w:t>
            </w:r>
          </w:p>
        </w:tc>
      </w:tr>
      <w:tr w:rsidR="00704C31" w:rsidRPr="00344F6C" w14:paraId="2B86C682" w14:textId="77777777" w:rsidTr="00DC64B4">
        <w:trPr>
          <w:trHeight w:val="416"/>
        </w:trPr>
        <w:tc>
          <w:tcPr>
            <w:tcW w:w="966" w:type="pct"/>
            <w:vAlign w:val="center"/>
          </w:tcPr>
          <w:p w14:paraId="37EFEF3E" w14:textId="77777777" w:rsidR="00704C31" w:rsidRPr="00344F6C" w:rsidRDefault="00704C31" w:rsidP="00DC64B4">
            <w:pPr>
              <w:spacing w:line="240" w:lineRule="auto"/>
              <w:jc w:val="center"/>
              <w:rPr>
                <w:rFonts w:eastAsia="Times New Roman" w:cs="Times New Roman"/>
                <w:color w:val="000000" w:themeColor="text1"/>
                <w:lang w:eastAsia="cs-CZ"/>
              </w:rPr>
            </w:pPr>
            <w:r w:rsidRPr="00344F6C">
              <w:rPr>
                <w:rFonts w:eastAsia="Times New Roman" w:cs="Times New Roman"/>
                <w:color w:val="000000" w:themeColor="text1"/>
                <w:lang w:eastAsia="cs-CZ"/>
              </w:rPr>
              <w:t>127 77</w:t>
            </w:r>
          </w:p>
        </w:tc>
        <w:tc>
          <w:tcPr>
            <w:tcW w:w="673" w:type="pct"/>
            <w:shd w:val="clear" w:color="auto" w:fill="auto"/>
            <w:vAlign w:val="center"/>
          </w:tcPr>
          <w:p w14:paraId="0AB9FA5D"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59 253 892</w:t>
            </w:r>
          </w:p>
        </w:tc>
        <w:tc>
          <w:tcPr>
            <w:tcW w:w="672" w:type="pct"/>
            <w:shd w:val="clear" w:color="auto" w:fill="auto"/>
            <w:vAlign w:val="center"/>
          </w:tcPr>
          <w:p w14:paraId="1BC67749" w14:textId="77777777" w:rsidR="00704C31" w:rsidRPr="00344F6C" w:rsidRDefault="00704C31" w:rsidP="00DC64B4">
            <w:pPr>
              <w:spacing w:line="240" w:lineRule="auto"/>
              <w:jc w:val="center"/>
              <w:rPr>
                <w:rFonts w:cs="Times New Roman"/>
                <w:color w:val="000000" w:themeColor="text1"/>
              </w:rPr>
            </w:pPr>
            <w:r>
              <w:rPr>
                <w:rFonts w:cs="Times New Roman"/>
                <w:color w:val="000000" w:themeColor="text1"/>
              </w:rPr>
              <w:t>31 268 101</w:t>
            </w:r>
          </w:p>
        </w:tc>
        <w:tc>
          <w:tcPr>
            <w:tcW w:w="671" w:type="pct"/>
            <w:shd w:val="clear" w:color="auto" w:fill="auto"/>
            <w:vAlign w:val="center"/>
          </w:tcPr>
          <w:p w14:paraId="27DAF986" w14:textId="77777777" w:rsidR="00704C31" w:rsidRPr="00344F6C" w:rsidRDefault="00704C31" w:rsidP="00DC64B4">
            <w:pPr>
              <w:spacing w:line="240" w:lineRule="auto"/>
              <w:rPr>
                <w:rFonts w:cs="Times New Roman"/>
                <w:color w:val="000000" w:themeColor="text1"/>
              </w:rPr>
            </w:pPr>
            <w:r w:rsidRPr="00344F6C">
              <w:rPr>
                <w:rFonts w:cs="Times New Roman"/>
                <w:color w:val="000000" w:themeColor="text1"/>
              </w:rPr>
              <w:t>45 385 000</w:t>
            </w:r>
          </w:p>
        </w:tc>
        <w:tc>
          <w:tcPr>
            <w:tcW w:w="674" w:type="pct"/>
            <w:shd w:val="clear" w:color="auto" w:fill="auto"/>
            <w:vAlign w:val="center"/>
          </w:tcPr>
          <w:p w14:paraId="16A34088"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17 752 456</w:t>
            </w:r>
          </w:p>
        </w:tc>
        <w:tc>
          <w:tcPr>
            <w:tcW w:w="671" w:type="pct"/>
            <w:shd w:val="clear" w:color="auto" w:fill="auto"/>
            <w:vAlign w:val="center"/>
          </w:tcPr>
          <w:p w14:paraId="0FEF5363" w14:textId="77777777" w:rsidR="00704C31" w:rsidRPr="00344F6C" w:rsidRDefault="00704C31" w:rsidP="00DC64B4">
            <w:pPr>
              <w:spacing w:line="240" w:lineRule="auto"/>
              <w:rPr>
                <w:rFonts w:cs="Times New Roman"/>
                <w:color w:val="000000" w:themeColor="text1"/>
              </w:rPr>
            </w:pPr>
            <w:r w:rsidRPr="00344F6C">
              <w:rPr>
                <w:rFonts w:cs="Times New Roman"/>
                <w:color w:val="000000" w:themeColor="text1"/>
              </w:rPr>
              <w:t>64 825 000</w:t>
            </w:r>
          </w:p>
        </w:tc>
        <w:tc>
          <w:tcPr>
            <w:tcW w:w="673" w:type="pct"/>
            <w:shd w:val="clear" w:color="auto" w:fill="auto"/>
            <w:vAlign w:val="center"/>
          </w:tcPr>
          <w:p w14:paraId="6B5EB65C" w14:textId="77777777" w:rsidR="00704C31" w:rsidRPr="00344F6C" w:rsidRDefault="00704C31" w:rsidP="00DC64B4">
            <w:pPr>
              <w:spacing w:line="240" w:lineRule="auto"/>
              <w:jc w:val="right"/>
              <w:rPr>
                <w:rFonts w:cs="Times New Roman"/>
                <w:color w:val="000000" w:themeColor="text1"/>
              </w:rPr>
            </w:pPr>
            <w:r w:rsidRPr="00344F6C">
              <w:rPr>
                <w:rFonts w:cs="Times New Roman"/>
                <w:color w:val="000000" w:themeColor="text1"/>
              </w:rPr>
              <w:t>4 250 796</w:t>
            </w:r>
          </w:p>
        </w:tc>
      </w:tr>
      <w:tr w:rsidR="00704C31" w:rsidRPr="00344F6C" w14:paraId="429C5A55" w14:textId="77777777" w:rsidTr="00DC64B4">
        <w:trPr>
          <w:trHeight w:val="273"/>
        </w:trPr>
        <w:tc>
          <w:tcPr>
            <w:tcW w:w="966" w:type="pct"/>
            <w:tcBorders>
              <w:top w:val="single" w:sz="8" w:space="0" w:color="7F7F7F" w:themeColor="text1" w:themeTint="80"/>
              <w:bottom w:val="single" w:sz="8" w:space="0" w:color="7F7F7F" w:themeColor="text1" w:themeTint="80"/>
            </w:tcBorders>
            <w:vAlign w:val="center"/>
          </w:tcPr>
          <w:p w14:paraId="6C7A3008" w14:textId="77777777" w:rsidR="00704C31" w:rsidRPr="00344F6C" w:rsidRDefault="00704C31" w:rsidP="00DC64B4">
            <w:pPr>
              <w:spacing w:line="240" w:lineRule="auto"/>
              <w:jc w:val="center"/>
              <w:rPr>
                <w:rFonts w:eastAsia="Times New Roman" w:cs="Times New Roman"/>
                <w:b/>
                <w:color w:val="000000" w:themeColor="text1"/>
                <w:lang w:eastAsia="cs-CZ"/>
              </w:rPr>
            </w:pPr>
            <w:r w:rsidRPr="00344F6C">
              <w:rPr>
                <w:rFonts w:eastAsia="Times New Roman" w:cs="Times New Roman"/>
                <w:b/>
                <w:color w:val="000000" w:themeColor="text1"/>
                <w:lang w:eastAsia="cs-CZ"/>
              </w:rPr>
              <w:t>CELKEM</w:t>
            </w:r>
          </w:p>
        </w:tc>
        <w:tc>
          <w:tcPr>
            <w:tcW w:w="673" w:type="pct"/>
            <w:shd w:val="clear" w:color="auto" w:fill="auto"/>
            <w:vAlign w:val="center"/>
          </w:tcPr>
          <w:p w14:paraId="269195B3" w14:textId="77777777" w:rsidR="00704C31" w:rsidRPr="00344F6C" w:rsidRDefault="00704C31" w:rsidP="00DC64B4">
            <w:pPr>
              <w:spacing w:line="240" w:lineRule="auto"/>
              <w:jc w:val="right"/>
              <w:rPr>
                <w:rFonts w:cs="Times New Roman"/>
                <w:b/>
                <w:color w:val="000000" w:themeColor="text1"/>
              </w:rPr>
            </w:pPr>
            <w:r w:rsidRPr="00344F6C">
              <w:rPr>
                <w:rFonts w:cs="Times New Roman"/>
                <w:b/>
                <w:color w:val="000000" w:themeColor="text1"/>
              </w:rPr>
              <w:t>59 253 892</w:t>
            </w:r>
          </w:p>
        </w:tc>
        <w:tc>
          <w:tcPr>
            <w:tcW w:w="672" w:type="pct"/>
            <w:shd w:val="clear" w:color="auto" w:fill="auto"/>
            <w:vAlign w:val="center"/>
          </w:tcPr>
          <w:p w14:paraId="3A28B1FE" w14:textId="77777777" w:rsidR="00704C31" w:rsidRPr="00344F6C" w:rsidRDefault="00704C31" w:rsidP="00DC64B4">
            <w:pPr>
              <w:spacing w:line="240" w:lineRule="auto"/>
              <w:jc w:val="right"/>
              <w:rPr>
                <w:rFonts w:cs="Times New Roman"/>
                <w:b/>
                <w:color w:val="000000" w:themeColor="text1"/>
              </w:rPr>
            </w:pPr>
            <w:r w:rsidRPr="00344F6C">
              <w:rPr>
                <w:rFonts w:cs="Times New Roman"/>
                <w:b/>
                <w:color w:val="000000" w:themeColor="text1"/>
              </w:rPr>
              <w:t>31 268 656</w:t>
            </w:r>
          </w:p>
        </w:tc>
        <w:tc>
          <w:tcPr>
            <w:tcW w:w="671" w:type="pct"/>
            <w:shd w:val="clear" w:color="auto" w:fill="auto"/>
            <w:vAlign w:val="center"/>
          </w:tcPr>
          <w:p w14:paraId="46413F6E" w14:textId="77777777" w:rsidR="00704C31" w:rsidRPr="00344F6C" w:rsidRDefault="00704C31" w:rsidP="00DC64B4">
            <w:pPr>
              <w:spacing w:line="240" w:lineRule="auto"/>
              <w:rPr>
                <w:rFonts w:cs="Times New Roman"/>
                <w:b/>
                <w:color w:val="000000" w:themeColor="text1"/>
              </w:rPr>
            </w:pPr>
            <w:r w:rsidRPr="00344F6C">
              <w:rPr>
                <w:rFonts w:cs="Times New Roman"/>
                <w:b/>
                <w:color w:val="000000" w:themeColor="text1"/>
              </w:rPr>
              <w:t>45 385 000</w:t>
            </w:r>
          </w:p>
        </w:tc>
        <w:tc>
          <w:tcPr>
            <w:tcW w:w="674" w:type="pct"/>
            <w:shd w:val="clear" w:color="auto" w:fill="auto"/>
            <w:vAlign w:val="center"/>
          </w:tcPr>
          <w:p w14:paraId="502B36DA" w14:textId="77777777" w:rsidR="00704C31" w:rsidRPr="00344F6C" w:rsidRDefault="00704C31" w:rsidP="00DC64B4">
            <w:pPr>
              <w:spacing w:line="240" w:lineRule="auto"/>
              <w:jc w:val="right"/>
              <w:rPr>
                <w:rFonts w:cs="Times New Roman"/>
                <w:b/>
                <w:color w:val="000000" w:themeColor="text1"/>
              </w:rPr>
            </w:pPr>
            <w:r w:rsidRPr="00344F6C">
              <w:rPr>
                <w:rFonts w:cs="Times New Roman"/>
                <w:b/>
                <w:color w:val="000000" w:themeColor="text1"/>
              </w:rPr>
              <w:t>17 752 456</w:t>
            </w:r>
          </w:p>
        </w:tc>
        <w:tc>
          <w:tcPr>
            <w:tcW w:w="671" w:type="pct"/>
            <w:shd w:val="clear" w:color="auto" w:fill="auto"/>
            <w:vAlign w:val="center"/>
          </w:tcPr>
          <w:p w14:paraId="24E42582" w14:textId="77777777" w:rsidR="00704C31" w:rsidRPr="00344F6C" w:rsidRDefault="00704C31" w:rsidP="00DC64B4">
            <w:pPr>
              <w:spacing w:line="240" w:lineRule="auto"/>
              <w:rPr>
                <w:rFonts w:cs="Times New Roman"/>
                <w:b/>
                <w:color w:val="000000" w:themeColor="text1"/>
              </w:rPr>
            </w:pPr>
            <w:r w:rsidRPr="00344F6C">
              <w:rPr>
                <w:rFonts w:cs="Times New Roman"/>
                <w:b/>
                <w:color w:val="000000" w:themeColor="text1"/>
              </w:rPr>
              <w:t>64 825 000</w:t>
            </w:r>
          </w:p>
        </w:tc>
        <w:tc>
          <w:tcPr>
            <w:tcW w:w="673" w:type="pct"/>
            <w:shd w:val="clear" w:color="auto" w:fill="auto"/>
            <w:vAlign w:val="center"/>
          </w:tcPr>
          <w:p w14:paraId="5F7FBDAC" w14:textId="77777777" w:rsidR="00704C31" w:rsidRPr="00344F6C" w:rsidRDefault="00704C31" w:rsidP="00DC64B4">
            <w:pPr>
              <w:spacing w:line="240" w:lineRule="auto"/>
              <w:jc w:val="right"/>
              <w:rPr>
                <w:rFonts w:cs="Times New Roman"/>
                <w:b/>
                <w:color w:val="000000" w:themeColor="text1"/>
              </w:rPr>
            </w:pPr>
            <w:r w:rsidRPr="00344F6C">
              <w:rPr>
                <w:rFonts w:cs="Times New Roman"/>
                <w:b/>
                <w:color w:val="000000" w:themeColor="text1"/>
              </w:rPr>
              <w:t>4 250 796</w:t>
            </w:r>
          </w:p>
        </w:tc>
      </w:tr>
    </w:tbl>
    <w:p w14:paraId="205BA071" w14:textId="77777777" w:rsidR="00704C31" w:rsidRPr="0088307E" w:rsidRDefault="00704C31" w:rsidP="0088307E"/>
    <w:p w14:paraId="462240E8" w14:textId="77777777" w:rsidR="00316A6C" w:rsidRPr="0088307E" w:rsidRDefault="00316A6C" w:rsidP="00BB0B4E">
      <w:pPr>
        <w:keepNext/>
        <w:spacing w:before="160" w:after="80" w:line="240" w:lineRule="auto"/>
        <w:rPr>
          <w:rFonts w:eastAsia="Times New Roman" w:cs="Times New Roman"/>
          <w:szCs w:val="24"/>
          <w:u w:val="single"/>
          <w:lang w:eastAsia="cs-CZ"/>
        </w:rPr>
      </w:pPr>
      <w:r w:rsidRPr="0088307E">
        <w:rPr>
          <w:rFonts w:eastAsia="Times New Roman" w:cs="Times New Roman"/>
          <w:szCs w:val="24"/>
          <w:u w:val="single"/>
          <w:lang w:eastAsia="cs-CZ"/>
        </w:rPr>
        <w:t>Čísla a název programu:</w:t>
      </w:r>
    </w:p>
    <w:p w14:paraId="2B20E491" w14:textId="1A4647DE" w:rsidR="00316A6C" w:rsidRPr="0088307E" w:rsidRDefault="00316A6C" w:rsidP="004B2F70">
      <w:pPr>
        <w:numPr>
          <w:ilvl w:val="0"/>
          <w:numId w:val="20"/>
        </w:numPr>
        <w:spacing w:before="120" w:after="80" w:line="240" w:lineRule="auto"/>
        <w:ind w:left="567" w:hanging="283"/>
        <w:rPr>
          <w:rFonts w:eastAsia="Times New Roman" w:cs="Times New Roman"/>
          <w:szCs w:val="24"/>
          <w:lang w:eastAsia="cs-CZ"/>
        </w:rPr>
      </w:pPr>
      <w:r w:rsidRPr="0088307E">
        <w:rPr>
          <w:rFonts w:eastAsia="Times New Roman" w:cs="Times New Roman"/>
          <w:szCs w:val="24"/>
          <w:lang w:eastAsia="cs-CZ"/>
        </w:rPr>
        <w:t>127 06 „Rozvoj a obnova materiálně technické zákla</w:t>
      </w:r>
      <w:r w:rsidR="00C476BB">
        <w:rPr>
          <w:rFonts w:eastAsia="Times New Roman" w:cs="Times New Roman"/>
          <w:szCs w:val="24"/>
          <w:lang w:eastAsia="cs-CZ"/>
        </w:rPr>
        <w:t xml:space="preserve">dny systému řízení MD-PO, </w:t>
      </w:r>
      <w:r w:rsidRPr="0088307E">
        <w:rPr>
          <w:rFonts w:eastAsia="Times New Roman" w:cs="Times New Roman"/>
          <w:szCs w:val="24"/>
          <w:lang w:eastAsia="cs-CZ"/>
        </w:rPr>
        <w:t>SFDI“;</w:t>
      </w:r>
    </w:p>
    <w:p w14:paraId="27ED51D0" w14:textId="77777777" w:rsidR="00316A6C" w:rsidRPr="0088307E" w:rsidRDefault="00316A6C" w:rsidP="004B2F70">
      <w:pPr>
        <w:numPr>
          <w:ilvl w:val="0"/>
          <w:numId w:val="20"/>
        </w:numPr>
        <w:spacing w:before="120" w:after="80" w:line="240" w:lineRule="auto"/>
        <w:ind w:left="567" w:hanging="283"/>
        <w:rPr>
          <w:rFonts w:eastAsia="Times New Roman" w:cs="Times New Roman"/>
          <w:szCs w:val="24"/>
          <w:lang w:eastAsia="cs-CZ"/>
        </w:rPr>
      </w:pPr>
      <w:r w:rsidRPr="0088307E">
        <w:rPr>
          <w:rFonts w:eastAsia="Times New Roman" w:cs="Times New Roman"/>
          <w:szCs w:val="24"/>
          <w:lang w:eastAsia="cs-CZ"/>
        </w:rPr>
        <w:t>127 77 „Podpora financování dopravy“</w:t>
      </w:r>
    </w:p>
    <w:p w14:paraId="24D0A439" w14:textId="77777777" w:rsidR="00704C31" w:rsidRPr="00AD7CE0" w:rsidRDefault="00704C31" w:rsidP="00704C31">
      <w:pPr>
        <w:spacing w:before="240" w:after="240" w:line="240" w:lineRule="auto"/>
        <w:rPr>
          <w:rFonts w:eastAsia="Times New Roman" w:cs="Times New Roman"/>
          <w:iCs/>
          <w:szCs w:val="24"/>
          <w:lang w:eastAsia="cs-CZ"/>
        </w:rPr>
      </w:pPr>
      <w:r w:rsidRPr="00AD7CE0">
        <w:rPr>
          <w:rFonts w:eastAsia="Times New Roman" w:cs="Times New Roman"/>
          <w:iCs/>
          <w:szCs w:val="24"/>
          <w:lang w:eastAsia="cs-CZ"/>
        </w:rPr>
        <w:t>Finanční prostředky jsou</w:t>
      </w:r>
      <w:r>
        <w:rPr>
          <w:rFonts w:eastAsia="Times New Roman" w:cs="Times New Roman"/>
          <w:iCs/>
          <w:szCs w:val="24"/>
          <w:lang w:eastAsia="cs-CZ"/>
        </w:rPr>
        <w:t xml:space="preserve"> v rámci programu </w:t>
      </w:r>
      <w:r w:rsidRPr="00EA651D">
        <w:rPr>
          <w:rFonts w:eastAsia="Times New Roman" w:cs="Times New Roman"/>
          <w:b/>
          <w:iCs/>
          <w:szCs w:val="24"/>
          <w:lang w:eastAsia="cs-CZ"/>
        </w:rPr>
        <w:t>127 77 „Podpora financování dopravy“</w:t>
      </w:r>
      <w:r w:rsidRPr="00AD7CE0">
        <w:rPr>
          <w:rFonts w:eastAsia="Times New Roman" w:cs="Times New Roman"/>
          <w:iCs/>
          <w:szCs w:val="24"/>
          <w:lang w:eastAsia="cs-CZ"/>
        </w:rPr>
        <w:t xml:space="preserve"> určeny:</w:t>
      </w:r>
    </w:p>
    <w:p w14:paraId="7338D986" w14:textId="13547141" w:rsidR="00704C31" w:rsidRPr="00BE6B6C" w:rsidRDefault="00704C31" w:rsidP="0088307E">
      <w:pPr>
        <w:numPr>
          <w:ilvl w:val="0"/>
          <w:numId w:val="41"/>
        </w:numPr>
        <w:spacing w:before="120" w:after="120" w:line="240" w:lineRule="auto"/>
        <w:rPr>
          <w:rFonts w:eastAsia="Times New Roman" w:cs="Times New Roman"/>
          <w:iCs/>
          <w:szCs w:val="24"/>
          <w:lang w:eastAsia="cs-CZ"/>
        </w:rPr>
      </w:pPr>
      <w:r w:rsidRPr="00BE6B6C">
        <w:rPr>
          <w:rFonts w:eastAsia="Times New Roman" w:cs="Times New Roman"/>
          <w:iCs/>
          <w:szCs w:val="24"/>
          <w:lang w:eastAsia="cs-CZ"/>
        </w:rPr>
        <w:t>na krytí deficitu</w:t>
      </w:r>
      <w:r>
        <w:rPr>
          <w:rFonts w:eastAsia="Times New Roman" w:cs="Times New Roman"/>
          <w:iCs/>
          <w:szCs w:val="24"/>
          <w:lang w:eastAsia="cs-CZ"/>
        </w:rPr>
        <w:t xml:space="preserve"> příjmů a výdajů rozpočtu</w:t>
      </w:r>
      <w:r w:rsidRPr="00BE6B6C">
        <w:rPr>
          <w:rFonts w:eastAsia="Times New Roman" w:cs="Times New Roman"/>
          <w:iCs/>
          <w:szCs w:val="24"/>
          <w:lang w:eastAsia="cs-CZ"/>
        </w:rPr>
        <w:t xml:space="preserve"> SFDI</w:t>
      </w:r>
      <w:r>
        <w:rPr>
          <w:rFonts w:eastAsia="Times New Roman" w:cs="Times New Roman"/>
          <w:iCs/>
          <w:szCs w:val="24"/>
          <w:lang w:eastAsia="cs-CZ"/>
        </w:rPr>
        <w:t xml:space="preserve"> ve výši </w:t>
      </w:r>
      <w:r w:rsidRPr="00BE6B6C">
        <w:rPr>
          <w:rFonts w:eastAsia="Times New Roman" w:cs="Times New Roman"/>
          <w:iCs/>
          <w:szCs w:val="24"/>
          <w:lang w:eastAsia="cs-CZ"/>
        </w:rPr>
        <w:t>62 277 594 tis. Kč</w:t>
      </w:r>
      <w:r>
        <w:rPr>
          <w:rFonts w:eastAsia="Times New Roman" w:cs="Times New Roman"/>
          <w:iCs/>
          <w:szCs w:val="24"/>
          <w:lang w:eastAsia="cs-CZ"/>
        </w:rPr>
        <w:t xml:space="preserve">                                                      </w:t>
      </w:r>
      <w:r w:rsidRPr="00BE6B6C">
        <w:rPr>
          <w:rFonts w:eastAsia="Times New Roman" w:cs="Times New Roman"/>
          <w:iCs/>
          <w:szCs w:val="24"/>
          <w:lang w:eastAsia="cs-CZ"/>
        </w:rPr>
        <w:t xml:space="preserve"> (v tom: investiční prostředky ve výši 45 854 594 tis. Kč, neinvestiční prostředky ve výši 16 423 000 tis. Kč)</w:t>
      </w:r>
      <w:r>
        <w:rPr>
          <w:rFonts w:eastAsia="Times New Roman" w:cs="Times New Roman"/>
          <w:iCs/>
          <w:szCs w:val="24"/>
          <w:lang w:eastAsia="cs-CZ"/>
        </w:rPr>
        <w:t>,</w:t>
      </w:r>
    </w:p>
    <w:p w14:paraId="66FDDA12" w14:textId="77777777" w:rsidR="00704C31" w:rsidRPr="00BE6B6C" w:rsidRDefault="00704C31" w:rsidP="0088307E">
      <w:pPr>
        <w:numPr>
          <w:ilvl w:val="0"/>
          <w:numId w:val="41"/>
        </w:numPr>
        <w:spacing w:before="120" w:after="120" w:line="240" w:lineRule="auto"/>
        <w:rPr>
          <w:rFonts w:eastAsia="Times New Roman" w:cs="Times New Roman"/>
          <w:iCs/>
          <w:szCs w:val="24"/>
          <w:lang w:eastAsia="cs-CZ"/>
        </w:rPr>
      </w:pPr>
      <w:r w:rsidRPr="00BE6B6C">
        <w:rPr>
          <w:rFonts w:eastAsia="Times New Roman" w:cs="Times New Roman"/>
          <w:iCs/>
          <w:szCs w:val="24"/>
          <w:lang w:eastAsia="cs-CZ"/>
        </w:rPr>
        <w:t>na projekty spolufinancované z úvěru EIB</w:t>
      </w:r>
      <w:r>
        <w:rPr>
          <w:rFonts w:eastAsia="Times New Roman" w:cs="Times New Roman"/>
          <w:iCs/>
          <w:szCs w:val="24"/>
          <w:lang w:eastAsia="cs-CZ"/>
        </w:rPr>
        <w:t xml:space="preserve"> ve výši 2 547 406 tis. Kč</w:t>
      </w:r>
      <w:r w:rsidRPr="00BE6B6C">
        <w:rPr>
          <w:rFonts w:eastAsia="Times New Roman" w:cs="Times New Roman"/>
          <w:iCs/>
          <w:szCs w:val="24"/>
          <w:lang w:eastAsia="cs-CZ"/>
        </w:rPr>
        <w:t xml:space="preserve"> (investiční prostředky),</w:t>
      </w:r>
    </w:p>
    <w:p w14:paraId="33A3D010" w14:textId="77777777" w:rsidR="00704C31" w:rsidRPr="00BE6B6C" w:rsidRDefault="00704C31" w:rsidP="0088307E">
      <w:pPr>
        <w:keepLines/>
        <w:numPr>
          <w:ilvl w:val="0"/>
          <w:numId w:val="41"/>
        </w:numPr>
        <w:spacing w:before="120" w:line="276" w:lineRule="auto"/>
        <w:rPr>
          <w:rFonts w:eastAsia="Times New Roman" w:cs="Times New Roman"/>
          <w:iCs/>
          <w:szCs w:val="24"/>
          <w:lang w:eastAsia="cs-CZ"/>
        </w:rPr>
      </w:pPr>
      <w:r w:rsidRPr="00BE6B6C">
        <w:rPr>
          <w:rFonts w:eastAsia="Times New Roman" w:cs="Times New Roman"/>
          <w:iCs/>
          <w:szCs w:val="24"/>
          <w:lang w:eastAsia="cs-CZ"/>
        </w:rPr>
        <w:t>na společné projekty EU a ČR</w:t>
      </w:r>
      <w:r>
        <w:rPr>
          <w:rFonts w:eastAsia="Times New Roman" w:cs="Times New Roman"/>
          <w:iCs/>
          <w:szCs w:val="24"/>
          <w:lang w:eastAsia="cs-CZ"/>
        </w:rPr>
        <w:t xml:space="preserve"> ve výši 4 250 796 tis. Kč</w:t>
      </w:r>
      <w:r w:rsidRPr="00BE6B6C">
        <w:rPr>
          <w:rFonts w:eastAsia="Times New Roman" w:cs="Times New Roman"/>
          <w:iCs/>
          <w:szCs w:val="24"/>
          <w:lang w:eastAsia="cs-CZ"/>
        </w:rPr>
        <w:t xml:space="preserve"> (</w:t>
      </w:r>
      <w:r>
        <w:rPr>
          <w:rFonts w:eastAsia="Times New Roman" w:cs="Times New Roman"/>
          <w:iCs/>
          <w:szCs w:val="24"/>
          <w:lang w:eastAsia="cs-CZ"/>
        </w:rPr>
        <w:t>investiční prostředky</w:t>
      </w:r>
      <w:r w:rsidRPr="00BE6B6C">
        <w:rPr>
          <w:rFonts w:eastAsia="Times New Roman" w:cs="Times New Roman"/>
          <w:iCs/>
          <w:szCs w:val="24"/>
          <w:lang w:eastAsia="cs-CZ"/>
        </w:rPr>
        <w:t xml:space="preserve">) </w:t>
      </w:r>
    </w:p>
    <w:p w14:paraId="2E71C264" w14:textId="77777777" w:rsidR="00704C31" w:rsidRPr="00BE6B6C" w:rsidRDefault="00704C31" w:rsidP="0088307E">
      <w:pPr>
        <w:pStyle w:val="Styl1"/>
        <w:spacing w:before="0" w:after="80"/>
        <w:ind w:left="425"/>
      </w:pPr>
      <w:r>
        <w:t xml:space="preserve">      </w:t>
      </w:r>
      <w:r w:rsidRPr="00BE6B6C">
        <w:t>v tom:</w:t>
      </w:r>
    </w:p>
    <w:p w14:paraId="5D3B423B" w14:textId="77777777" w:rsidR="00704C31" w:rsidRPr="00BE6B6C" w:rsidRDefault="00704C31" w:rsidP="0088307E">
      <w:pPr>
        <w:numPr>
          <w:ilvl w:val="0"/>
          <w:numId w:val="42"/>
        </w:numPr>
        <w:tabs>
          <w:tab w:val="clear" w:pos="720"/>
          <w:tab w:val="num" w:pos="1418"/>
        </w:tabs>
        <w:spacing w:before="120" w:line="240" w:lineRule="auto"/>
        <w:ind w:left="1134" w:hanging="294"/>
        <w:rPr>
          <w:rFonts w:eastAsia="Times New Roman" w:cs="Times New Roman"/>
          <w:szCs w:val="24"/>
          <w:lang w:eastAsia="cs-CZ"/>
        </w:rPr>
      </w:pPr>
      <w:r w:rsidRPr="00BE6B6C">
        <w:rPr>
          <w:rFonts w:eastAsia="Times New Roman" w:cs="Times New Roman"/>
          <w:szCs w:val="24"/>
          <w:lang w:eastAsia="cs-CZ"/>
        </w:rPr>
        <w:t>618 117 tis. Kč na Operační program Doprava 2014</w:t>
      </w:r>
      <w:r>
        <w:rPr>
          <w:rFonts w:eastAsia="Times New Roman" w:cs="Times New Roman"/>
          <w:szCs w:val="24"/>
          <w:lang w:eastAsia="cs-CZ"/>
        </w:rPr>
        <w:t>+ (</w:t>
      </w:r>
      <w:r w:rsidRPr="00BE6B6C">
        <w:rPr>
          <w:rFonts w:eastAsia="Times New Roman" w:cs="Times New Roman"/>
          <w:szCs w:val="24"/>
          <w:lang w:eastAsia="cs-CZ"/>
        </w:rPr>
        <w:t>ERDF</w:t>
      </w:r>
      <w:r>
        <w:rPr>
          <w:rFonts w:eastAsia="Times New Roman" w:cs="Times New Roman"/>
          <w:szCs w:val="24"/>
          <w:lang w:eastAsia="cs-CZ"/>
        </w:rPr>
        <w:t>),</w:t>
      </w:r>
      <w:r w:rsidRPr="00BE6B6C">
        <w:rPr>
          <w:rFonts w:eastAsia="Times New Roman" w:cs="Times New Roman"/>
          <w:szCs w:val="24"/>
          <w:lang w:eastAsia="cs-CZ"/>
        </w:rPr>
        <w:t xml:space="preserve"> </w:t>
      </w:r>
    </w:p>
    <w:p w14:paraId="4568AB59" w14:textId="77777777" w:rsidR="00704C31" w:rsidRPr="00BE6B6C" w:rsidRDefault="00704C31" w:rsidP="0088307E">
      <w:pPr>
        <w:numPr>
          <w:ilvl w:val="0"/>
          <w:numId w:val="42"/>
        </w:numPr>
        <w:tabs>
          <w:tab w:val="clear" w:pos="720"/>
          <w:tab w:val="num" w:pos="1418"/>
        </w:tabs>
        <w:spacing w:before="120" w:line="240" w:lineRule="auto"/>
        <w:ind w:left="1134" w:hanging="294"/>
        <w:rPr>
          <w:rFonts w:eastAsia="Times New Roman" w:cs="Times New Roman"/>
          <w:szCs w:val="24"/>
          <w:lang w:eastAsia="cs-CZ"/>
        </w:rPr>
      </w:pPr>
      <w:r w:rsidRPr="00BE6B6C">
        <w:rPr>
          <w:rFonts w:eastAsia="Times New Roman" w:cs="Times New Roman"/>
          <w:szCs w:val="24"/>
          <w:lang w:eastAsia="cs-CZ"/>
        </w:rPr>
        <w:t>1 137 000 tis. Kč na Operační program Doprava 2014</w:t>
      </w:r>
      <w:r>
        <w:rPr>
          <w:rFonts w:eastAsia="Times New Roman" w:cs="Times New Roman"/>
          <w:szCs w:val="24"/>
          <w:lang w:eastAsia="cs-CZ"/>
        </w:rPr>
        <w:t>+ (</w:t>
      </w:r>
      <w:r w:rsidRPr="00BE6B6C">
        <w:rPr>
          <w:rFonts w:eastAsia="Times New Roman" w:cs="Times New Roman"/>
          <w:szCs w:val="24"/>
          <w:lang w:eastAsia="cs-CZ"/>
        </w:rPr>
        <w:t>CF</w:t>
      </w:r>
      <w:r>
        <w:rPr>
          <w:rFonts w:eastAsia="Times New Roman" w:cs="Times New Roman"/>
          <w:szCs w:val="24"/>
          <w:lang w:eastAsia="cs-CZ"/>
        </w:rPr>
        <w:t>),</w:t>
      </w:r>
      <w:r w:rsidRPr="00BE6B6C">
        <w:rPr>
          <w:rFonts w:eastAsia="Times New Roman" w:cs="Times New Roman"/>
          <w:szCs w:val="24"/>
          <w:lang w:eastAsia="cs-CZ"/>
        </w:rPr>
        <w:t xml:space="preserve"> </w:t>
      </w:r>
    </w:p>
    <w:p w14:paraId="5B824DF9" w14:textId="77777777" w:rsidR="00704C31" w:rsidRPr="00BE6B6C" w:rsidRDefault="00704C31" w:rsidP="0088307E">
      <w:pPr>
        <w:numPr>
          <w:ilvl w:val="0"/>
          <w:numId w:val="42"/>
        </w:numPr>
        <w:tabs>
          <w:tab w:val="clear" w:pos="720"/>
          <w:tab w:val="num" w:pos="1418"/>
        </w:tabs>
        <w:spacing w:before="120" w:line="240" w:lineRule="auto"/>
        <w:ind w:left="1134" w:hanging="294"/>
        <w:rPr>
          <w:rFonts w:eastAsia="Times New Roman" w:cs="Times New Roman"/>
          <w:szCs w:val="24"/>
          <w:lang w:eastAsia="cs-CZ"/>
        </w:rPr>
      </w:pPr>
      <w:r w:rsidRPr="00BE6B6C">
        <w:rPr>
          <w:rFonts w:eastAsia="Times New Roman" w:cs="Times New Roman"/>
          <w:szCs w:val="24"/>
          <w:lang w:eastAsia="cs-CZ"/>
        </w:rPr>
        <w:t>2 495 679 tis. Kč na Komunitární programy –</w:t>
      </w:r>
      <w:r>
        <w:rPr>
          <w:rFonts w:eastAsia="Times New Roman" w:cs="Times New Roman"/>
          <w:szCs w:val="24"/>
          <w:lang w:eastAsia="cs-CZ"/>
        </w:rPr>
        <w:t xml:space="preserve"> </w:t>
      </w:r>
      <w:r w:rsidRPr="00BE6B6C">
        <w:rPr>
          <w:rFonts w:eastAsia="Times New Roman" w:cs="Times New Roman"/>
          <w:szCs w:val="24"/>
          <w:lang w:eastAsia="cs-CZ"/>
        </w:rPr>
        <w:t>Nástroj pro propojení Evropy 2014+ - CEF</w:t>
      </w:r>
      <w:r>
        <w:rPr>
          <w:rFonts w:eastAsia="Times New Roman" w:cs="Times New Roman"/>
          <w:szCs w:val="24"/>
          <w:lang w:eastAsia="cs-CZ"/>
        </w:rPr>
        <w:t>.</w:t>
      </w:r>
      <w:r w:rsidRPr="00BE6B6C">
        <w:rPr>
          <w:rFonts w:eastAsia="Times New Roman" w:cs="Times New Roman"/>
          <w:szCs w:val="24"/>
          <w:lang w:eastAsia="cs-CZ"/>
        </w:rPr>
        <w:t xml:space="preserve"> </w:t>
      </w:r>
    </w:p>
    <w:p w14:paraId="3F03FC10" w14:textId="77777777" w:rsidR="00A36B40" w:rsidRPr="0088307E" w:rsidRDefault="003870F8" w:rsidP="00D00A45">
      <w:pPr>
        <w:pStyle w:val="Nadpis3"/>
      </w:pPr>
      <w:bookmarkStart w:id="237" w:name="_Toc115787318"/>
      <w:bookmarkStart w:id="238" w:name="_Toc115787908"/>
      <w:bookmarkStart w:id="239" w:name="_Toc115787319"/>
      <w:bookmarkStart w:id="240" w:name="_Toc115787909"/>
      <w:bookmarkStart w:id="241" w:name="_Toc115787320"/>
      <w:bookmarkStart w:id="242" w:name="_Toc115787910"/>
      <w:bookmarkStart w:id="243" w:name="_Toc115787321"/>
      <w:bookmarkStart w:id="244" w:name="_Toc115787911"/>
      <w:bookmarkStart w:id="245" w:name="_Toc115787322"/>
      <w:bookmarkStart w:id="246" w:name="_Toc115787912"/>
      <w:bookmarkStart w:id="247" w:name="_Toc115787323"/>
      <w:bookmarkStart w:id="248" w:name="_Toc115787913"/>
      <w:bookmarkStart w:id="249" w:name="_Toc115787324"/>
      <w:bookmarkStart w:id="250" w:name="_Toc115787914"/>
      <w:bookmarkStart w:id="251" w:name="_Toc115787325"/>
      <w:bookmarkStart w:id="252" w:name="_Toc115787915"/>
      <w:bookmarkStart w:id="253" w:name="_Toc11578791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r w:rsidRPr="0088307E">
        <w:t>Neziskové a podobné organizace</w:t>
      </w:r>
      <w:bookmarkEnd w:id="253"/>
    </w:p>
    <w:p w14:paraId="1FE3921D" w14:textId="1A95B23E" w:rsidR="004B2F70" w:rsidRDefault="004B2F70" w:rsidP="004B2F70">
      <w:pPr>
        <w:pStyle w:val="Styl1"/>
      </w:pPr>
      <w:bookmarkStart w:id="254" w:name="_Toc462314408"/>
      <w:r w:rsidRPr="0088307E">
        <w:t xml:space="preserve">Od  roku  2017  jsou  neziskovým a podobným organizacím poskytovány prostředky v rámci programu </w:t>
      </w:r>
      <w:r w:rsidRPr="0088307E">
        <w:rPr>
          <w:b/>
        </w:rPr>
        <w:t>127 66 „Podpora obnovy historických železničních kolejových vozidel v období 2017-2020“.</w:t>
      </w:r>
      <w:r w:rsidR="005C67B9" w:rsidRPr="0088307E">
        <w:t xml:space="preserve"> </w:t>
      </w:r>
      <w:r w:rsidRPr="0088307E">
        <w:t xml:space="preserve">Pro rok </w:t>
      </w:r>
      <w:r w:rsidR="005C67B9" w:rsidRPr="0088307E">
        <w:t xml:space="preserve">2023 </w:t>
      </w:r>
      <w:r w:rsidRPr="0088307E">
        <w:t xml:space="preserve">jsou prostředky určené na stejný účel rozpočtovány v rámci podnikatelských subjektů a nového programu </w:t>
      </w:r>
      <w:r w:rsidRPr="0088307E">
        <w:rPr>
          <w:b/>
        </w:rPr>
        <w:t>127 67 „Podpora obnovy historických železničních kolejových vozidel v období 2021-2023“</w:t>
      </w:r>
      <w:r w:rsidRPr="0088307E">
        <w:t>.</w:t>
      </w:r>
      <w:r w:rsidRPr="0088307E">
        <w:rPr>
          <w:b/>
        </w:rPr>
        <w:t xml:space="preserve"> </w:t>
      </w:r>
      <w:r w:rsidRPr="0088307E">
        <w:t xml:space="preserve">Druhové členění vykazuje následující tabulka.  </w:t>
      </w:r>
    </w:p>
    <w:p w14:paraId="7BE3B003" w14:textId="58467B1E" w:rsidR="00BC5D6F" w:rsidRDefault="00BC5D6F" w:rsidP="004B2F70">
      <w:pPr>
        <w:pStyle w:val="Styl1"/>
      </w:pPr>
    </w:p>
    <w:p w14:paraId="22EE24E3" w14:textId="778118F5" w:rsidR="00BC5D6F" w:rsidRDefault="00BC5D6F" w:rsidP="004B2F70">
      <w:pPr>
        <w:pStyle w:val="Styl1"/>
      </w:pPr>
    </w:p>
    <w:p w14:paraId="2EA76D69" w14:textId="77777777" w:rsidR="00BC5D6F" w:rsidRDefault="00BC5D6F" w:rsidP="004B2F70">
      <w:pPr>
        <w:pStyle w:val="Styl1"/>
      </w:pPr>
    </w:p>
    <w:p w14:paraId="78691EA0" w14:textId="54AE6490" w:rsidR="004B2F70" w:rsidRPr="0088307E" w:rsidRDefault="004B2F70" w:rsidP="004B2F70">
      <w:pPr>
        <w:pStyle w:val="Titulek"/>
      </w:pPr>
      <w:r w:rsidRPr="0088307E">
        <w:t xml:space="preserve">Tabulka č. </w:t>
      </w:r>
      <w:r w:rsidRPr="0088307E">
        <w:rPr>
          <w:noProof/>
        </w:rPr>
        <w:fldChar w:fldCharType="begin"/>
      </w:r>
      <w:r w:rsidRPr="0088307E">
        <w:rPr>
          <w:noProof/>
        </w:rPr>
        <w:instrText xml:space="preserve"> SEQ Tabulka \* ARABIC </w:instrText>
      </w:r>
      <w:r w:rsidRPr="0088307E">
        <w:rPr>
          <w:noProof/>
        </w:rPr>
        <w:fldChar w:fldCharType="separate"/>
      </w:r>
      <w:r w:rsidR="00F80947">
        <w:rPr>
          <w:noProof/>
        </w:rPr>
        <w:t>38</w:t>
      </w:r>
      <w:r w:rsidRPr="0088307E">
        <w:rPr>
          <w:noProof/>
        </w:rPr>
        <w:fldChar w:fldCharType="end"/>
      </w:r>
      <w:r w:rsidRPr="0088307E">
        <w:rPr>
          <w:noProof/>
        </w:rPr>
        <w:t xml:space="preserve"> Výdaje neziskovým a podobným organizacím  vedené v EDS/SMVS (v tis. Kč)</w:t>
      </w:r>
    </w:p>
    <w:tbl>
      <w:tblPr>
        <w:tblW w:w="5002"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3910"/>
        <w:gridCol w:w="1331"/>
        <w:gridCol w:w="1362"/>
        <w:gridCol w:w="1384"/>
        <w:gridCol w:w="1068"/>
      </w:tblGrid>
      <w:tr w:rsidR="00E8518E" w:rsidRPr="00E8518E" w14:paraId="344C0C1B" w14:textId="77777777" w:rsidTr="00205273">
        <w:tc>
          <w:tcPr>
            <w:tcW w:w="2159" w:type="pct"/>
            <w:tcBorders>
              <w:top w:val="single" w:sz="8" w:space="0" w:color="7F7F7F" w:themeColor="text1" w:themeTint="80"/>
              <w:left w:val="single" w:sz="8" w:space="0" w:color="7F7F7F" w:themeColor="text1" w:themeTint="80"/>
              <w:bottom w:val="single" w:sz="4" w:space="0" w:color="auto"/>
              <w:right w:val="single" w:sz="4" w:space="0" w:color="auto"/>
            </w:tcBorders>
            <w:shd w:val="thinReverseDiagStripe" w:color="D9D9D9" w:themeColor="background1" w:themeShade="D9" w:fill="FFFFFF" w:themeFill="background1"/>
            <w:vAlign w:val="center"/>
          </w:tcPr>
          <w:p w14:paraId="73C8D3E3" w14:textId="77777777" w:rsidR="004B2F70" w:rsidRPr="0088307E" w:rsidRDefault="004B2F70" w:rsidP="00205273">
            <w:pPr>
              <w:spacing w:line="240" w:lineRule="auto"/>
              <w:jc w:val="center"/>
              <w:rPr>
                <w:rFonts w:eastAsia="Times New Roman" w:cs="Times New Roman"/>
                <w:b/>
                <w:lang w:eastAsia="cs-CZ"/>
              </w:rPr>
            </w:pPr>
            <w:r w:rsidRPr="0088307E">
              <w:rPr>
                <w:rFonts w:eastAsia="Times New Roman" w:cs="Times New Roman"/>
                <w:b/>
                <w:lang w:eastAsia="cs-CZ"/>
              </w:rPr>
              <w:t>Ukazatel</w:t>
            </w:r>
          </w:p>
        </w:tc>
        <w:tc>
          <w:tcPr>
            <w:tcW w:w="735"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7A759DBA" w14:textId="77777777" w:rsidR="004B2F70" w:rsidRPr="0088307E" w:rsidRDefault="004B2F70" w:rsidP="00205273">
            <w:pPr>
              <w:jc w:val="center"/>
              <w:rPr>
                <w:rFonts w:eastAsia="Times New Roman" w:cs="Times New Roman"/>
                <w:b/>
                <w:lang w:eastAsia="cs-CZ"/>
              </w:rPr>
            </w:pPr>
            <w:r w:rsidRPr="0088307E">
              <w:rPr>
                <w:rFonts w:eastAsia="Times New Roman" w:cs="Times New Roman"/>
                <w:b/>
                <w:lang w:eastAsia="cs-CZ"/>
              </w:rPr>
              <w:t>Skutečnost</w:t>
            </w:r>
          </w:p>
          <w:p w14:paraId="0D30E8ED" w14:textId="057D0D8D" w:rsidR="004B2F70" w:rsidRPr="0088307E" w:rsidRDefault="004B2F70">
            <w:pPr>
              <w:jc w:val="center"/>
              <w:rPr>
                <w:rFonts w:eastAsia="Times New Roman" w:cs="Times New Roman"/>
                <w:b/>
                <w:lang w:eastAsia="cs-CZ"/>
              </w:rPr>
            </w:pPr>
            <w:r w:rsidRPr="0088307E">
              <w:rPr>
                <w:rFonts w:eastAsia="Times New Roman" w:cs="Times New Roman"/>
                <w:b/>
                <w:lang w:eastAsia="cs-CZ"/>
              </w:rPr>
              <w:t xml:space="preserve"> </w:t>
            </w:r>
            <w:r w:rsidR="005C67B9" w:rsidRPr="0088307E">
              <w:rPr>
                <w:rFonts w:eastAsia="Times New Roman" w:cs="Times New Roman"/>
                <w:b/>
                <w:lang w:eastAsia="cs-CZ"/>
              </w:rPr>
              <w:t>2021</w:t>
            </w:r>
          </w:p>
        </w:tc>
        <w:tc>
          <w:tcPr>
            <w:tcW w:w="752"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2864856B" w14:textId="77777777" w:rsidR="004B2F70" w:rsidRPr="0088307E" w:rsidRDefault="004B2F70" w:rsidP="00205273">
            <w:pPr>
              <w:jc w:val="center"/>
              <w:rPr>
                <w:rFonts w:eastAsia="Times New Roman" w:cs="Times New Roman"/>
                <w:b/>
                <w:lang w:eastAsia="cs-CZ"/>
              </w:rPr>
            </w:pPr>
            <w:r w:rsidRPr="0088307E">
              <w:rPr>
                <w:rFonts w:eastAsia="Times New Roman" w:cs="Times New Roman"/>
                <w:b/>
                <w:lang w:eastAsia="cs-CZ"/>
              </w:rPr>
              <w:t>Schválený rozpočet</w:t>
            </w:r>
          </w:p>
          <w:p w14:paraId="335F31FD" w14:textId="297D872E" w:rsidR="004B2F70" w:rsidRPr="0088307E" w:rsidRDefault="004B2F70">
            <w:pPr>
              <w:jc w:val="center"/>
              <w:rPr>
                <w:rFonts w:eastAsia="Times New Roman" w:cs="Times New Roman"/>
                <w:b/>
                <w:lang w:eastAsia="cs-CZ"/>
              </w:rPr>
            </w:pPr>
            <w:r w:rsidRPr="0088307E">
              <w:rPr>
                <w:rFonts w:eastAsia="Times New Roman" w:cs="Times New Roman"/>
                <w:b/>
                <w:lang w:eastAsia="cs-CZ"/>
              </w:rPr>
              <w:t xml:space="preserve"> </w:t>
            </w:r>
            <w:r w:rsidR="005C67B9" w:rsidRPr="0088307E">
              <w:rPr>
                <w:rFonts w:eastAsia="Times New Roman" w:cs="Times New Roman"/>
                <w:b/>
                <w:lang w:eastAsia="cs-CZ"/>
              </w:rPr>
              <w:t>2022</w:t>
            </w:r>
          </w:p>
        </w:tc>
        <w:tc>
          <w:tcPr>
            <w:tcW w:w="764" w:type="pct"/>
            <w:tcBorders>
              <w:top w:val="single" w:sz="8" w:space="0" w:color="7F7F7F" w:themeColor="text1" w:themeTint="80"/>
              <w:left w:val="single" w:sz="4" w:space="0" w:color="auto"/>
              <w:bottom w:val="single" w:sz="4" w:space="0" w:color="auto"/>
              <w:right w:val="single" w:sz="4" w:space="0" w:color="auto"/>
            </w:tcBorders>
            <w:shd w:val="thinReverseDiagStripe" w:color="D9D9D9" w:themeColor="background1" w:themeShade="D9" w:fill="FFFFFF" w:themeFill="background1"/>
            <w:vAlign w:val="center"/>
          </w:tcPr>
          <w:p w14:paraId="660D81C3" w14:textId="77777777" w:rsidR="004B2F70" w:rsidRPr="0088307E" w:rsidRDefault="004B2F70" w:rsidP="00205273">
            <w:pPr>
              <w:jc w:val="center"/>
              <w:rPr>
                <w:rFonts w:eastAsia="Times New Roman" w:cs="Times New Roman"/>
                <w:b/>
                <w:lang w:eastAsia="cs-CZ"/>
              </w:rPr>
            </w:pPr>
            <w:r w:rsidRPr="0088307E">
              <w:rPr>
                <w:rFonts w:eastAsia="Times New Roman" w:cs="Times New Roman"/>
                <w:b/>
                <w:lang w:eastAsia="cs-CZ"/>
              </w:rPr>
              <w:t>Návrh</w:t>
            </w:r>
          </w:p>
          <w:p w14:paraId="2F38014A" w14:textId="77777777" w:rsidR="004B2F70" w:rsidRPr="0088307E" w:rsidRDefault="004B2F70" w:rsidP="00205273">
            <w:pPr>
              <w:jc w:val="center"/>
              <w:rPr>
                <w:rFonts w:eastAsia="Times New Roman" w:cs="Times New Roman"/>
                <w:b/>
                <w:lang w:eastAsia="cs-CZ"/>
              </w:rPr>
            </w:pPr>
            <w:r w:rsidRPr="0088307E">
              <w:rPr>
                <w:rFonts w:eastAsia="Times New Roman" w:cs="Times New Roman"/>
                <w:b/>
                <w:lang w:eastAsia="cs-CZ"/>
              </w:rPr>
              <w:t>rozpočtu</w:t>
            </w:r>
          </w:p>
          <w:p w14:paraId="1296397F" w14:textId="4FB7C8F3" w:rsidR="004B2F70" w:rsidRPr="0088307E" w:rsidRDefault="004B2F70">
            <w:pPr>
              <w:jc w:val="center"/>
              <w:rPr>
                <w:rFonts w:eastAsia="Times New Roman" w:cs="Times New Roman"/>
                <w:b/>
                <w:lang w:eastAsia="cs-CZ"/>
              </w:rPr>
            </w:pPr>
            <w:r w:rsidRPr="0088307E">
              <w:rPr>
                <w:rFonts w:eastAsia="Times New Roman" w:cs="Times New Roman"/>
                <w:b/>
                <w:lang w:eastAsia="cs-CZ"/>
              </w:rPr>
              <w:t xml:space="preserve"> </w:t>
            </w:r>
            <w:r w:rsidR="005C67B9" w:rsidRPr="0088307E">
              <w:rPr>
                <w:rFonts w:eastAsia="Times New Roman" w:cs="Times New Roman"/>
                <w:b/>
                <w:lang w:eastAsia="cs-CZ"/>
              </w:rPr>
              <w:t>2023</w:t>
            </w:r>
          </w:p>
        </w:tc>
        <w:tc>
          <w:tcPr>
            <w:tcW w:w="590" w:type="pct"/>
            <w:tcBorders>
              <w:top w:val="single" w:sz="8" w:space="0" w:color="7F7F7F" w:themeColor="text1" w:themeTint="80"/>
              <w:left w:val="single" w:sz="4" w:space="0" w:color="auto"/>
              <w:bottom w:val="single" w:sz="4" w:space="0" w:color="auto"/>
              <w:right w:val="single" w:sz="8" w:space="0" w:color="7F7F7F" w:themeColor="text1" w:themeTint="80"/>
            </w:tcBorders>
            <w:shd w:val="thinReverseDiagStripe" w:color="D9D9D9" w:themeColor="background1" w:themeShade="D9" w:fill="FFFFFF" w:themeFill="background1"/>
            <w:vAlign w:val="center"/>
          </w:tcPr>
          <w:p w14:paraId="282866CC" w14:textId="77777777" w:rsidR="004B2F70" w:rsidRPr="0088307E" w:rsidRDefault="004B2F70" w:rsidP="00205273">
            <w:pPr>
              <w:jc w:val="center"/>
              <w:rPr>
                <w:rFonts w:eastAsia="Times New Roman" w:cs="Times New Roman"/>
                <w:b/>
                <w:lang w:eastAsia="cs-CZ"/>
              </w:rPr>
            </w:pPr>
            <w:r w:rsidRPr="0088307E">
              <w:rPr>
                <w:rFonts w:eastAsia="Times New Roman" w:cs="Times New Roman"/>
                <w:b/>
                <w:lang w:eastAsia="cs-CZ"/>
              </w:rPr>
              <w:t>Index</w:t>
            </w:r>
          </w:p>
          <w:p w14:paraId="30FC79A6" w14:textId="4BEE9675" w:rsidR="004B2F70" w:rsidRPr="0088307E" w:rsidRDefault="005C67B9" w:rsidP="00205273">
            <w:pPr>
              <w:jc w:val="center"/>
              <w:rPr>
                <w:rFonts w:eastAsia="Times New Roman" w:cs="Times New Roman"/>
                <w:b/>
                <w:lang w:eastAsia="cs-CZ"/>
              </w:rPr>
            </w:pPr>
            <w:r w:rsidRPr="0088307E">
              <w:rPr>
                <w:rFonts w:eastAsia="Times New Roman" w:cs="Times New Roman"/>
                <w:b/>
                <w:lang w:eastAsia="cs-CZ"/>
              </w:rPr>
              <w:t>2023</w:t>
            </w:r>
            <w:r w:rsidR="004B2F70" w:rsidRPr="0088307E">
              <w:rPr>
                <w:rFonts w:eastAsia="Times New Roman" w:cs="Times New Roman"/>
                <w:b/>
                <w:lang w:eastAsia="cs-CZ"/>
              </w:rPr>
              <w:t xml:space="preserve">/  </w:t>
            </w:r>
            <w:r w:rsidRPr="0088307E">
              <w:rPr>
                <w:rFonts w:eastAsia="Times New Roman" w:cs="Times New Roman"/>
                <w:b/>
                <w:lang w:eastAsia="cs-CZ"/>
              </w:rPr>
              <w:t xml:space="preserve">2022 </w:t>
            </w:r>
          </w:p>
          <w:p w14:paraId="60D3B177" w14:textId="77777777" w:rsidR="004B2F70" w:rsidRPr="0088307E" w:rsidRDefault="004B2F70" w:rsidP="00205273">
            <w:pPr>
              <w:jc w:val="center"/>
              <w:rPr>
                <w:rFonts w:eastAsia="Times New Roman" w:cs="Times New Roman"/>
                <w:b/>
                <w:lang w:eastAsia="cs-CZ"/>
              </w:rPr>
            </w:pPr>
            <w:r w:rsidRPr="0088307E">
              <w:rPr>
                <w:rFonts w:eastAsia="Times New Roman" w:cs="Times New Roman"/>
                <w:b/>
                <w:lang w:eastAsia="cs-CZ"/>
              </w:rPr>
              <w:t>(v %)</w:t>
            </w:r>
          </w:p>
        </w:tc>
      </w:tr>
      <w:tr w:rsidR="00E8518E" w:rsidRPr="00E8518E" w14:paraId="34BFE70F" w14:textId="77777777" w:rsidTr="00205273">
        <w:tc>
          <w:tcPr>
            <w:tcW w:w="2159" w:type="pct"/>
            <w:tcBorders>
              <w:top w:val="single" w:sz="4" w:space="0" w:color="auto"/>
              <w:left w:val="single" w:sz="8" w:space="0" w:color="7F7F7F" w:themeColor="text1" w:themeTint="80"/>
              <w:bottom w:val="single" w:sz="8" w:space="0" w:color="7F7F7F" w:themeColor="text1" w:themeTint="80"/>
              <w:right w:val="single" w:sz="4" w:space="0" w:color="auto"/>
            </w:tcBorders>
          </w:tcPr>
          <w:p w14:paraId="64793489" w14:textId="1B0ED1BC" w:rsidR="004B2F70" w:rsidRPr="0088307E" w:rsidRDefault="005C67B9">
            <w:pPr>
              <w:spacing w:line="240" w:lineRule="auto"/>
              <w:jc w:val="center"/>
              <w:rPr>
                <w:rFonts w:eastAsia="Times New Roman" w:cs="Times New Roman"/>
                <w:lang w:eastAsia="cs-CZ"/>
              </w:rPr>
            </w:pPr>
            <w:r w:rsidRPr="0088307E">
              <w:rPr>
                <w:rFonts w:eastAsia="Times New Roman" w:cs="Times New Roman"/>
                <w:lang w:eastAsia="cs-CZ"/>
              </w:rPr>
              <w:t>a</w:t>
            </w:r>
          </w:p>
        </w:tc>
        <w:tc>
          <w:tcPr>
            <w:tcW w:w="735" w:type="pct"/>
            <w:tcBorders>
              <w:top w:val="single" w:sz="4" w:space="0" w:color="auto"/>
              <w:left w:val="single" w:sz="4" w:space="0" w:color="auto"/>
              <w:bottom w:val="single" w:sz="8" w:space="0" w:color="7F7F7F" w:themeColor="text1" w:themeTint="80"/>
              <w:right w:val="single" w:sz="4" w:space="0" w:color="auto"/>
            </w:tcBorders>
          </w:tcPr>
          <w:p w14:paraId="18E1459C" w14:textId="77777777" w:rsidR="004B2F70" w:rsidRPr="0088307E" w:rsidRDefault="004B2F70" w:rsidP="00205273">
            <w:pPr>
              <w:spacing w:line="240" w:lineRule="auto"/>
              <w:jc w:val="center"/>
              <w:rPr>
                <w:rFonts w:eastAsia="Times New Roman" w:cs="Times New Roman"/>
                <w:lang w:eastAsia="cs-CZ"/>
              </w:rPr>
            </w:pPr>
            <w:r w:rsidRPr="0088307E">
              <w:rPr>
                <w:rFonts w:eastAsia="Times New Roman" w:cs="Times New Roman"/>
                <w:lang w:eastAsia="cs-CZ"/>
              </w:rPr>
              <w:t>1</w:t>
            </w:r>
          </w:p>
        </w:tc>
        <w:tc>
          <w:tcPr>
            <w:tcW w:w="752" w:type="pct"/>
            <w:tcBorders>
              <w:top w:val="single" w:sz="4" w:space="0" w:color="auto"/>
              <w:left w:val="single" w:sz="4" w:space="0" w:color="auto"/>
              <w:bottom w:val="single" w:sz="8" w:space="0" w:color="7F7F7F" w:themeColor="text1" w:themeTint="80"/>
              <w:right w:val="single" w:sz="4" w:space="0" w:color="auto"/>
            </w:tcBorders>
          </w:tcPr>
          <w:p w14:paraId="15384359" w14:textId="77777777" w:rsidR="004B2F70" w:rsidRPr="0088307E" w:rsidRDefault="004B2F70" w:rsidP="00205273">
            <w:pPr>
              <w:spacing w:line="240" w:lineRule="auto"/>
              <w:jc w:val="center"/>
              <w:rPr>
                <w:rFonts w:eastAsia="Times New Roman" w:cs="Times New Roman"/>
                <w:lang w:eastAsia="cs-CZ"/>
              </w:rPr>
            </w:pPr>
            <w:r w:rsidRPr="0088307E">
              <w:rPr>
                <w:rFonts w:eastAsia="Times New Roman" w:cs="Times New Roman"/>
                <w:lang w:eastAsia="cs-CZ"/>
              </w:rPr>
              <w:t>2</w:t>
            </w:r>
          </w:p>
        </w:tc>
        <w:tc>
          <w:tcPr>
            <w:tcW w:w="764" w:type="pct"/>
            <w:tcBorders>
              <w:top w:val="single" w:sz="4" w:space="0" w:color="auto"/>
              <w:left w:val="single" w:sz="4" w:space="0" w:color="auto"/>
              <w:bottom w:val="single" w:sz="8" w:space="0" w:color="7F7F7F" w:themeColor="text1" w:themeTint="80"/>
              <w:right w:val="single" w:sz="4" w:space="0" w:color="auto"/>
            </w:tcBorders>
          </w:tcPr>
          <w:p w14:paraId="2A7C605C" w14:textId="77777777" w:rsidR="004B2F70" w:rsidRPr="0088307E" w:rsidRDefault="004B2F70" w:rsidP="00205273">
            <w:pPr>
              <w:spacing w:line="240" w:lineRule="auto"/>
              <w:jc w:val="center"/>
              <w:rPr>
                <w:rFonts w:eastAsia="Times New Roman" w:cs="Times New Roman"/>
                <w:lang w:eastAsia="cs-CZ"/>
              </w:rPr>
            </w:pPr>
            <w:r w:rsidRPr="0088307E">
              <w:rPr>
                <w:rFonts w:eastAsia="Times New Roman" w:cs="Times New Roman"/>
                <w:lang w:eastAsia="cs-CZ"/>
              </w:rPr>
              <w:t>3</w:t>
            </w:r>
          </w:p>
        </w:tc>
        <w:tc>
          <w:tcPr>
            <w:tcW w:w="590" w:type="pct"/>
            <w:tcBorders>
              <w:top w:val="single" w:sz="4" w:space="0" w:color="auto"/>
              <w:left w:val="single" w:sz="4" w:space="0" w:color="auto"/>
              <w:bottom w:val="single" w:sz="8" w:space="0" w:color="7F7F7F" w:themeColor="text1" w:themeTint="80"/>
              <w:right w:val="single" w:sz="8" w:space="0" w:color="7F7F7F" w:themeColor="text1" w:themeTint="80"/>
            </w:tcBorders>
          </w:tcPr>
          <w:p w14:paraId="008977A7" w14:textId="77777777" w:rsidR="004B2F70" w:rsidRPr="0088307E" w:rsidRDefault="004B2F70" w:rsidP="00205273">
            <w:pPr>
              <w:spacing w:line="240" w:lineRule="auto"/>
              <w:jc w:val="center"/>
              <w:rPr>
                <w:rFonts w:eastAsia="Times New Roman" w:cs="Times New Roman"/>
                <w:lang w:eastAsia="cs-CZ"/>
              </w:rPr>
            </w:pPr>
            <w:r w:rsidRPr="0088307E">
              <w:rPr>
                <w:rFonts w:eastAsia="Times New Roman" w:cs="Times New Roman"/>
                <w:lang w:eastAsia="cs-CZ"/>
              </w:rPr>
              <w:t>4</w:t>
            </w:r>
          </w:p>
        </w:tc>
      </w:tr>
      <w:tr w:rsidR="00E8518E" w:rsidRPr="00E8518E" w14:paraId="79D3370F" w14:textId="77777777" w:rsidTr="00647FDF">
        <w:tc>
          <w:tcPr>
            <w:tcW w:w="2159" w:type="pct"/>
            <w:tcBorders>
              <w:top w:val="single" w:sz="8" w:space="0" w:color="7F7F7F" w:themeColor="text1" w:themeTint="80"/>
              <w:left w:val="single" w:sz="8" w:space="0" w:color="7F7F7F" w:themeColor="text1" w:themeTint="80"/>
              <w:bottom w:val="single" w:sz="8" w:space="0" w:color="7F7F7F" w:themeColor="text1" w:themeTint="80"/>
              <w:right w:val="single" w:sz="4" w:space="0" w:color="auto"/>
            </w:tcBorders>
          </w:tcPr>
          <w:p w14:paraId="410FF66E" w14:textId="77777777" w:rsidR="004B2F70" w:rsidRPr="0088307E" w:rsidRDefault="004B2F70" w:rsidP="00205273">
            <w:pPr>
              <w:spacing w:line="240" w:lineRule="auto"/>
              <w:rPr>
                <w:rFonts w:eastAsia="Times New Roman" w:cs="Times New Roman"/>
                <w:lang w:eastAsia="cs-CZ"/>
              </w:rPr>
            </w:pPr>
            <w:r w:rsidRPr="0088307E">
              <w:rPr>
                <w:rFonts w:eastAsia="Times New Roman" w:cs="Times New Roman"/>
                <w:b/>
                <w:lang w:eastAsia="cs-CZ"/>
              </w:rPr>
              <w:t xml:space="preserve">Neziskové a podobné organizace - program 127 66/127 67 </w:t>
            </w:r>
            <w:r w:rsidRPr="0088307E">
              <w:rPr>
                <w:rFonts w:eastAsia="Times New Roman" w:cs="Times New Roman"/>
                <w:lang w:eastAsia="cs-CZ"/>
              </w:rPr>
              <w:t>v tom:</w:t>
            </w:r>
          </w:p>
        </w:tc>
        <w:tc>
          <w:tcPr>
            <w:tcW w:w="735"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1C6D9FFC" w14:textId="2290DADC" w:rsidR="004B2F70" w:rsidRPr="0088307E" w:rsidRDefault="005C67B9" w:rsidP="00647FDF">
            <w:pPr>
              <w:jc w:val="right"/>
              <w:rPr>
                <w:rFonts w:eastAsia="Times New Roman" w:cs="Times New Roman"/>
                <w:b/>
                <w:lang w:eastAsia="cs-CZ"/>
              </w:rPr>
            </w:pPr>
            <w:r w:rsidRPr="0088307E">
              <w:rPr>
                <w:rFonts w:eastAsia="Times New Roman" w:cs="Times New Roman"/>
                <w:b/>
                <w:lang w:eastAsia="cs-CZ"/>
              </w:rPr>
              <w:t>1 244</w:t>
            </w:r>
          </w:p>
        </w:tc>
        <w:tc>
          <w:tcPr>
            <w:tcW w:w="752"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349F4364" w14:textId="77777777" w:rsidR="004B2F70" w:rsidRPr="0088307E" w:rsidRDefault="004B2F70" w:rsidP="00647FDF">
            <w:pPr>
              <w:jc w:val="right"/>
              <w:rPr>
                <w:rFonts w:eastAsia="Times New Roman" w:cs="Times New Roman"/>
                <w:b/>
                <w:lang w:eastAsia="cs-CZ"/>
              </w:rPr>
            </w:pPr>
            <w:r w:rsidRPr="0088307E">
              <w:rPr>
                <w:rFonts w:eastAsia="Times New Roman" w:cs="Times New Roman"/>
                <w:b/>
                <w:lang w:eastAsia="cs-CZ"/>
              </w:rPr>
              <w:t>0</w:t>
            </w:r>
          </w:p>
        </w:tc>
        <w:tc>
          <w:tcPr>
            <w:tcW w:w="764" w:type="pct"/>
            <w:tcBorders>
              <w:top w:val="single" w:sz="8" w:space="0" w:color="7F7F7F" w:themeColor="text1" w:themeTint="80"/>
              <w:left w:val="single" w:sz="4" w:space="0" w:color="auto"/>
              <w:bottom w:val="single" w:sz="8" w:space="0" w:color="7F7F7F" w:themeColor="text1" w:themeTint="80"/>
              <w:right w:val="single" w:sz="4" w:space="0" w:color="auto"/>
            </w:tcBorders>
            <w:vAlign w:val="center"/>
          </w:tcPr>
          <w:p w14:paraId="5CE919AF" w14:textId="77777777" w:rsidR="004B2F70" w:rsidRPr="0088307E" w:rsidRDefault="004B2F70" w:rsidP="00647FDF">
            <w:pPr>
              <w:jc w:val="right"/>
              <w:rPr>
                <w:rFonts w:eastAsia="Times New Roman" w:cs="Times New Roman"/>
                <w:b/>
                <w:lang w:eastAsia="cs-CZ"/>
              </w:rPr>
            </w:pPr>
            <w:r w:rsidRPr="0088307E">
              <w:rPr>
                <w:rFonts w:eastAsia="Times New Roman" w:cs="Times New Roman"/>
                <w:b/>
                <w:lang w:eastAsia="cs-CZ"/>
              </w:rPr>
              <w:t>0</w:t>
            </w:r>
          </w:p>
        </w:tc>
        <w:tc>
          <w:tcPr>
            <w:tcW w:w="590" w:type="pct"/>
            <w:tcBorders>
              <w:top w:val="single" w:sz="8" w:space="0" w:color="7F7F7F" w:themeColor="text1" w:themeTint="80"/>
              <w:left w:val="single" w:sz="4" w:space="0" w:color="auto"/>
              <w:bottom w:val="single" w:sz="8" w:space="0" w:color="7F7F7F" w:themeColor="text1" w:themeTint="80"/>
              <w:right w:val="single" w:sz="8" w:space="0" w:color="7F7F7F" w:themeColor="text1" w:themeTint="80"/>
            </w:tcBorders>
            <w:vAlign w:val="center"/>
          </w:tcPr>
          <w:p w14:paraId="758B3DEA" w14:textId="77777777" w:rsidR="004B2F70" w:rsidRPr="0088307E" w:rsidRDefault="004B2F70" w:rsidP="00647FDF">
            <w:pPr>
              <w:jc w:val="right"/>
              <w:rPr>
                <w:rFonts w:eastAsia="Times New Roman" w:cs="Times New Roman"/>
                <w:b/>
                <w:lang w:eastAsia="cs-CZ"/>
              </w:rPr>
            </w:pPr>
            <w:r w:rsidRPr="0088307E">
              <w:rPr>
                <w:rFonts w:eastAsia="Times New Roman" w:cs="Times New Roman"/>
                <w:b/>
                <w:lang w:eastAsia="cs-CZ"/>
              </w:rPr>
              <w:t>x</w:t>
            </w:r>
          </w:p>
        </w:tc>
      </w:tr>
      <w:tr w:rsidR="00E8518E" w:rsidRPr="00E8518E" w14:paraId="146D2B4F" w14:textId="77777777" w:rsidTr="00205273">
        <w:tc>
          <w:tcPr>
            <w:tcW w:w="2159" w:type="pct"/>
            <w:tcBorders>
              <w:top w:val="single" w:sz="8" w:space="0" w:color="7F7F7F" w:themeColor="text1" w:themeTint="80"/>
              <w:left w:val="single" w:sz="8" w:space="0" w:color="7F7F7F" w:themeColor="text1" w:themeTint="80"/>
              <w:bottom w:val="nil"/>
              <w:right w:val="single" w:sz="4" w:space="0" w:color="auto"/>
            </w:tcBorders>
          </w:tcPr>
          <w:p w14:paraId="36F440CC" w14:textId="77777777" w:rsidR="004B2F70" w:rsidRPr="0088307E" w:rsidRDefault="004B2F70" w:rsidP="00205273">
            <w:pPr>
              <w:spacing w:line="240" w:lineRule="auto"/>
              <w:rPr>
                <w:rFonts w:eastAsia="Times New Roman" w:cs="Times New Roman"/>
                <w:lang w:eastAsia="cs-CZ"/>
              </w:rPr>
            </w:pPr>
            <w:r w:rsidRPr="0088307E">
              <w:rPr>
                <w:rFonts w:eastAsia="Times New Roman" w:cs="Times New Roman"/>
                <w:lang w:eastAsia="cs-CZ"/>
              </w:rPr>
              <w:t>běžné výdaje celkem v tom:</w:t>
            </w:r>
          </w:p>
        </w:tc>
        <w:tc>
          <w:tcPr>
            <w:tcW w:w="735" w:type="pct"/>
            <w:tcBorders>
              <w:top w:val="single" w:sz="8" w:space="0" w:color="7F7F7F" w:themeColor="text1" w:themeTint="80"/>
              <w:left w:val="single" w:sz="4" w:space="0" w:color="auto"/>
              <w:bottom w:val="nil"/>
              <w:right w:val="single" w:sz="4" w:space="0" w:color="auto"/>
            </w:tcBorders>
          </w:tcPr>
          <w:p w14:paraId="53669FCF" w14:textId="2A29014A" w:rsidR="004B2F70" w:rsidRPr="0088307E" w:rsidRDefault="005C67B9" w:rsidP="00205273">
            <w:pPr>
              <w:jc w:val="right"/>
            </w:pPr>
            <w:r w:rsidRPr="0088307E">
              <w:rPr>
                <w:rFonts w:eastAsia="Times New Roman" w:cs="Times New Roman"/>
                <w:lang w:eastAsia="cs-CZ"/>
              </w:rPr>
              <w:t>1 244</w:t>
            </w:r>
          </w:p>
        </w:tc>
        <w:tc>
          <w:tcPr>
            <w:tcW w:w="752" w:type="pct"/>
            <w:tcBorders>
              <w:top w:val="single" w:sz="8" w:space="0" w:color="7F7F7F" w:themeColor="text1" w:themeTint="80"/>
              <w:left w:val="single" w:sz="4" w:space="0" w:color="auto"/>
              <w:bottom w:val="nil"/>
              <w:right w:val="single" w:sz="4" w:space="0" w:color="auto"/>
            </w:tcBorders>
          </w:tcPr>
          <w:p w14:paraId="230DAFE7" w14:textId="77777777" w:rsidR="004B2F70" w:rsidRPr="0088307E" w:rsidRDefault="004B2F70" w:rsidP="00205273">
            <w:pPr>
              <w:jc w:val="right"/>
              <w:rPr>
                <w:rFonts w:eastAsia="Times New Roman" w:cs="Times New Roman"/>
                <w:lang w:eastAsia="cs-CZ"/>
              </w:rPr>
            </w:pPr>
            <w:r w:rsidRPr="0088307E">
              <w:rPr>
                <w:rFonts w:eastAsia="Times New Roman" w:cs="Times New Roman"/>
                <w:lang w:eastAsia="cs-CZ"/>
              </w:rPr>
              <w:t>0</w:t>
            </w:r>
          </w:p>
        </w:tc>
        <w:tc>
          <w:tcPr>
            <w:tcW w:w="764" w:type="pct"/>
            <w:tcBorders>
              <w:top w:val="single" w:sz="8" w:space="0" w:color="7F7F7F" w:themeColor="text1" w:themeTint="80"/>
              <w:left w:val="single" w:sz="4" w:space="0" w:color="auto"/>
              <w:bottom w:val="nil"/>
              <w:right w:val="single" w:sz="4" w:space="0" w:color="auto"/>
            </w:tcBorders>
          </w:tcPr>
          <w:p w14:paraId="5F21F361" w14:textId="77777777" w:rsidR="004B2F70" w:rsidRPr="0088307E" w:rsidRDefault="004B2F70" w:rsidP="00205273">
            <w:pPr>
              <w:jc w:val="right"/>
              <w:rPr>
                <w:rFonts w:eastAsia="Times New Roman" w:cs="Times New Roman"/>
                <w:lang w:eastAsia="cs-CZ"/>
              </w:rPr>
            </w:pPr>
            <w:r w:rsidRPr="0088307E">
              <w:rPr>
                <w:rFonts w:eastAsia="Times New Roman" w:cs="Times New Roman"/>
                <w:lang w:eastAsia="cs-CZ"/>
              </w:rPr>
              <w:t>0</w:t>
            </w:r>
          </w:p>
        </w:tc>
        <w:tc>
          <w:tcPr>
            <w:tcW w:w="590" w:type="pct"/>
            <w:tcBorders>
              <w:top w:val="single" w:sz="8" w:space="0" w:color="7F7F7F" w:themeColor="text1" w:themeTint="80"/>
              <w:left w:val="single" w:sz="4" w:space="0" w:color="auto"/>
              <w:bottom w:val="nil"/>
              <w:right w:val="single" w:sz="8" w:space="0" w:color="7F7F7F" w:themeColor="text1" w:themeTint="80"/>
            </w:tcBorders>
          </w:tcPr>
          <w:p w14:paraId="3482AE80" w14:textId="77777777" w:rsidR="004B2F70" w:rsidRPr="0088307E" w:rsidRDefault="004B2F70" w:rsidP="00205273">
            <w:pPr>
              <w:jc w:val="right"/>
              <w:rPr>
                <w:rFonts w:eastAsia="Times New Roman" w:cs="Times New Roman"/>
                <w:lang w:eastAsia="cs-CZ"/>
              </w:rPr>
            </w:pPr>
            <w:r w:rsidRPr="0088307E">
              <w:rPr>
                <w:rFonts w:eastAsia="Times New Roman" w:cs="Times New Roman"/>
                <w:lang w:eastAsia="cs-CZ"/>
              </w:rPr>
              <w:t>x</w:t>
            </w:r>
          </w:p>
        </w:tc>
      </w:tr>
      <w:tr w:rsidR="00E8518E" w:rsidRPr="00E8518E" w14:paraId="05C12783" w14:textId="77777777" w:rsidTr="00205273">
        <w:tc>
          <w:tcPr>
            <w:tcW w:w="2159" w:type="pct"/>
            <w:tcBorders>
              <w:top w:val="nil"/>
              <w:left w:val="single" w:sz="8" w:space="0" w:color="7F7F7F" w:themeColor="text1" w:themeTint="80"/>
              <w:bottom w:val="nil"/>
              <w:right w:val="single" w:sz="4" w:space="0" w:color="auto"/>
            </w:tcBorders>
          </w:tcPr>
          <w:p w14:paraId="3B234220" w14:textId="77777777" w:rsidR="004B2F70" w:rsidRPr="0088307E" w:rsidRDefault="004B2F70" w:rsidP="00205273">
            <w:pPr>
              <w:spacing w:line="240" w:lineRule="auto"/>
              <w:rPr>
                <w:rFonts w:eastAsia="Times New Roman" w:cs="Times New Roman"/>
                <w:i/>
                <w:lang w:eastAsia="cs-CZ"/>
              </w:rPr>
            </w:pPr>
            <w:r w:rsidRPr="0088307E">
              <w:rPr>
                <w:rFonts w:eastAsia="Times New Roman" w:cs="Times New Roman"/>
                <w:i/>
                <w:lang w:eastAsia="cs-CZ"/>
              </w:rPr>
              <w:t xml:space="preserve">      prostředky SR</w:t>
            </w:r>
          </w:p>
        </w:tc>
        <w:tc>
          <w:tcPr>
            <w:tcW w:w="735" w:type="pct"/>
            <w:tcBorders>
              <w:top w:val="nil"/>
              <w:left w:val="single" w:sz="4" w:space="0" w:color="auto"/>
              <w:bottom w:val="nil"/>
              <w:right w:val="single" w:sz="4" w:space="0" w:color="auto"/>
            </w:tcBorders>
          </w:tcPr>
          <w:p w14:paraId="52ACA9F4" w14:textId="022345C9" w:rsidR="004B2F70" w:rsidRPr="0088307E" w:rsidRDefault="005C67B9" w:rsidP="00205273">
            <w:pPr>
              <w:jc w:val="right"/>
              <w:rPr>
                <w:i/>
              </w:rPr>
            </w:pPr>
            <w:r w:rsidRPr="0088307E">
              <w:rPr>
                <w:rFonts w:eastAsia="Times New Roman" w:cs="Times New Roman"/>
                <w:i/>
                <w:lang w:eastAsia="cs-CZ"/>
              </w:rPr>
              <w:t>1 244</w:t>
            </w:r>
          </w:p>
        </w:tc>
        <w:tc>
          <w:tcPr>
            <w:tcW w:w="752" w:type="pct"/>
            <w:tcBorders>
              <w:top w:val="nil"/>
              <w:left w:val="single" w:sz="4" w:space="0" w:color="auto"/>
              <w:bottom w:val="nil"/>
              <w:right w:val="single" w:sz="4" w:space="0" w:color="auto"/>
            </w:tcBorders>
          </w:tcPr>
          <w:p w14:paraId="4500D7CC" w14:textId="77777777" w:rsidR="004B2F70" w:rsidRPr="0088307E" w:rsidRDefault="004B2F70" w:rsidP="00205273">
            <w:pPr>
              <w:jc w:val="right"/>
              <w:rPr>
                <w:rFonts w:eastAsia="Times New Roman" w:cs="Times New Roman"/>
                <w:i/>
                <w:lang w:eastAsia="cs-CZ"/>
              </w:rPr>
            </w:pPr>
            <w:r w:rsidRPr="0088307E">
              <w:rPr>
                <w:rFonts w:eastAsia="Times New Roman" w:cs="Times New Roman"/>
                <w:i/>
                <w:lang w:eastAsia="cs-CZ"/>
              </w:rPr>
              <w:t>0</w:t>
            </w:r>
          </w:p>
        </w:tc>
        <w:tc>
          <w:tcPr>
            <w:tcW w:w="764" w:type="pct"/>
            <w:tcBorders>
              <w:top w:val="nil"/>
              <w:left w:val="single" w:sz="4" w:space="0" w:color="auto"/>
              <w:bottom w:val="nil"/>
              <w:right w:val="single" w:sz="4" w:space="0" w:color="auto"/>
            </w:tcBorders>
          </w:tcPr>
          <w:p w14:paraId="4C638500" w14:textId="77777777" w:rsidR="004B2F70" w:rsidRPr="0088307E" w:rsidRDefault="004B2F70" w:rsidP="00205273">
            <w:pPr>
              <w:jc w:val="right"/>
              <w:rPr>
                <w:rFonts w:eastAsia="Times New Roman" w:cs="Times New Roman"/>
                <w:i/>
                <w:lang w:eastAsia="cs-CZ"/>
              </w:rPr>
            </w:pPr>
            <w:r w:rsidRPr="0088307E">
              <w:rPr>
                <w:rFonts w:eastAsia="Times New Roman" w:cs="Times New Roman"/>
                <w:i/>
                <w:lang w:eastAsia="cs-CZ"/>
              </w:rPr>
              <w:t>0</w:t>
            </w:r>
          </w:p>
        </w:tc>
        <w:tc>
          <w:tcPr>
            <w:tcW w:w="590" w:type="pct"/>
            <w:tcBorders>
              <w:top w:val="nil"/>
              <w:left w:val="single" w:sz="4" w:space="0" w:color="auto"/>
              <w:bottom w:val="nil"/>
              <w:right w:val="single" w:sz="8" w:space="0" w:color="7F7F7F" w:themeColor="text1" w:themeTint="80"/>
            </w:tcBorders>
          </w:tcPr>
          <w:p w14:paraId="20F22D50" w14:textId="77777777" w:rsidR="004B2F70" w:rsidRPr="0088307E" w:rsidRDefault="004B2F70" w:rsidP="00205273">
            <w:pPr>
              <w:jc w:val="right"/>
              <w:rPr>
                <w:rFonts w:eastAsia="Times New Roman" w:cs="Times New Roman"/>
                <w:i/>
                <w:lang w:eastAsia="cs-CZ"/>
              </w:rPr>
            </w:pPr>
            <w:r w:rsidRPr="0088307E">
              <w:rPr>
                <w:rFonts w:eastAsia="Times New Roman" w:cs="Times New Roman"/>
                <w:i/>
                <w:lang w:eastAsia="cs-CZ"/>
              </w:rPr>
              <w:t>x</w:t>
            </w:r>
          </w:p>
        </w:tc>
      </w:tr>
      <w:tr w:rsidR="00E8518E" w:rsidRPr="00E8518E" w14:paraId="508B5481" w14:textId="77777777" w:rsidTr="00205273">
        <w:tc>
          <w:tcPr>
            <w:tcW w:w="2159" w:type="pct"/>
            <w:tcBorders>
              <w:top w:val="nil"/>
              <w:left w:val="single" w:sz="8" w:space="0" w:color="7F7F7F" w:themeColor="text1" w:themeTint="80"/>
              <w:bottom w:val="single" w:sz="4" w:space="0" w:color="auto"/>
              <w:right w:val="single" w:sz="4" w:space="0" w:color="auto"/>
            </w:tcBorders>
          </w:tcPr>
          <w:p w14:paraId="5E159113" w14:textId="77777777" w:rsidR="004B2F70" w:rsidRPr="0088307E" w:rsidRDefault="004B2F70" w:rsidP="00205273">
            <w:pPr>
              <w:spacing w:line="240" w:lineRule="auto"/>
              <w:rPr>
                <w:rFonts w:eastAsia="Times New Roman" w:cs="Times New Roman"/>
                <w:i/>
                <w:lang w:eastAsia="cs-CZ"/>
              </w:rPr>
            </w:pPr>
            <w:r w:rsidRPr="0088307E">
              <w:rPr>
                <w:rFonts w:eastAsia="Times New Roman" w:cs="Times New Roman"/>
                <w:i/>
                <w:lang w:eastAsia="cs-CZ"/>
              </w:rPr>
              <w:t xml:space="preserve">      prostředky z fondů EU</w:t>
            </w:r>
          </w:p>
        </w:tc>
        <w:tc>
          <w:tcPr>
            <w:tcW w:w="735" w:type="pct"/>
            <w:tcBorders>
              <w:top w:val="nil"/>
              <w:left w:val="single" w:sz="4" w:space="0" w:color="auto"/>
              <w:bottom w:val="single" w:sz="4" w:space="0" w:color="auto"/>
              <w:right w:val="single" w:sz="4" w:space="0" w:color="auto"/>
            </w:tcBorders>
          </w:tcPr>
          <w:p w14:paraId="7C6B607D" w14:textId="77777777" w:rsidR="004B2F70" w:rsidRPr="0088307E" w:rsidRDefault="004B2F70" w:rsidP="00205273">
            <w:pPr>
              <w:jc w:val="right"/>
              <w:rPr>
                <w:rFonts w:eastAsia="Times New Roman" w:cs="Times New Roman"/>
                <w:i/>
                <w:lang w:eastAsia="cs-CZ"/>
              </w:rPr>
            </w:pPr>
            <w:r w:rsidRPr="0088307E">
              <w:rPr>
                <w:rFonts w:eastAsia="Times New Roman" w:cs="Times New Roman"/>
                <w:i/>
                <w:lang w:eastAsia="cs-CZ"/>
              </w:rPr>
              <w:t>0</w:t>
            </w:r>
          </w:p>
        </w:tc>
        <w:tc>
          <w:tcPr>
            <w:tcW w:w="752" w:type="pct"/>
            <w:tcBorders>
              <w:top w:val="nil"/>
              <w:left w:val="single" w:sz="4" w:space="0" w:color="auto"/>
              <w:bottom w:val="single" w:sz="4" w:space="0" w:color="auto"/>
              <w:right w:val="single" w:sz="4" w:space="0" w:color="auto"/>
            </w:tcBorders>
          </w:tcPr>
          <w:p w14:paraId="3E618C67" w14:textId="77777777" w:rsidR="004B2F70" w:rsidRPr="0088307E" w:rsidRDefault="004B2F70" w:rsidP="00205273">
            <w:pPr>
              <w:jc w:val="right"/>
              <w:rPr>
                <w:rFonts w:eastAsia="Times New Roman" w:cs="Times New Roman"/>
                <w:i/>
                <w:lang w:eastAsia="cs-CZ"/>
              </w:rPr>
            </w:pPr>
            <w:r w:rsidRPr="0088307E">
              <w:rPr>
                <w:rFonts w:eastAsia="Times New Roman" w:cs="Times New Roman"/>
                <w:i/>
                <w:lang w:eastAsia="cs-CZ"/>
              </w:rPr>
              <w:t>0</w:t>
            </w:r>
          </w:p>
        </w:tc>
        <w:tc>
          <w:tcPr>
            <w:tcW w:w="764" w:type="pct"/>
            <w:tcBorders>
              <w:top w:val="nil"/>
              <w:left w:val="single" w:sz="4" w:space="0" w:color="auto"/>
              <w:bottom w:val="single" w:sz="4" w:space="0" w:color="auto"/>
              <w:right w:val="single" w:sz="4" w:space="0" w:color="auto"/>
            </w:tcBorders>
          </w:tcPr>
          <w:p w14:paraId="3F5421F6" w14:textId="77777777" w:rsidR="004B2F70" w:rsidRPr="0088307E" w:rsidRDefault="004B2F70" w:rsidP="00205273">
            <w:pPr>
              <w:jc w:val="right"/>
              <w:rPr>
                <w:rFonts w:eastAsia="Times New Roman" w:cs="Times New Roman"/>
                <w:i/>
                <w:lang w:eastAsia="cs-CZ"/>
              </w:rPr>
            </w:pPr>
            <w:r w:rsidRPr="0088307E">
              <w:rPr>
                <w:rFonts w:eastAsia="Times New Roman" w:cs="Times New Roman"/>
                <w:i/>
                <w:lang w:eastAsia="cs-CZ"/>
              </w:rPr>
              <w:t>0</w:t>
            </w:r>
          </w:p>
        </w:tc>
        <w:tc>
          <w:tcPr>
            <w:tcW w:w="590" w:type="pct"/>
            <w:tcBorders>
              <w:top w:val="nil"/>
              <w:left w:val="single" w:sz="4" w:space="0" w:color="auto"/>
              <w:bottom w:val="single" w:sz="4" w:space="0" w:color="auto"/>
              <w:right w:val="single" w:sz="8" w:space="0" w:color="7F7F7F" w:themeColor="text1" w:themeTint="80"/>
            </w:tcBorders>
          </w:tcPr>
          <w:p w14:paraId="19A7AC57" w14:textId="77777777" w:rsidR="004B2F70" w:rsidRPr="0088307E" w:rsidRDefault="004B2F70" w:rsidP="00205273">
            <w:pPr>
              <w:jc w:val="right"/>
              <w:rPr>
                <w:rFonts w:eastAsia="Times New Roman" w:cs="Times New Roman"/>
                <w:i/>
                <w:lang w:eastAsia="cs-CZ"/>
              </w:rPr>
            </w:pPr>
            <w:r w:rsidRPr="0088307E">
              <w:rPr>
                <w:rFonts w:eastAsia="Times New Roman" w:cs="Times New Roman"/>
                <w:i/>
                <w:lang w:eastAsia="cs-CZ"/>
              </w:rPr>
              <w:t>x</w:t>
            </w:r>
          </w:p>
        </w:tc>
      </w:tr>
    </w:tbl>
    <w:p w14:paraId="0C35BCF9" w14:textId="77777777" w:rsidR="00C86296" w:rsidRPr="00E8518E" w:rsidRDefault="00C86296" w:rsidP="00C86296">
      <w:pPr>
        <w:pStyle w:val="Nadpis3"/>
        <w:rPr>
          <w:color w:val="FF0000"/>
        </w:rPr>
      </w:pPr>
      <w:bookmarkStart w:id="255" w:name="_Toc78386800"/>
      <w:r w:rsidRPr="00E8518E">
        <w:rPr>
          <w:color w:val="FF0000"/>
        </w:rPr>
        <w:br w:type="page"/>
      </w:r>
    </w:p>
    <w:p w14:paraId="47678EC2" w14:textId="16ADFF7C" w:rsidR="00BD28A7" w:rsidRPr="0088307E" w:rsidRDefault="000E081D">
      <w:pPr>
        <w:pStyle w:val="Nadpis2"/>
      </w:pPr>
      <w:bookmarkStart w:id="256" w:name="_Toc115787327"/>
      <w:bookmarkStart w:id="257" w:name="_Toc115787917"/>
      <w:bookmarkStart w:id="258" w:name="_Toc115787328"/>
      <w:bookmarkStart w:id="259" w:name="_Toc115787918"/>
      <w:bookmarkStart w:id="260" w:name="_Toc115787329"/>
      <w:bookmarkStart w:id="261" w:name="_Toc115787919"/>
      <w:bookmarkStart w:id="262" w:name="_Toc115787330"/>
      <w:bookmarkStart w:id="263" w:name="_Toc115787920"/>
      <w:bookmarkStart w:id="264" w:name="_Toc115787373"/>
      <w:bookmarkStart w:id="265" w:name="_Toc115787963"/>
      <w:bookmarkStart w:id="266" w:name="_Toc115787374"/>
      <w:bookmarkStart w:id="267" w:name="_Toc115787964"/>
      <w:bookmarkStart w:id="268" w:name="_Toc115787380"/>
      <w:bookmarkStart w:id="269" w:name="_Toc115787970"/>
      <w:bookmarkStart w:id="270" w:name="_Toc115787404"/>
      <w:bookmarkStart w:id="271" w:name="_Toc115787994"/>
      <w:bookmarkStart w:id="272" w:name="_Toc115787405"/>
      <w:bookmarkStart w:id="273" w:name="_Toc115787995"/>
      <w:bookmarkStart w:id="274" w:name="_Toc115787996"/>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r w:rsidRPr="0088307E">
        <w:t>P</w:t>
      </w:r>
      <w:r w:rsidR="00BD28A7" w:rsidRPr="0088307E">
        <w:t>rostředky fondů Evropské unie</w:t>
      </w:r>
      <w:bookmarkEnd w:id="254"/>
      <w:bookmarkEnd w:id="274"/>
    </w:p>
    <w:p w14:paraId="0D9C8144" w14:textId="77777777" w:rsidR="00CA2F73" w:rsidRPr="009931BB" w:rsidRDefault="00CA2F73" w:rsidP="00CA2F73">
      <w:pPr>
        <w:pStyle w:val="Styl1"/>
        <w:rPr>
          <w:b/>
        </w:rPr>
      </w:pPr>
      <w:bookmarkStart w:id="275" w:name="_Toc462314412"/>
      <w:r w:rsidRPr="004357A2">
        <w:t xml:space="preserve">Návrh rozpočtu kapitoly 327 MD na rok 2023 předpokládá objem prostředků fondů Evropské unie v celkové výši </w:t>
      </w:r>
      <w:r w:rsidRPr="004357A2">
        <w:rPr>
          <w:b/>
        </w:rPr>
        <w:t>28 7</w:t>
      </w:r>
      <w:r>
        <w:rPr>
          <w:b/>
        </w:rPr>
        <w:t>8</w:t>
      </w:r>
      <w:r w:rsidRPr="004357A2">
        <w:rPr>
          <w:b/>
        </w:rPr>
        <w:t xml:space="preserve">6 </w:t>
      </w:r>
      <w:r>
        <w:rPr>
          <w:b/>
        </w:rPr>
        <w:t>76</w:t>
      </w:r>
      <w:r w:rsidRPr="004357A2">
        <w:rPr>
          <w:b/>
        </w:rPr>
        <w:t>3</w:t>
      </w:r>
      <w:r w:rsidRPr="004357A2">
        <w:rPr>
          <w:b/>
          <w:bCs/>
        </w:rPr>
        <w:t xml:space="preserve"> </w:t>
      </w:r>
      <w:r w:rsidRPr="004357A2">
        <w:rPr>
          <w:b/>
        </w:rPr>
        <w:t>tis. Kč.</w:t>
      </w:r>
      <w:r w:rsidRPr="004357A2">
        <w:t xml:space="preserve"> V této částce jsou zahrnuty prostředky programového období </w:t>
      </w:r>
      <w:r w:rsidRPr="004357A2">
        <w:rPr>
          <w:u w:val="single"/>
        </w:rPr>
        <w:t>2014-2020</w:t>
      </w:r>
      <w:r w:rsidRPr="004357A2">
        <w:t xml:space="preserve"> (Operační program Doprava 2014 - 2020 – Kohezní fond a Strukturální fondy, Operační program Podnikání a inovace pro konkurenceschopnost a komunitární programy) a programového období 2021 – 2027 (Operační program Doprava 2021 – 2027 – Kohezní fond a Strukturální fondy, Národní plán obnovy - </w:t>
      </w:r>
      <w:proofErr w:type="spellStart"/>
      <w:r w:rsidRPr="004357A2">
        <w:t>Facilita</w:t>
      </w:r>
      <w:proofErr w:type="spellEnd"/>
      <w:r w:rsidRPr="004357A2">
        <w:t xml:space="preserve"> na podporu oživení a odolnosti, BAR – </w:t>
      </w:r>
      <w:proofErr w:type="spellStart"/>
      <w:r w:rsidRPr="004357A2">
        <w:t>Brexitová</w:t>
      </w:r>
      <w:proofErr w:type="spellEnd"/>
      <w:r w:rsidRPr="004357A2">
        <w:t xml:space="preserve"> rezerva a komunitární programy). </w:t>
      </w:r>
      <w:r w:rsidRPr="009931BB">
        <w:t xml:space="preserve">Spolufinancování z kapitoly 327 MD se předpokládá ve výši </w:t>
      </w:r>
      <w:r w:rsidRPr="009931BB">
        <w:rPr>
          <w:b/>
        </w:rPr>
        <w:t>17 529 tis. Kč.</w:t>
      </w:r>
    </w:p>
    <w:p w14:paraId="4817C646" w14:textId="6E4C82F2" w:rsidR="00CA2F73" w:rsidRPr="00B61DA5" w:rsidRDefault="00CA2F73" w:rsidP="00CA2F73">
      <w:pPr>
        <w:pStyle w:val="Titulek"/>
      </w:pPr>
      <w:r w:rsidRPr="00B61DA5">
        <w:t xml:space="preserve">Tabulka č. </w:t>
      </w:r>
      <w:fldSimple w:instr=" SEQ Tabulka \* ARABIC ">
        <w:r w:rsidR="00F80947">
          <w:rPr>
            <w:noProof/>
          </w:rPr>
          <w:t>39</w:t>
        </w:r>
      </w:fldSimple>
      <w:r w:rsidRPr="00B61DA5">
        <w:t xml:space="preserve"> Přehled výdajů Evropské unie (v tis. Kč)</w:t>
      </w:r>
    </w:p>
    <w:tbl>
      <w:tblPr>
        <w:tblStyle w:val="Prosttabulka2"/>
        <w:tblW w:w="9357"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390"/>
        <w:gridCol w:w="1424"/>
        <w:gridCol w:w="1800"/>
        <w:gridCol w:w="1743"/>
      </w:tblGrid>
      <w:tr w:rsidR="00CA2F73" w:rsidRPr="00E8518E" w14:paraId="3983503E" w14:textId="77777777" w:rsidTr="00726785">
        <w:trPr>
          <w:trHeight w:val="467"/>
          <w:tblHeader/>
        </w:trPr>
        <w:tc>
          <w:tcPr>
            <w:cnfStyle w:val="000010000000" w:firstRow="0" w:lastRow="0" w:firstColumn="0" w:lastColumn="0" w:oddVBand="1" w:evenVBand="0" w:oddHBand="0" w:evenHBand="0" w:firstRowFirstColumn="0" w:firstRowLastColumn="0" w:lastRowFirstColumn="0" w:lastRowLastColumn="0"/>
            <w:tcW w:w="4390" w:type="dxa"/>
            <w:shd w:val="thinReverseDiagStripe" w:color="D9D9D9" w:themeColor="background1" w:themeShade="D9" w:fill="auto"/>
          </w:tcPr>
          <w:p w14:paraId="531E4A96" w14:textId="77777777" w:rsidR="00CA2F73" w:rsidRPr="00B61DA5" w:rsidRDefault="00CA2F73" w:rsidP="00726785">
            <w:pPr>
              <w:spacing w:before="81"/>
              <w:jc w:val="center"/>
              <w:rPr>
                <w:b/>
                <w:bCs/>
              </w:rPr>
            </w:pPr>
            <w:r w:rsidRPr="00B61DA5">
              <w:rPr>
                <w:b/>
                <w:bCs/>
              </w:rPr>
              <w:t>Titul</w:t>
            </w:r>
          </w:p>
        </w:tc>
        <w:tc>
          <w:tcPr>
            <w:cnfStyle w:val="000001000000" w:firstRow="0" w:lastRow="0" w:firstColumn="0" w:lastColumn="0" w:oddVBand="0" w:evenVBand="1" w:oddHBand="0" w:evenHBand="0" w:firstRowFirstColumn="0" w:firstRowLastColumn="0" w:lastRowFirstColumn="0" w:lastRowLastColumn="0"/>
            <w:tcW w:w="1424" w:type="dxa"/>
            <w:shd w:val="thinReverseDiagStripe" w:color="D9D9D9" w:themeColor="background1" w:themeShade="D9" w:fill="auto"/>
          </w:tcPr>
          <w:p w14:paraId="4C20508E" w14:textId="77777777" w:rsidR="00CA2F73" w:rsidRPr="00B61DA5" w:rsidRDefault="00CA2F73" w:rsidP="00726785">
            <w:pPr>
              <w:jc w:val="center"/>
              <w:rPr>
                <w:b/>
                <w:bCs/>
              </w:rPr>
            </w:pPr>
            <w:r w:rsidRPr="00B61DA5">
              <w:rPr>
                <w:b/>
                <w:bCs/>
              </w:rPr>
              <w:t xml:space="preserve">Běžné </w:t>
            </w:r>
          </w:p>
          <w:p w14:paraId="0EBF3F4A" w14:textId="77777777" w:rsidR="00CA2F73" w:rsidRPr="00B61DA5" w:rsidRDefault="00CA2F73" w:rsidP="00726785">
            <w:pPr>
              <w:jc w:val="center"/>
              <w:rPr>
                <w:b/>
                <w:bCs/>
              </w:rPr>
            </w:pPr>
            <w:r w:rsidRPr="00B61DA5">
              <w:rPr>
                <w:b/>
                <w:bCs/>
              </w:rPr>
              <w:t>výdaje</w:t>
            </w:r>
          </w:p>
        </w:tc>
        <w:tc>
          <w:tcPr>
            <w:cnfStyle w:val="000010000000" w:firstRow="0" w:lastRow="0" w:firstColumn="0" w:lastColumn="0" w:oddVBand="1" w:evenVBand="0" w:oddHBand="0" w:evenHBand="0" w:firstRowFirstColumn="0" w:firstRowLastColumn="0" w:lastRowFirstColumn="0" w:lastRowLastColumn="0"/>
            <w:tcW w:w="1800" w:type="dxa"/>
            <w:shd w:val="thinReverseDiagStripe" w:color="D9D9D9" w:themeColor="background1" w:themeShade="D9" w:fill="auto"/>
          </w:tcPr>
          <w:p w14:paraId="59EBBC58" w14:textId="77777777" w:rsidR="00CA2F73" w:rsidRPr="00B61DA5" w:rsidRDefault="00CA2F73" w:rsidP="00726785">
            <w:pPr>
              <w:ind w:left="122" w:hanging="122"/>
              <w:jc w:val="center"/>
              <w:rPr>
                <w:b/>
                <w:bCs/>
              </w:rPr>
            </w:pPr>
            <w:r w:rsidRPr="00B61DA5">
              <w:rPr>
                <w:b/>
                <w:bCs/>
              </w:rPr>
              <w:t>Kapitálové výdaje</w:t>
            </w:r>
          </w:p>
        </w:tc>
        <w:tc>
          <w:tcPr>
            <w:cnfStyle w:val="000001000000" w:firstRow="0" w:lastRow="0" w:firstColumn="0" w:lastColumn="0" w:oddVBand="0" w:evenVBand="1" w:oddHBand="0" w:evenHBand="0" w:firstRowFirstColumn="0" w:firstRowLastColumn="0" w:lastRowFirstColumn="0" w:lastRowLastColumn="0"/>
            <w:tcW w:w="1743" w:type="dxa"/>
            <w:shd w:val="thinReverseDiagStripe" w:color="D9D9D9" w:themeColor="background1" w:themeShade="D9" w:fill="auto"/>
          </w:tcPr>
          <w:p w14:paraId="43A55A3B" w14:textId="77777777" w:rsidR="00CA2F73" w:rsidRPr="00B61DA5" w:rsidRDefault="00CA2F73" w:rsidP="00726785">
            <w:pPr>
              <w:spacing w:before="81"/>
              <w:jc w:val="center"/>
              <w:rPr>
                <w:b/>
                <w:bCs/>
              </w:rPr>
            </w:pPr>
            <w:r w:rsidRPr="00B61DA5">
              <w:rPr>
                <w:b/>
                <w:bCs/>
              </w:rPr>
              <w:t>Celkem</w:t>
            </w:r>
          </w:p>
        </w:tc>
      </w:tr>
      <w:tr w:rsidR="00CA2F73" w:rsidRPr="00E8518E" w14:paraId="714A4C9C" w14:textId="77777777" w:rsidTr="00726785">
        <w:trPr>
          <w:trHeight w:val="452"/>
          <w:tblHeader/>
        </w:trPr>
        <w:tc>
          <w:tcPr>
            <w:cnfStyle w:val="000010000000" w:firstRow="0" w:lastRow="0" w:firstColumn="0" w:lastColumn="0" w:oddVBand="1" w:evenVBand="0" w:oddHBand="0" w:evenHBand="0" w:firstRowFirstColumn="0" w:firstRowLastColumn="0" w:lastRowFirstColumn="0" w:lastRowLastColumn="0"/>
            <w:tcW w:w="4390" w:type="dxa"/>
          </w:tcPr>
          <w:p w14:paraId="7DAA26F2" w14:textId="77777777" w:rsidR="00CA2F73" w:rsidRPr="00B61DA5" w:rsidRDefault="00CA2F73" w:rsidP="00726785">
            <w:pPr>
              <w:spacing w:before="81"/>
              <w:rPr>
                <w:b/>
                <w:bCs/>
                <w:sz w:val="26"/>
                <w:szCs w:val="26"/>
              </w:rPr>
            </w:pPr>
            <w:r w:rsidRPr="00B61DA5">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424" w:type="dxa"/>
          </w:tcPr>
          <w:p w14:paraId="03A51C9C" w14:textId="77777777" w:rsidR="00CA2F73" w:rsidRPr="00B61DA5" w:rsidRDefault="00CA2F73" w:rsidP="00726785">
            <w:pPr>
              <w:spacing w:before="81"/>
              <w:jc w:val="right"/>
              <w:rPr>
                <w:b/>
                <w:bCs/>
                <w:sz w:val="26"/>
                <w:szCs w:val="26"/>
              </w:rPr>
            </w:pPr>
            <w:r>
              <w:rPr>
                <w:b/>
                <w:bCs/>
                <w:sz w:val="26"/>
                <w:szCs w:val="26"/>
              </w:rPr>
              <w:t>640 033</w:t>
            </w:r>
          </w:p>
        </w:tc>
        <w:tc>
          <w:tcPr>
            <w:cnfStyle w:val="000010000000" w:firstRow="0" w:lastRow="0" w:firstColumn="0" w:lastColumn="0" w:oddVBand="1" w:evenVBand="0" w:oddHBand="0" w:evenHBand="0" w:firstRowFirstColumn="0" w:firstRowLastColumn="0" w:lastRowFirstColumn="0" w:lastRowLastColumn="0"/>
            <w:tcW w:w="1800" w:type="dxa"/>
          </w:tcPr>
          <w:p w14:paraId="70474889" w14:textId="77777777" w:rsidR="00CA2F73" w:rsidRPr="00B61DA5" w:rsidRDefault="00CA2F73" w:rsidP="00726785">
            <w:pPr>
              <w:spacing w:before="81"/>
              <w:jc w:val="right"/>
              <w:rPr>
                <w:b/>
                <w:bCs/>
                <w:sz w:val="26"/>
                <w:szCs w:val="26"/>
              </w:rPr>
            </w:pPr>
            <w:r>
              <w:rPr>
                <w:b/>
                <w:bCs/>
                <w:sz w:val="26"/>
                <w:szCs w:val="26"/>
              </w:rPr>
              <w:t>28 146 730</w:t>
            </w:r>
          </w:p>
        </w:tc>
        <w:tc>
          <w:tcPr>
            <w:cnfStyle w:val="000001000000" w:firstRow="0" w:lastRow="0" w:firstColumn="0" w:lastColumn="0" w:oddVBand="0" w:evenVBand="1" w:oddHBand="0" w:evenHBand="0" w:firstRowFirstColumn="0" w:firstRowLastColumn="0" w:lastRowFirstColumn="0" w:lastRowLastColumn="0"/>
            <w:tcW w:w="1743" w:type="dxa"/>
          </w:tcPr>
          <w:p w14:paraId="79B6B4FD" w14:textId="77777777" w:rsidR="00CA2F73" w:rsidRPr="00B61DA5" w:rsidRDefault="00CA2F73" w:rsidP="00726785">
            <w:pPr>
              <w:tabs>
                <w:tab w:val="left" w:pos="0"/>
              </w:tabs>
              <w:spacing w:before="81"/>
              <w:jc w:val="right"/>
              <w:rPr>
                <w:b/>
                <w:bCs/>
                <w:sz w:val="26"/>
                <w:szCs w:val="26"/>
              </w:rPr>
            </w:pPr>
            <w:r w:rsidRPr="00B61DA5">
              <w:rPr>
                <w:b/>
                <w:bCs/>
                <w:sz w:val="26"/>
                <w:szCs w:val="26"/>
              </w:rPr>
              <w:t>28 786 763</w:t>
            </w:r>
          </w:p>
        </w:tc>
      </w:tr>
      <w:tr w:rsidR="00CA2F73" w:rsidRPr="00E8518E" w14:paraId="27297F4C"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A6A02DE" w14:textId="77777777" w:rsidR="00CA2F73" w:rsidRPr="00B61DA5" w:rsidRDefault="00CA2F73" w:rsidP="00726785">
            <w:pPr>
              <w:tabs>
                <w:tab w:val="left" w:pos="224"/>
              </w:tabs>
              <w:rPr>
                <w:b/>
              </w:rPr>
            </w:pPr>
            <w:r w:rsidRPr="00B61DA5">
              <w:rPr>
                <w:b/>
              </w:rPr>
              <w:t>Programové období 2014-2020 v tom:</w:t>
            </w:r>
          </w:p>
        </w:tc>
        <w:tc>
          <w:tcPr>
            <w:cnfStyle w:val="000001000000" w:firstRow="0" w:lastRow="0" w:firstColumn="0" w:lastColumn="0" w:oddVBand="0" w:evenVBand="1" w:oddHBand="0" w:evenHBand="0" w:firstRowFirstColumn="0" w:firstRowLastColumn="0" w:lastRowFirstColumn="0" w:lastRowLastColumn="0"/>
            <w:tcW w:w="1424" w:type="dxa"/>
          </w:tcPr>
          <w:p w14:paraId="5FFCE4C6" w14:textId="77777777" w:rsidR="00CA2F73" w:rsidRPr="00B61DA5" w:rsidRDefault="00CA2F73" w:rsidP="00726785">
            <w:pPr>
              <w:jc w:val="right"/>
              <w:rPr>
                <w:b/>
              </w:rPr>
            </w:pPr>
            <w:r>
              <w:rPr>
                <w:b/>
              </w:rPr>
              <w:t>31 120</w:t>
            </w:r>
          </w:p>
        </w:tc>
        <w:tc>
          <w:tcPr>
            <w:cnfStyle w:val="000010000000" w:firstRow="0" w:lastRow="0" w:firstColumn="0" w:lastColumn="0" w:oddVBand="1" w:evenVBand="0" w:oddHBand="0" w:evenHBand="0" w:firstRowFirstColumn="0" w:firstRowLastColumn="0" w:lastRowFirstColumn="0" w:lastRowLastColumn="0"/>
            <w:tcW w:w="1800" w:type="dxa"/>
          </w:tcPr>
          <w:p w14:paraId="03E16FE0" w14:textId="77777777" w:rsidR="00CA2F73" w:rsidRPr="00B61DA5" w:rsidRDefault="00CA2F73" w:rsidP="00726785">
            <w:pPr>
              <w:jc w:val="right"/>
              <w:rPr>
                <w:b/>
              </w:rPr>
            </w:pPr>
            <w:r>
              <w:rPr>
                <w:b/>
              </w:rPr>
              <w:t>4 543 037</w:t>
            </w:r>
          </w:p>
        </w:tc>
        <w:tc>
          <w:tcPr>
            <w:cnfStyle w:val="000001000000" w:firstRow="0" w:lastRow="0" w:firstColumn="0" w:lastColumn="0" w:oddVBand="0" w:evenVBand="1" w:oddHBand="0" w:evenHBand="0" w:firstRowFirstColumn="0" w:firstRowLastColumn="0" w:lastRowFirstColumn="0" w:lastRowLastColumn="0"/>
            <w:tcW w:w="1743" w:type="dxa"/>
          </w:tcPr>
          <w:p w14:paraId="7A8DA615" w14:textId="77777777" w:rsidR="00CA2F73" w:rsidRPr="00B61DA5" w:rsidRDefault="00CA2F73" w:rsidP="00726785">
            <w:pPr>
              <w:jc w:val="right"/>
              <w:rPr>
                <w:b/>
              </w:rPr>
            </w:pPr>
            <w:r>
              <w:rPr>
                <w:b/>
              </w:rPr>
              <w:t>4 574 157</w:t>
            </w:r>
          </w:p>
        </w:tc>
      </w:tr>
      <w:tr w:rsidR="00CA2F73" w:rsidRPr="00E8518E" w14:paraId="013D6DAB"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7E055043" w14:textId="77777777" w:rsidR="00CA2F73" w:rsidRPr="00B61DA5" w:rsidRDefault="00CA2F73" w:rsidP="00726785">
            <w:pPr>
              <w:tabs>
                <w:tab w:val="left" w:pos="224"/>
                <w:tab w:val="left" w:pos="348"/>
                <w:tab w:val="left" w:pos="489"/>
              </w:tabs>
              <w:rPr>
                <w:bCs/>
              </w:rPr>
            </w:pPr>
            <w:r w:rsidRPr="00B61DA5">
              <w:t>Operační program Doprava 2014+</w:t>
            </w:r>
            <w:r>
              <w:t xml:space="preserve"> </w:t>
            </w:r>
            <w:r w:rsidRPr="00B61DA5">
              <w:t>v tom:</w:t>
            </w:r>
          </w:p>
        </w:tc>
        <w:tc>
          <w:tcPr>
            <w:cnfStyle w:val="000001000000" w:firstRow="0" w:lastRow="0" w:firstColumn="0" w:lastColumn="0" w:oddVBand="0" w:evenVBand="1" w:oddHBand="0" w:evenHBand="0" w:firstRowFirstColumn="0" w:firstRowLastColumn="0" w:lastRowFirstColumn="0" w:lastRowLastColumn="0"/>
            <w:tcW w:w="1424" w:type="dxa"/>
          </w:tcPr>
          <w:p w14:paraId="2CE50963" w14:textId="77777777" w:rsidR="00CA2F73" w:rsidRPr="00B61DA5" w:rsidRDefault="00CA2F73" w:rsidP="00726785">
            <w:pPr>
              <w:jc w:val="right"/>
            </w:pPr>
            <w:r>
              <w:t>28 398</w:t>
            </w:r>
          </w:p>
        </w:tc>
        <w:tc>
          <w:tcPr>
            <w:cnfStyle w:val="000010000000" w:firstRow="0" w:lastRow="0" w:firstColumn="0" w:lastColumn="0" w:oddVBand="1" w:evenVBand="0" w:oddHBand="0" w:evenHBand="0" w:firstRowFirstColumn="0" w:firstRowLastColumn="0" w:lastRowFirstColumn="0" w:lastRowLastColumn="0"/>
            <w:tcW w:w="1800" w:type="dxa"/>
          </w:tcPr>
          <w:p w14:paraId="69A5D5EE" w14:textId="77777777" w:rsidR="00CA2F73" w:rsidRPr="00B61DA5" w:rsidRDefault="00CA2F73" w:rsidP="00726785">
            <w:pPr>
              <w:jc w:val="right"/>
            </w:pPr>
            <w:r>
              <w:t>1 755 117</w:t>
            </w:r>
          </w:p>
        </w:tc>
        <w:tc>
          <w:tcPr>
            <w:cnfStyle w:val="000001000000" w:firstRow="0" w:lastRow="0" w:firstColumn="0" w:lastColumn="0" w:oddVBand="0" w:evenVBand="1" w:oddHBand="0" w:evenHBand="0" w:firstRowFirstColumn="0" w:firstRowLastColumn="0" w:lastRowFirstColumn="0" w:lastRowLastColumn="0"/>
            <w:tcW w:w="1743" w:type="dxa"/>
          </w:tcPr>
          <w:p w14:paraId="1A0D09CB" w14:textId="77777777" w:rsidR="00CA2F73" w:rsidRPr="00B61DA5" w:rsidRDefault="00CA2F73" w:rsidP="00726785">
            <w:pPr>
              <w:jc w:val="right"/>
            </w:pPr>
            <w:r>
              <w:t>1 783 515</w:t>
            </w:r>
          </w:p>
        </w:tc>
      </w:tr>
      <w:tr w:rsidR="00CA2F73" w:rsidRPr="00E8518E" w14:paraId="72159644"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2CA4E016" w14:textId="77777777" w:rsidR="00CA2F73" w:rsidRPr="00B61DA5" w:rsidRDefault="00CA2F73" w:rsidP="00726785">
            <w:pPr>
              <w:rPr>
                <w:i/>
              </w:rPr>
            </w:pPr>
            <w:r w:rsidRPr="00B61DA5">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24" w:type="dxa"/>
          </w:tcPr>
          <w:p w14:paraId="4C3570DA" w14:textId="77777777" w:rsidR="00CA2F73" w:rsidRPr="00B61DA5" w:rsidRDefault="00CA2F73" w:rsidP="00726785">
            <w:pPr>
              <w:jc w:val="right"/>
              <w:rPr>
                <w:bCs/>
                <w:i/>
              </w:rPr>
            </w:pPr>
            <w:r>
              <w:rPr>
                <w:bCs/>
                <w:i/>
              </w:rPr>
              <w:t>28 398</w:t>
            </w:r>
          </w:p>
        </w:tc>
        <w:tc>
          <w:tcPr>
            <w:cnfStyle w:val="000010000000" w:firstRow="0" w:lastRow="0" w:firstColumn="0" w:lastColumn="0" w:oddVBand="1" w:evenVBand="0" w:oddHBand="0" w:evenHBand="0" w:firstRowFirstColumn="0" w:firstRowLastColumn="0" w:lastRowFirstColumn="0" w:lastRowLastColumn="0"/>
            <w:tcW w:w="1800" w:type="dxa"/>
          </w:tcPr>
          <w:p w14:paraId="39373DC4" w14:textId="77777777" w:rsidR="00CA2F73" w:rsidRPr="00B61DA5" w:rsidRDefault="00CA2F73" w:rsidP="00726785">
            <w:pPr>
              <w:jc w:val="right"/>
              <w:rPr>
                <w:i/>
              </w:rPr>
            </w:pPr>
            <w:r>
              <w:rPr>
                <w:i/>
              </w:rPr>
              <w:t>1 137 000</w:t>
            </w:r>
          </w:p>
        </w:tc>
        <w:tc>
          <w:tcPr>
            <w:cnfStyle w:val="000001000000" w:firstRow="0" w:lastRow="0" w:firstColumn="0" w:lastColumn="0" w:oddVBand="0" w:evenVBand="1" w:oddHBand="0" w:evenHBand="0" w:firstRowFirstColumn="0" w:firstRowLastColumn="0" w:lastRowFirstColumn="0" w:lastRowLastColumn="0"/>
            <w:tcW w:w="1743" w:type="dxa"/>
          </w:tcPr>
          <w:p w14:paraId="17494CD7" w14:textId="77777777" w:rsidR="00CA2F73" w:rsidRPr="00B61DA5" w:rsidRDefault="00CA2F73" w:rsidP="00726785">
            <w:pPr>
              <w:jc w:val="right"/>
              <w:rPr>
                <w:i/>
              </w:rPr>
            </w:pPr>
            <w:r w:rsidRPr="00B61DA5">
              <w:rPr>
                <w:i/>
              </w:rPr>
              <w:t>1 165 </w:t>
            </w:r>
            <w:r>
              <w:rPr>
                <w:i/>
              </w:rPr>
              <w:t>398</w:t>
            </w:r>
          </w:p>
        </w:tc>
      </w:tr>
      <w:tr w:rsidR="00CA2F73" w:rsidRPr="00E8518E" w14:paraId="3C05C004"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1329774" w14:textId="77777777" w:rsidR="00CA2F73" w:rsidRPr="00B61DA5" w:rsidRDefault="00CA2F73" w:rsidP="00726785">
            <w:pPr>
              <w:rPr>
                <w:i/>
              </w:rPr>
            </w:pPr>
            <w:r w:rsidRPr="00B61DA5">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24" w:type="dxa"/>
          </w:tcPr>
          <w:p w14:paraId="4CE91495" w14:textId="77777777" w:rsidR="00CA2F73" w:rsidRPr="00B61DA5" w:rsidRDefault="00CA2F73" w:rsidP="00726785">
            <w:pPr>
              <w:ind w:left="122" w:hanging="122"/>
              <w:jc w:val="right"/>
              <w:rPr>
                <w:i/>
              </w:rPr>
            </w:pPr>
            <w:r w:rsidRPr="00B61DA5">
              <w:rPr>
                <w:i/>
              </w:rPr>
              <w:t>0</w:t>
            </w:r>
          </w:p>
        </w:tc>
        <w:tc>
          <w:tcPr>
            <w:cnfStyle w:val="000010000000" w:firstRow="0" w:lastRow="0" w:firstColumn="0" w:lastColumn="0" w:oddVBand="1" w:evenVBand="0" w:oddHBand="0" w:evenHBand="0" w:firstRowFirstColumn="0" w:firstRowLastColumn="0" w:lastRowFirstColumn="0" w:lastRowLastColumn="0"/>
            <w:tcW w:w="1800" w:type="dxa"/>
          </w:tcPr>
          <w:p w14:paraId="24C770FF" w14:textId="77777777" w:rsidR="00CA2F73" w:rsidRPr="00B61DA5" w:rsidRDefault="00CA2F73" w:rsidP="00726785">
            <w:pPr>
              <w:jc w:val="right"/>
              <w:rPr>
                <w:i/>
              </w:rPr>
            </w:pPr>
            <w:r w:rsidRPr="00B61DA5">
              <w:rPr>
                <w:i/>
              </w:rPr>
              <w:t>618 </w:t>
            </w:r>
            <w:r>
              <w:rPr>
                <w:i/>
              </w:rPr>
              <w:t>117</w:t>
            </w:r>
          </w:p>
        </w:tc>
        <w:tc>
          <w:tcPr>
            <w:cnfStyle w:val="000001000000" w:firstRow="0" w:lastRow="0" w:firstColumn="0" w:lastColumn="0" w:oddVBand="0" w:evenVBand="1" w:oddHBand="0" w:evenHBand="0" w:firstRowFirstColumn="0" w:firstRowLastColumn="0" w:lastRowFirstColumn="0" w:lastRowLastColumn="0"/>
            <w:tcW w:w="1743" w:type="dxa"/>
          </w:tcPr>
          <w:p w14:paraId="1246AA73" w14:textId="77777777" w:rsidR="00CA2F73" w:rsidRPr="00B61DA5" w:rsidRDefault="00CA2F73" w:rsidP="00726785">
            <w:pPr>
              <w:jc w:val="right"/>
              <w:rPr>
                <w:i/>
              </w:rPr>
            </w:pPr>
            <w:r w:rsidRPr="00B61DA5">
              <w:rPr>
                <w:i/>
              </w:rPr>
              <w:t>618 </w:t>
            </w:r>
            <w:r>
              <w:rPr>
                <w:i/>
              </w:rPr>
              <w:t>117</w:t>
            </w:r>
          </w:p>
        </w:tc>
      </w:tr>
      <w:tr w:rsidR="00CA2F73" w:rsidRPr="00E8518E" w14:paraId="4EAC46C0"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3A422CF" w14:textId="77777777" w:rsidR="00CA2F73" w:rsidRPr="00B61DA5" w:rsidRDefault="00CA2F73" w:rsidP="00726785">
            <w:r w:rsidRPr="00B61DA5">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14:paraId="0AD83260" w14:textId="77777777" w:rsidR="00CA2F73" w:rsidRPr="00B61DA5" w:rsidRDefault="00CA2F73" w:rsidP="00726785">
            <w:pPr>
              <w:jc w:val="right"/>
              <w:rPr>
                <w:bCs/>
              </w:rPr>
            </w:pPr>
            <w:r>
              <w:rPr>
                <w:bCs/>
              </w:rPr>
              <w:t>2 242</w:t>
            </w:r>
          </w:p>
        </w:tc>
        <w:tc>
          <w:tcPr>
            <w:cnfStyle w:val="000010000000" w:firstRow="0" w:lastRow="0" w:firstColumn="0" w:lastColumn="0" w:oddVBand="1" w:evenVBand="0" w:oddHBand="0" w:evenHBand="0" w:firstRowFirstColumn="0" w:firstRowLastColumn="0" w:lastRowFirstColumn="0" w:lastRowLastColumn="0"/>
            <w:tcW w:w="1800" w:type="dxa"/>
          </w:tcPr>
          <w:p w14:paraId="231131D1" w14:textId="77777777" w:rsidR="00CA2F73" w:rsidRPr="00B61DA5" w:rsidRDefault="00CA2F73" w:rsidP="00726785">
            <w:pPr>
              <w:jc w:val="right"/>
              <w:rPr>
                <w:bCs/>
              </w:rPr>
            </w:pPr>
            <w:r>
              <w:rPr>
                <w:bCs/>
              </w:rPr>
              <w:t>2 495 679</w:t>
            </w:r>
          </w:p>
        </w:tc>
        <w:tc>
          <w:tcPr>
            <w:cnfStyle w:val="000001000000" w:firstRow="0" w:lastRow="0" w:firstColumn="0" w:lastColumn="0" w:oddVBand="0" w:evenVBand="1" w:oddHBand="0" w:evenHBand="0" w:firstRowFirstColumn="0" w:firstRowLastColumn="0" w:lastRowFirstColumn="0" w:lastRowLastColumn="0"/>
            <w:tcW w:w="1743" w:type="dxa"/>
          </w:tcPr>
          <w:p w14:paraId="65B0E774" w14:textId="77777777" w:rsidR="00CA2F73" w:rsidRPr="00B61DA5" w:rsidRDefault="00CA2F73" w:rsidP="00726785">
            <w:pPr>
              <w:jc w:val="right"/>
            </w:pPr>
            <w:r>
              <w:t>2 497 921</w:t>
            </w:r>
          </w:p>
        </w:tc>
      </w:tr>
      <w:tr w:rsidR="00CA2F73" w:rsidRPr="00E8518E" w14:paraId="42552FB5"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2230605" w14:textId="77777777" w:rsidR="00CA2F73" w:rsidRPr="00B61DA5" w:rsidRDefault="00CA2F73" w:rsidP="00726785">
            <w:r w:rsidRPr="00B61DA5">
              <w:t>Operační program Podnikání a inovace</w:t>
            </w:r>
          </w:p>
        </w:tc>
        <w:tc>
          <w:tcPr>
            <w:cnfStyle w:val="000001000000" w:firstRow="0" w:lastRow="0" w:firstColumn="0" w:lastColumn="0" w:oddVBand="0" w:evenVBand="1" w:oddHBand="0" w:evenHBand="0" w:firstRowFirstColumn="0" w:firstRowLastColumn="0" w:lastRowFirstColumn="0" w:lastRowLastColumn="0"/>
            <w:tcW w:w="1424" w:type="dxa"/>
          </w:tcPr>
          <w:p w14:paraId="54AAD897" w14:textId="77777777" w:rsidR="00CA2F73" w:rsidRPr="00B61DA5" w:rsidRDefault="00CA2F73" w:rsidP="00726785">
            <w:pPr>
              <w:jc w:val="right"/>
            </w:pPr>
            <w:r>
              <w:t>480</w:t>
            </w:r>
          </w:p>
        </w:tc>
        <w:tc>
          <w:tcPr>
            <w:cnfStyle w:val="000010000000" w:firstRow="0" w:lastRow="0" w:firstColumn="0" w:lastColumn="0" w:oddVBand="1" w:evenVBand="0" w:oddHBand="0" w:evenHBand="0" w:firstRowFirstColumn="0" w:firstRowLastColumn="0" w:lastRowFirstColumn="0" w:lastRowLastColumn="0"/>
            <w:tcW w:w="1800" w:type="dxa"/>
          </w:tcPr>
          <w:p w14:paraId="3943EC7A" w14:textId="77777777" w:rsidR="00CA2F73" w:rsidRPr="00B61DA5" w:rsidRDefault="00CA2F73" w:rsidP="00726785">
            <w:pPr>
              <w:jc w:val="right"/>
              <w:rPr>
                <w:bCs/>
              </w:rPr>
            </w:pPr>
            <w:r>
              <w:rPr>
                <w:bCs/>
              </w:rPr>
              <w:t>292 241</w:t>
            </w:r>
          </w:p>
        </w:tc>
        <w:tc>
          <w:tcPr>
            <w:cnfStyle w:val="000001000000" w:firstRow="0" w:lastRow="0" w:firstColumn="0" w:lastColumn="0" w:oddVBand="0" w:evenVBand="1" w:oddHBand="0" w:evenHBand="0" w:firstRowFirstColumn="0" w:firstRowLastColumn="0" w:lastRowFirstColumn="0" w:lastRowLastColumn="0"/>
            <w:tcW w:w="1743" w:type="dxa"/>
          </w:tcPr>
          <w:p w14:paraId="7DD3D311" w14:textId="77777777" w:rsidR="00CA2F73" w:rsidRPr="00B61DA5" w:rsidRDefault="00CA2F73" w:rsidP="00726785">
            <w:pPr>
              <w:jc w:val="right"/>
            </w:pPr>
            <w:r w:rsidRPr="00B61DA5">
              <w:t>292 </w:t>
            </w:r>
            <w:r>
              <w:t>721</w:t>
            </w:r>
          </w:p>
        </w:tc>
      </w:tr>
      <w:tr w:rsidR="00CA2F73" w:rsidRPr="00E8518E" w14:paraId="16978200"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59140865" w14:textId="77777777" w:rsidR="00CA2F73" w:rsidRPr="00B61DA5" w:rsidRDefault="00CA2F73" w:rsidP="00726785">
            <w:pPr>
              <w:rPr>
                <w:b/>
              </w:rPr>
            </w:pPr>
            <w:r w:rsidRPr="00B61DA5">
              <w:rPr>
                <w:b/>
              </w:rPr>
              <w:t>Programové období 2021 - 2027 v tom:</w:t>
            </w:r>
          </w:p>
        </w:tc>
        <w:tc>
          <w:tcPr>
            <w:cnfStyle w:val="000001000000" w:firstRow="0" w:lastRow="0" w:firstColumn="0" w:lastColumn="0" w:oddVBand="0" w:evenVBand="1" w:oddHBand="0" w:evenHBand="0" w:firstRowFirstColumn="0" w:firstRowLastColumn="0" w:lastRowFirstColumn="0" w:lastRowLastColumn="0"/>
            <w:tcW w:w="1424" w:type="dxa"/>
          </w:tcPr>
          <w:p w14:paraId="7092FC21" w14:textId="77777777" w:rsidR="00CA2F73" w:rsidRPr="00B61DA5" w:rsidRDefault="00CA2F73" w:rsidP="00726785">
            <w:pPr>
              <w:jc w:val="right"/>
              <w:rPr>
                <w:b/>
              </w:rPr>
            </w:pPr>
            <w:r>
              <w:rPr>
                <w:b/>
              </w:rPr>
              <w:t>608 913</w:t>
            </w:r>
          </w:p>
        </w:tc>
        <w:tc>
          <w:tcPr>
            <w:cnfStyle w:val="000010000000" w:firstRow="0" w:lastRow="0" w:firstColumn="0" w:lastColumn="0" w:oddVBand="1" w:evenVBand="0" w:oddHBand="0" w:evenHBand="0" w:firstRowFirstColumn="0" w:firstRowLastColumn="0" w:lastRowFirstColumn="0" w:lastRowLastColumn="0"/>
            <w:tcW w:w="1800" w:type="dxa"/>
          </w:tcPr>
          <w:p w14:paraId="51DF7E57" w14:textId="77777777" w:rsidR="00CA2F73" w:rsidRPr="00B61DA5" w:rsidRDefault="00CA2F73" w:rsidP="00726785">
            <w:pPr>
              <w:jc w:val="right"/>
              <w:rPr>
                <w:b/>
                <w:bCs/>
              </w:rPr>
            </w:pPr>
            <w:r>
              <w:rPr>
                <w:b/>
                <w:bCs/>
              </w:rPr>
              <w:t>23 603 693</w:t>
            </w:r>
          </w:p>
        </w:tc>
        <w:tc>
          <w:tcPr>
            <w:cnfStyle w:val="000001000000" w:firstRow="0" w:lastRow="0" w:firstColumn="0" w:lastColumn="0" w:oddVBand="0" w:evenVBand="1" w:oddHBand="0" w:evenHBand="0" w:firstRowFirstColumn="0" w:firstRowLastColumn="0" w:lastRowFirstColumn="0" w:lastRowLastColumn="0"/>
            <w:tcW w:w="1743" w:type="dxa"/>
          </w:tcPr>
          <w:p w14:paraId="05FEAF4B" w14:textId="77777777" w:rsidR="00CA2F73" w:rsidRPr="00B61DA5" w:rsidRDefault="00CA2F73" w:rsidP="00726785">
            <w:pPr>
              <w:jc w:val="right"/>
              <w:rPr>
                <w:b/>
              </w:rPr>
            </w:pPr>
            <w:r>
              <w:rPr>
                <w:b/>
              </w:rPr>
              <w:t>24 212 606</w:t>
            </w:r>
          </w:p>
        </w:tc>
      </w:tr>
      <w:tr w:rsidR="00CA2F73" w:rsidRPr="00E8518E" w14:paraId="0BEAC06E"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D6304DA" w14:textId="77777777" w:rsidR="00CA2F73" w:rsidRPr="00B61DA5" w:rsidRDefault="00CA2F73" w:rsidP="00726785">
            <w:r w:rsidRPr="00B61DA5">
              <w:t>Operační program Doprava 2021 +</w:t>
            </w:r>
            <w:r>
              <w:t xml:space="preserve"> </w:t>
            </w:r>
            <w:r w:rsidRPr="00B61DA5">
              <w:t>v tom:</w:t>
            </w:r>
          </w:p>
        </w:tc>
        <w:tc>
          <w:tcPr>
            <w:cnfStyle w:val="000001000000" w:firstRow="0" w:lastRow="0" w:firstColumn="0" w:lastColumn="0" w:oddVBand="0" w:evenVBand="1" w:oddHBand="0" w:evenHBand="0" w:firstRowFirstColumn="0" w:firstRowLastColumn="0" w:lastRowFirstColumn="0" w:lastRowLastColumn="0"/>
            <w:tcW w:w="1424" w:type="dxa"/>
          </w:tcPr>
          <w:p w14:paraId="6ABE0AA4" w14:textId="77777777" w:rsidR="00CA2F73" w:rsidRPr="00B61DA5" w:rsidRDefault="00CA2F73" w:rsidP="00726785">
            <w:pPr>
              <w:jc w:val="right"/>
            </w:pPr>
            <w:r>
              <w:t>57 580</w:t>
            </w:r>
          </w:p>
        </w:tc>
        <w:tc>
          <w:tcPr>
            <w:cnfStyle w:val="000010000000" w:firstRow="0" w:lastRow="0" w:firstColumn="0" w:lastColumn="0" w:oddVBand="1" w:evenVBand="0" w:oddHBand="0" w:evenHBand="0" w:firstRowFirstColumn="0" w:firstRowLastColumn="0" w:lastRowFirstColumn="0" w:lastRowLastColumn="0"/>
            <w:tcW w:w="1800" w:type="dxa"/>
          </w:tcPr>
          <w:p w14:paraId="17AB218D" w14:textId="77777777" w:rsidR="00CA2F73" w:rsidRPr="00B61DA5" w:rsidRDefault="00CA2F73" w:rsidP="00726785">
            <w:pPr>
              <w:jc w:val="right"/>
              <w:rPr>
                <w:bCs/>
              </w:rPr>
            </w:pPr>
            <w:r>
              <w:rPr>
                <w:bCs/>
              </w:rPr>
              <w:t>15 498 488</w:t>
            </w:r>
          </w:p>
        </w:tc>
        <w:tc>
          <w:tcPr>
            <w:cnfStyle w:val="000001000000" w:firstRow="0" w:lastRow="0" w:firstColumn="0" w:lastColumn="0" w:oddVBand="0" w:evenVBand="1" w:oddHBand="0" w:evenHBand="0" w:firstRowFirstColumn="0" w:firstRowLastColumn="0" w:lastRowFirstColumn="0" w:lastRowLastColumn="0"/>
            <w:tcW w:w="1743" w:type="dxa"/>
          </w:tcPr>
          <w:p w14:paraId="1B32EE40" w14:textId="77777777" w:rsidR="00CA2F73" w:rsidRPr="00B61DA5" w:rsidRDefault="00CA2F73" w:rsidP="00726785">
            <w:pPr>
              <w:jc w:val="right"/>
            </w:pPr>
            <w:r>
              <w:t>15 556 068</w:t>
            </w:r>
          </w:p>
        </w:tc>
      </w:tr>
      <w:tr w:rsidR="00CA2F73" w:rsidRPr="00E8518E" w14:paraId="620BEDA6"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7E4F1C2" w14:textId="77777777" w:rsidR="00CA2F73" w:rsidRPr="00B61DA5" w:rsidRDefault="00CA2F73" w:rsidP="00726785">
            <w:r w:rsidRPr="00B61DA5">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424" w:type="dxa"/>
          </w:tcPr>
          <w:p w14:paraId="351B895A" w14:textId="77777777" w:rsidR="00CA2F73" w:rsidRPr="00B61DA5" w:rsidRDefault="00CA2F73" w:rsidP="00726785">
            <w:pPr>
              <w:jc w:val="right"/>
              <w:rPr>
                <w:i/>
              </w:rPr>
            </w:pPr>
            <w:r>
              <w:rPr>
                <w:i/>
              </w:rPr>
              <w:t>57 580</w:t>
            </w:r>
          </w:p>
        </w:tc>
        <w:tc>
          <w:tcPr>
            <w:cnfStyle w:val="000010000000" w:firstRow="0" w:lastRow="0" w:firstColumn="0" w:lastColumn="0" w:oddVBand="1" w:evenVBand="0" w:oddHBand="0" w:evenHBand="0" w:firstRowFirstColumn="0" w:firstRowLastColumn="0" w:lastRowFirstColumn="0" w:lastRowLastColumn="0"/>
            <w:tcW w:w="1800" w:type="dxa"/>
          </w:tcPr>
          <w:p w14:paraId="7C710E6B" w14:textId="77777777" w:rsidR="00CA2F73" w:rsidRPr="00B61DA5" w:rsidRDefault="00CA2F73" w:rsidP="00726785">
            <w:pPr>
              <w:jc w:val="right"/>
              <w:rPr>
                <w:bCs/>
                <w:i/>
              </w:rPr>
            </w:pPr>
            <w:r>
              <w:rPr>
                <w:bCs/>
                <w:i/>
              </w:rPr>
              <w:t>14 961 370</w:t>
            </w:r>
          </w:p>
        </w:tc>
        <w:tc>
          <w:tcPr>
            <w:cnfStyle w:val="000001000000" w:firstRow="0" w:lastRow="0" w:firstColumn="0" w:lastColumn="0" w:oddVBand="0" w:evenVBand="1" w:oddHBand="0" w:evenHBand="0" w:firstRowFirstColumn="0" w:firstRowLastColumn="0" w:lastRowFirstColumn="0" w:lastRowLastColumn="0"/>
            <w:tcW w:w="1743" w:type="dxa"/>
          </w:tcPr>
          <w:p w14:paraId="18431F13" w14:textId="77777777" w:rsidR="00CA2F73" w:rsidRPr="00B61DA5" w:rsidRDefault="00CA2F73" w:rsidP="00726785">
            <w:pPr>
              <w:jc w:val="right"/>
              <w:rPr>
                <w:i/>
              </w:rPr>
            </w:pPr>
            <w:r>
              <w:rPr>
                <w:i/>
              </w:rPr>
              <w:t>15 018 950</w:t>
            </w:r>
          </w:p>
        </w:tc>
      </w:tr>
      <w:tr w:rsidR="00CA2F73" w:rsidRPr="00E8518E" w14:paraId="132C2DE7"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7EA8D9A9" w14:textId="77777777" w:rsidR="00CA2F73" w:rsidRPr="00B61DA5" w:rsidRDefault="00CA2F73" w:rsidP="00726785">
            <w:r w:rsidRPr="00B61DA5">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424" w:type="dxa"/>
          </w:tcPr>
          <w:p w14:paraId="2EB318DD" w14:textId="77777777" w:rsidR="00CA2F73" w:rsidRPr="00B61DA5" w:rsidRDefault="00CA2F73" w:rsidP="00726785">
            <w:pPr>
              <w:jc w:val="right"/>
              <w:rPr>
                <w:i/>
              </w:rPr>
            </w:pPr>
            <w:r>
              <w:rPr>
                <w:i/>
              </w:rPr>
              <w:t>0</w:t>
            </w:r>
          </w:p>
        </w:tc>
        <w:tc>
          <w:tcPr>
            <w:cnfStyle w:val="000010000000" w:firstRow="0" w:lastRow="0" w:firstColumn="0" w:lastColumn="0" w:oddVBand="1" w:evenVBand="0" w:oddHBand="0" w:evenHBand="0" w:firstRowFirstColumn="0" w:firstRowLastColumn="0" w:lastRowFirstColumn="0" w:lastRowLastColumn="0"/>
            <w:tcW w:w="1800" w:type="dxa"/>
          </w:tcPr>
          <w:p w14:paraId="27CDA27D" w14:textId="77777777" w:rsidR="00CA2F73" w:rsidRPr="00B61DA5" w:rsidRDefault="00CA2F73" w:rsidP="00726785">
            <w:pPr>
              <w:jc w:val="right"/>
              <w:rPr>
                <w:bCs/>
                <w:i/>
              </w:rPr>
            </w:pPr>
            <w:r>
              <w:rPr>
                <w:bCs/>
                <w:i/>
              </w:rPr>
              <w:t>537 118</w:t>
            </w:r>
          </w:p>
        </w:tc>
        <w:tc>
          <w:tcPr>
            <w:cnfStyle w:val="000001000000" w:firstRow="0" w:lastRow="0" w:firstColumn="0" w:lastColumn="0" w:oddVBand="0" w:evenVBand="1" w:oddHBand="0" w:evenHBand="0" w:firstRowFirstColumn="0" w:firstRowLastColumn="0" w:lastRowFirstColumn="0" w:lastRowLastColumn="0"/>
            <w:tcW w:w="1743" w:type="dxa"/>
          </w:tcPr>
          <w:p w14:paraId="16DF64D6" w14:textId="77777777" w:rsidR="00CA2F73" w:rsidRPr="00B61DA5" w:rsidRDefault="00CA2F73" w:rsidP="00726785">
            <w:pPr>
              <w:jc w:val="right"/>
              <w:rPr>
                <w:i/>
              </w:rPr>
            </w:pPr>
            <w:r>
              <w:rPr>
                <w:i/>
              </w:rPr>
              <w:t>537 118</w:t>
            </w:r>
          </w:p>
        </w:tc>
      </w:tr>
      <w:tr w:rsidR="00CA2F73" w:rsidRPr="00E8518E" w14:paraId="6A049006"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20E9A753" w14:textId="77777777" w:rsidR="00CA2F73" w:rsidRPr="00B61DA5" w:rsidRDefault="00CA2F73" w:rsidP="00726785">
            <w:r w:rsidRPr="00B61DA5">
              <w:t>Komunitární programy</w:t>
            </w:r>
          </w:p>
        </w:tc>
        <w:tc>
          <w:tcPr>
            <w:cnfStyle w:val="000001000000" w:firstRow="0" w:lastRow="0" w:firstColumn="0" w:lastColumn="0" w:oddVBand="0" w:evenVBand="1" w:oddHBand="0" w:evenHBand="0" w:firstRowFirstColumn="0" w:firstRowLastColumn="0" w:lastRowFirstColumn="0" w:lastRowLastColumn="0"/>
            <w:tcW w:w="1424" w:type="dxa"/>
          </w:tcPr>
          <w:p w14:paraId="3EC4DBAA" w14:textId="77777777" w:rsidR="00CA2F73" w:rsidRPr="00B61DA5" w:rsidRDefault="00CA2F73" w:rsidP="00726785">
            <w:pPr>
              <w:jc w:val="right"/>
            </w:pPr>
            <w:r>
              <w:t>19 217</w:t>
            </w:r>
          </w:p>
        </w:tc>
        <w:tc>
          <w:tcPr>
            <w:cnfStyle w:val="000010000000" w:firstRow="0" w:lastRow="0" w:firstColumn="0" w:lastColumn="0" w:oddVBand="1" w:evenVBand="0" w:oddHBand="0" w:evenHBand="0" w:firstRowFirstColumn="0" w:firstRowLastColumn="0" w:lastRowFirstColumn="0" w:lastRowLastColumn="0"/>
            <w:tcW w:w="1800" w:type="dxa"/>
          </w:tcPr>
          <w:p w14:paraId="212BF1A9" w14:textId="77777777" w:rsidR="00CA2F73" w:rsidRPr="00B61DA5" w:rsidRDefault="00CA2F73" w:rsidP="00726785">
            <w:pPr>
              <w:jc w:val="right"/>
              <w:rPr>
                <w:bCs/>
              </w:rPr>
            </w:pPr>
            <w:r>
              <w:rPr>
                <w:bCs/>
              </w:rPr>
              <w:t>5 101 746</w:t>
            </w:r>
          </w:p>
        </w:tc>
        <w:tc>
          <w:tcPr>
            <w:cnfStyle w:val="000001000000" w:firstRow="0" w:lastRow="0" w:firstColumn="0" w:lastColumn="0" w:oddVBand="0" w:evenVBand="1" w:oddHBand="0" w:evenHBand="0" w:firstRowFirstColumn="0" w:firstRowLastColumn="0" w:lastRowFirstColumn="0" w:lastRowLastColumn="0"/>
            <w:tcW w:w="1743" w:type="dxa"/>
          </w:tcPr>
          <w:p w14:paraId="2DE29F43" w14:textId="77777777" w:rsidR="00CA2F73" w:rsidRPr="00B61DA5" w:rsidRDefault="00CA2F73" w:rsidP="00726785">
            <w:pPr>
              <w:jc w:val="right"/>
            </w:pPr>
            <w:r>
              <w:t>5 120 963</w:t>
            </w:r>
          </w:p>
        </w:tc>
      </w:tr>
      <w:tr w:rsidR="00CA2F73" w:rsidRPr="00E8518E" w14:paraId="5A45C080"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C162958" w14:textId="77777777" w:rsidR="00CA2F73" w:rsidRPr="00B61DA5" w:rsidRDefault="00CA2F73" w:rsidP="00726785">
            <w:r w:rsidRPr="00B61DA5">
              <w:t>Národní plán obnovy</w:t>
            </w:r>
          </w:p>
        </w:tc>
        <w:tc>
          <w:tcPr>
            <w:cnfStyle w:val="000001000000" w:firstRow="0" w:lastRow="0" w:firstColumn="0" w:lastColumn="0" w:oddVBand="0" w:evenVBand="1" w:oddHBand="0" w:evenHBand="0" w:firstRowFirstColumn="0" w:firstRowLastColumn="0" w:lastRowFirstColumn="0" w:lastRowLastColumn="0"/>
            <w:tcW w:w="1424" w:type="dxa"/>
          </w:tcPr>
          <w:p w14:paraId="093CF5C8" w14:textId="77777777" w:rsidR="00CA2F73" w:rsidRPr="00B61DA5" w:rsidRDefault="00CA2F73" w:rsidP="00726785">
            <w:pPr>
              <w:jc w:val="right"/>
            </w:pPr>
            <w:r>
              <w:t>0</w:t>
            </w:r>
          </w:p>
        </w:tc>
        <w:tc>
          <w:tcPr>
            <w:cnfStyle w:val="000010000000" w:firstRow="0" w:lastRow="0" w:firstColumn="0" w:lastColumn="0" w:oddVBand="1" w:evenVBand="0" w:oddHBand="0" w:evenHBand="0" w:firstRowFirstColumn="0" w:firstRowLastColumn="0" w:lastRowFirstColumn="0" w:lastRowLastColumn="0"/>
            <w:tcW w:w="1800" w:type="dxa"/>
          </w:tcPr>
          <w:p w14:paraId="02ADA0D9" w14:textId="77777777" w:rsidR="00CA2F73" w:rsidRPr="00B61DA5" w:rsidRDefault="00CA2F73" w:rsidP="00726785">
            <w:pPr>
              <w:jc w:val="right"/>
              <w:rPr>
                <w:bCs/>
              </w:rPr>
            </w:pPr>
            <w:r>
              <w:rPr>
                <w:bCs/>
              </w:rPr>
              <w:t>3 003 459</w:t>
            </w:r>
          </w:p>
        </w:tc>
        <w:tc>
          <w:tcPr>
            <w:cnfStyle w:val="000001000000" w:firstRow="0" w:lastRow="0" w:firstColumn="0" w:lastColumn="0" w:oddVBand="0" w:evenVBand="1" w:oddHBand="0" w:evenHBand="0" w:firstRowFirstColumn="0" w:firstRowLastColumn="0" w:lastRowFirstColumn="0" w:lastRowLastColumn="0"/>
            <w:tcW w:w="1743" w:type="dxa"/>
          </w:tcPr>
          <w:p w14:paraId="5A00583B" w14:textId="77777777" w:rsidR="00CA2F73" w:rsidRPr="00B61DA5" w:rsidRDefault="00CA2F73" w:rsidP="00726785">
            <w:pPr>
              <w:jc w:val="right"/>
            </w:pPr>
            <w:r>
              <w:t>3 003 459</w:t>
            </w:r>
          </w:p>
        </w:tc>
      </w:tr>
      <w:tr w:rsidR="00CA2F73" w:rsidRPr="00E8518E" w14:paraId="0A745E17" w14:textId="77777777" w:rsidTr="00726785">
        <w:trPr>
          <w:trHeight w:val="226"/>
          <w:tblHeader/>
        </w:trPr>
        <w:tc>
          <w:tcPr>
            <w:cnfStyle w:val="000010000000" w:firstRow="0" w:lastRow="0" w:firstColumn="0" w:lastColumn="0" w:oddVBand="1" w:evenVBand="0" w:oddHBand="0" w:evenHBand="0" w:firstRowFirstColumn="0" w:firstRowLastColumn="0" w:lastRowFirstColumn="0" w:lastRowLastColumn="0"/>
            <w:tcW w:w="4390" w:type="dxa"/>
          </w:tcPr>
          <w:p w14:paraId="40F6E304" w14:textId="77777777" w:rsidR="00CA2F73" w:rsidRPr="00B61DA5" w:rsidRDefault="00CA2F73" w:rsidP="00726785">
            <w:r w:rsidRPr="00B61DA5">
              <w:t xml:space="preserve">BAR – </w:t>
            </w:r>
            <w:proofErr w:type="spellStart"/>
            <w:r w:rsidRPr="00B61DA5">
              <w:t>Brexitová</w:t>
            </w:r>
            <w:proofErr w:type="spellEnd"/>
            <w:r w:rsidRPr="00B61DA5">
              <w:t xml:space="preserve"> rezerva</w:t>
            </w:r>
          </w:p>
        </w:tc>
        <w:tc>
          <w:tcPr>
            <w:cnfStyle w:val="000001000000" w:firstRow="0" w:lastRow="0" w:firstColumn="0" w:lastColumn="0" w:oddVBand="0" w:evenVBand="1" w:oddHBand="0" w:evenHBand="0" w:firstRowFirstColumn="0" w:firstRowLastColumn="0" w:lastRowFirstColumn="0" w:lastRowLastColumn="0"/>
            <w:tcW w:w="1424" w:type="dxa"/>
          </w:tcPr>
          <w:p w14:paraId="5A6FD53C" w14:textId="77777777" w:rsidR="00CA2F73" w:rsidRPr="00B61DA5" w:rsidRDefault="00CA2F73" w:rsidP="00726785">
            <w:pPr>
              <w:jc w:val="right"/>
            </w:pPr>
            <w:r>
              <w:t>532 116</w:t>
            </w:r>
          </w:p>
        </w:tc>
        <w:tc>
          <w:tcPr>
            <w:cnfStyle w:val="000010000000" w:firstRow="0" w:lastRow="0" w:firstColumn="0" w:lastColumn="0" w:oddVBand="1" w:evenVBand="0" w:oddHBand="0" w:evenHBand="0" w:firstRowFirstColumn="0" w:firstRowLastColumn="0" w:lastRowFirstColumn="0" w:lastRowLastColumn="0"/>
            <w:tcW w:w="1800" w:type="dxa"/>
          </w:tcPr>
          <w:p w14:paraId="0F545543" w14:textId="77777777" w:rsidR="00CA2F73" w:rsidRPr="00B61DA5" w:rsidRDefault="00CA2F73" w:rsidP="00726785">
            <w:pPr>
              <w:jc w:val="right"/>
              <w:rPr>
                <w:bCs/>
              </w:rPr>
            </w:pPr>
            <w:r>
              <w:rPr>
                <w:bCs/>
              </w:rPr>
              <w:t>0</w:t>
            </w:r>
          </w:p>
        </w:tc>
        <w:tc>
          <w:tcPr>
            <w:cnfStyle w:val="000001000000" w:firstRow="0" w:lastRow="0" w:firstColumn="0" w:lastColumn="0" w:oddVBand="0" w:evenVBand="1" w:oddHBand="0" w:evenHBand="0" w:firstRowFirstColumn="0" w:firstRowLastColumn="0" w:lastRowFirstColumn="0" w:lastRowLastColumn="0"/>
            <w:tcW w:w="1743" w:type="dxa"/>
          </w:tcPr>
          <w:p w14:paraId="3157A57C" w14:textId="77777777" w:rsidR="00CA2F73" w:rsidRPr="00B61DA5" w:rsidRDefault="00CA2F73" w:rsidP="00726785">
            <w:pPr>
              <w:jc w:val="right"/>
            </w:pPr>
            <w:r>
              <w:t>532 116</w:t>
            </w:r>
          </w:p>
        </w:tc>
      </w:tr>
    </w:tbl>
    <w:p w14:paraId="2D4A5C3E" w14:textId="77777777" w:rsidR="00CA2F73" w:rsidRPr="00E8518E" w:rsidRDefault="00CA2F73" w:rsidP="00CA2F73">
      <w:pPr>
        <w:spacing w:after="120"/>
        <w:rPr>
          <w:rFonts w:eastAsia="Times New Roman" w:cs="Times New Roman"/>
          <w:b/>
          <w:color w:val="FF0000"/>
          <w:sz w:val="20"/>
          <w:szCs w:val="20"/>
          <w:lang w:eastAsia="cs-CZ"/>
        </w:rPr>
      </w:pPr>
    </w:p>
    <w:p w14:paraId="18C17FBB" w14:textId="77777777" w:rsidR="00CA2F73" w:rsidRPr="00290D11" w:rsidRDefault="00CA2F73" w:rsidP="00CA2F73">
      <w:pPr>
        <w:pStyle w:val="Nadpis3"/>
      </w:pPr>
      <w:bookmarkStart w:id="276" w:name="_Toc115787997"/>
      <w:r w:rsidRPr="00290D11">
        <w:t>Operační program Doprava – programové období 2014 – 2020</w:t>
      </w:r>
      <w:bookmarkEnd w:id="276"/>
    </w:p>
    <w:p w14:paraId="524DEE2B" w14:textId="77777777" w:rsidR="00CA2F73" w:rsidRPr="00290D11" w:rsidRDefault="00CA2F73" w:rsidP="00CA2F73">
      <w:pPr>
        <w:pStyle w:val="Styl1"/>
      </w:pPr>
      <w:r w:rsidRPr="00290D11">
        <w:t xml:space="preserve">Operační program Doprava 2014-2020 byl schválen usnesením vlády č. 558 ze dne </w:t>
      </w:r>
      <w:r w:rsidRPr="00290D11">
        <w:br/>
        <w:t xml:space="preserve">9. července 2014. Řídícím orgánem Operačního programu Doprava 2014-2020 bylo usnesením vlády č. 867 ze dne 28. listopadu 2012 pověřeno Ministerstvo dopravy – Odbor fondů EU. Roli Zprostředkujícího subjektu plní Státní fond dopravní infrastruktury. Operační program Doprava 2014-2020 vychází z materiálu Dopravní politika ČR pro období 2014-2020 s výhledem </w:t>
      </w:r>
      <w:r w:rsidRPr="00290D11">
        <w:br/>
        <w:t xml:space="preserve">do roku </w:t>
      </w:r>
      <w:smartTag w:uri="urn:schemas-microsoft-com:office:smarttags" w:element="metricconverter">
        <w:smartTagPr>
          <w:attr w:name="ProductID" w:val="2050 a"/>
        </w:smartTagPr>
        <w:r w:rsidRPr="00290D11">
          <w:t>2050 a</w:t>
        </w:r>
      </w:smartTag>
      <w:r w:rsidRPr="00290D11">
        <w:t xml:space="preserve"> jejich návazné strategické dokumenty, především Dopravní sektorové strategie, </w:t>
      </w:r>
      <w:r w:rsidRPr="00290D11">
        <w:br/>
        <w:t xml:space="preserve">2. fáze (Střednědobý plán rozvoje dopravní infrastruktury s dlouhodobým výhledem do roku 2050). Ke schválení Operačního programu Doprava ze strany Evropské komise došlo dne </w:t>
      </w:r>
      <w:r w:rsidRPr="00290D11">
        <w:br/>
        <w:t xml:space="preserve">11. května 2015, přičemž ve druhé polovině roku 2015 byly vyhlášeny první výzvy k předkládání projektů a mohl být zahájen proces hodnocení projektů a jejich následná realizace. Financování prvních projektů začalo v roce 2016. </w:t>
      </w:r>
    </w:p>
    <w:p w14:paraId="12B6BB2B" w14:textId="77777777" w:rsidR="00CA2F73" w:rsidRPr="00E8518E" w:rsidRDefault="00CA2F73" w:rsidP="00CA2F73">
      <w:pPr>
        <w:pStyle w:val="Styl1"/>
        <w:rPr>
          <w:color w:val="FF0000"/>
        </w:rPr>
      </w:pPr>
      <w:r w:rsidRPr="003F730C">
        <w:rPr>
          <w:color w:val="000000"/>
        </w:rPr>
        <w:t xml:space="preserve">Alokace Operačního programu Doprava 2014–2020 v EUR činí 4 559 769 999 EUR (z toho FS 3 657 452 860 EUR, ERDF 902 317 139 EUR). Rámcová smlouva byla uzavřená u 315 projektů v objemu EU prostředků 130,8 mld. Kč, což představuje 111 % celkové alokace programu. </w:t>
      </w:r>
      <w:r>
        <w:rPr>
          <w:color w:val="000000"/>
        </w:rPr>
        <w:br/>
      </w:r>
      <w:r w:rsidRPr="003F730C">
        <w:rPr>
          <w:color w:val="000000"/>
        </w:rPr>
        <w:t>V rámci již proběhlých certifikací, byly za OPD vyžádány z Evropské komise prostředky EU ve výši 87,1 mld. Kč (74 % celkové alokace programu), což řadí tento program k jednomu ze dvou nejlépe čerpajících programů</w:t>
      </w:r>
      <w:r w:rsidRPr="00BC0E71">
        <w:t>.</w:t>
      </w:r>
    </w:p>
    <w:p w14:paraId="07372868" w14:textId="77777777" w:rsidR="00CA2F73" w:rsidRPr="00BC0E71" w:rsidRDefault="00CA2F73" w:rsidP="00CA2F73">
      <w:pPr>
        <w:pStyle w:val="Nadpis8"/>
      </w:pPr>
      <w:r w:rsidRPr="00BC0E71">
        <w:t>Operační program Doprava 2014-2020 obsahuje následující prioritní osy:</w:t>
      </w:r>
    </w:p>
    <w:p w14:paraId="6A15D1B4" w14:textId="77777777" w:rsidR="00CA2F73" w:rsidRPr="00BC0E71" w:rsidRDefault="00CA2F73" w:rsidP="00CA2F73">
      <w:pPr>
        <w:keepNext/>
        <w:spacing w:before="240" w:after="120"/>
        <w:outlineLvl w:val="8"/>
        <w:rPr>
          <w:rFonts w:cs="Times New Roman"/>
          <w:b/>
          <w:i/>
          <w:szCs w:val="24"/>
          <w:u w:val="single"/>
          <w:lang w:eastAsia="cs-CZ"/>
        </w:rPr>
      </w:pPr>
      <w:r w:rsidRPr="00BC0E71">
        <w:rPr>
          <w:rFonts w:cs="Times New Roman"/>
          <w:b/>
          <w:i/>
          <w:szCs w:val="24"/>
          <w:u w:val="single"/>
          <w:lang w:eastAsia="cs-CZ"/>
        </w:rPr>
        <w:t>Prioritní osa 1 – Infrastruktura pro železniční a další udržitelnou dopravu</w:t>
      </w:r>
    </w:p>
    <w:p w14:paraId="621AE1DF"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Specifický cíl 1.1 - Zlepšení infrastruktury pro vyšší konkurenceschopnost a větší využití železniční dopravy</w:t>
      </w:r>
      <w:r w:rsidRPr="00BC0E71" w:rsidDel="00F06086">
        <w:rPr>
          <w:rFonts w:eastAsia="Times New Roman" w:cs="Times New Roman"/>
          <w:i/>
          <w:iCs/>
          <w:szCs w:val="24"/>
          <w:lang w:eastAsia="cs-CZ"/>
        </w:rPr>
        <w:t xml:space="preserve"> </w:t>
      </w:r>
    </w:p>
    <w:p w14:paraId="3C580F0A"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Specifický cíl 1.3 - Vytvoření podmínek pro větší využití multimodální dopravy</w:t>
      </w:r>
      <w:r w:rsidRPr="00BC0E71" w:rsidDel="00684652">
        <w:rPr>
          <w:rFonts w:eastAsia="Times New Roman" w:cs="Times New Roman"/>
          <w:i/>
          <w:iCs/>
          <w:szCs w:val="24"/>
          <w:lang w:eastAsia="cs-CZ"/>
        </w:rPr>
        <w:t xml:space="preserve"> </w:t>
      </w:r>
    </w:p>
    <w:p w14:paraId="1945C31C"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 xml:space="preserve">Specifický cíl 1.4 - Vytvoření podmínek pro zvýšení využívání veřejné hromadné dopravy </w:t>
      </w:r>
      <w:r w:rsidRPr="00BC0E71">
        <w:rPr>
          <w:rFonts w:eastAsia="Times New Roman" w:cs="Times New Roman"/>
          <w:i/>
          <w:iCs/>
          <w:szCs w:val="24"/>
          <w:lang w:eastAsia="cs-CZ"/>
        </w:rPr>
        <w:br/>
        <w:t>ve městech v elektrické trakci</w:t>
      </w:r>
      <w:r w:rsidRPr="00BC0E71" w:rsidDel="00684652">
        <w:rPr>
          <w:rFonts w:eastAsia="Times New Roman" w:cs="Times New Roman"/>
          <w:i/>
          <w:iCs/>
          <w:szCs w:val="24"/>
          <w:lang w:eastAsia="cs-CZ"/>
        </w:rPr>
        <w:t xml:space="preserve"> </w:t>
      </w:r>
    </w:p>
    <w:p w14:paraId="245ABFCC"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Specifický cíl 1.5 - Vytvoření podmínek pro širší využití železniční a vodní dopravy prostřednictvím modernizace dopravního parku</w:t>
      </w:r>
    </w:p>
    <w:p w14:paraId="487CB88B" w14:textId="77777777" w:rsidR="00CA2F73" w:rsidRPr="00BC0E71" w:rsidRDefault="00CA2F73" w:rsidP="00CA2F73">
      <w:pPr>
        <w:keepNext/>
        <w:spacing w:before="240" w:after="120"/>
        <w:outlineLvl w:val="8"/>
        <w:rPr>
          <w:rFonts w:cs="Times New Roman"/>
          <w:b/>
          <w:i/>
          <w:szCs w:val="24"/>
          <w:u w:val="single"/>
          <w:lang w:eastAsia="cs-CZ"/>
        </w:rPr>
      </w:pPr>
      <w:r w:rsidRPr="00BC0E71">
        <w:rPr>
          <w:rFonts w:cs="Times New Roman"/>
          <w:b/>
          <w:i/>
          <w:szCs w:val="24"/>
          <w:u w:val="single"/>
          <w:lang w:eastAsia="cs-CZ"/>
        </w:rPr>
        <w:t>Prioritní osa 2 - Silniční infrastruktura na síti TEN-T a veřejná infrastruktura pro čistou mobilitu</w:t>
      </w:r>
    </w:p>
    <w:p w14:paraId="73C0989D"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 xml:space="preserve">Specifický cíl 2.1 - Zlepšení propojení center a regionů a zvýšení bezpečnosti </w:t>
      </w:r>
      <w:r w:rsidRPr="00BC0E71">
        <w:rPr>
          <w:rFonts w:eastAsia="Times New Roman" w:cs="Times New Roman"/>
          <w:i/>
          <w:iCs/>
          <w:szCs w:val="24"/>
          <w:lang w:eastAsia="cs-CZ"/>
        </w:rPr>
        <w:br/>
        <w:t>a efektivnosti silniční dopravy prostřednictvím výstavby, obnovy a modernizace dálnic, rychlostních silnic a silnic sítě TEN-T včetně rozvoje systémů ITS</w:t>
      </w:r>
    </w:p>
    <w:p w14:paraId="3EABC35C"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Specifický cíl 2.2 - Vytvoření podmínek pro širší využití vozidel na alternativní pohon na silniční síti</w:t>
      </w:r>
    </w:p>
    <w:p w14:paraId="5E7271DE"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Specifický cíl 2.3 - Zlepšení řízení dopravního provozu a zvyšování bezpečnosti dopravního provozu</w:t>
      </w:r>
    </w:p>
    <w:p w14:paraId="67873C7E" w14:textId="77777777" w:rsidR="00CA2F73" w:rsidRPr="00BC0E71" w:rsidRDefault="00CA2F73" w:rsidP="00CA2F73">
      <w:pPr>
        <w:keepNext/>
        <w:spacing w:before="240" w:after="120"/>
        <w:outlineLvl w:val="8"/>
        <w:rPr>
          <w:rFonts w:cs="Times New Roman"/>
          <w:b/>
          <w:i/>
          <w:szCs w:val="24"/>
          <w:u w:val="single"/>
          <w:lang w:eastAsia="cs-CZ"/>
        </w:rPr>
      </w:pPr>
      <w:r w:rsidRPr="00BC0E71">
        <w:rPr>
          <w:rFonts w:cs="Times New Roman"/>
          <w:b/>
          <w:i/>
          <w:szCs w:val="24"/>
          <w:u w:val="single"/>
          <w:lang w:eastAsia="cs-CZ"/>
        </w:rPr>
        <w:t>Prioritní osa 3 - Silniční infrastruktura mimo síť TEN-T</w:t>
      </w:r>
    </w:p>
    <w:p w14:paraId="4A28AEBA"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 xml:space="preserve">Specifický cíl 3.1 - Zlepšení dostupnosti regionů, zvýšení bezpečnosti a plynulosti a snížení dopadů dopravy na veřejné zdraví prostřednictvím výstavby, obnovy a zlepšení parametrů dálnic, rychlostních silnic a silnic I. třídy mimo síť TEN-T </w:t>
      </w:r>
    </w:p>
    <w:p w14:paraId="15C3E034" w14:textId="77777777" w:rsidR="00CA2F73" w:rsidRPr="00BC0E71" w:rsidRDefault="00CA2F73" w:rsidP="00CA2F73">
      <w:pPr>
        <w:keepNext/>
        <w:spacing w:before="240" w:after="120"/>
        <w:outlineLvl w:val="8"/>
        <w:rPr>
          <w:rFonts w:cs="Times New Roman"/>
          <w:b/>
          <w:i/>
          <w:szCs w:val="24"/>
          <w:u w:val="single"/>
          <w:lang w:eastAsia="cs-CZ"/>
        </w:rPr>
      </w:pPr>
      <w:r w:rsidRPr="00BC0E71">
        <w:rPr>
          <w:rFonts w:cs="Times New Roman"/>
          <w:b/>
          <w:i/>
          <w:szCs w:val="24"/>
          <w:u w:val="single"/>
          <w:lang w:eastAsia="cs-CZ"/>
        </w:rPr>
        <w:t xml:space="preserve">Prioritní osa 4 - Technická pomoc </w:t>
      </w:r>
    </w:p>
    <w:p w14:paraId="167CDB13" w14:textId="77777777" w:rsidR="00CA2F73" w:rsidRPr="00BC0E71" w:rsidRDefault="00CA2F73" w:rsidP="00CA2F73">
      <w:pPr>
        <w:keepNext/>
        <w:spacing w:before="120" w:after="120"/>
        <w:outlineLvl w:val="3"/>
        <w:rPr>
          <w:rFonts w:cs="Times New Roman"/>
          <w:i/>
          <w:szCs w:val="24"/>
        </w:rPr>
      </w:pPr>
      <w:r w:rsidRPr="00BC0E71">
        <w:rPr>
          <w:rFonts w:cs="Times New Roman"/>
          <w:i/>
          <w:szCs w:val="24"/>
        </w:rPr>
        <w:t>Specifický cíl 4.1  - Podpora a zajištění implementace OP Doprava</w:t>
      </w:r>
    </w:p>
    <w:p w14:paraId="4EED1383" w14:textId="77777777" w:rsidR="00CA2F73" w:rsidRPr="00BC0E71" w:rsidRDefault="00CA2F73" w:rsidP="00CA2F73">
      <w:pPr>
        <w:keepLines/>
        <w:spacing w:before="120" w:after="240" w:line="276" w:lineRule="auto"/>
        <w:rPr>
          <w:rFonts w:eastAsia="Times New Roman" w:cs="Times New Roman"/>
          <w:i/>
          <w:iCs/>
          <w:szCs w:val="24"/>
          <w:lang w:eastAsia="cs-CZ"/>
        </w:rPr>
      </w:pPr>
      <w:r w:rsidRPr="00BC0E71">
        <w:rPr>
          <w:rFonts w:eastAsia="Times New Roman" w:cs="Times New Roman"/>
          <w:i/>
          <w:iCs/>
          <w:szCs w:val="24"/>
          <w:lang w:eastAsia="cs-CZ"/>
        </w:rPr>
        <w:t xml:space="preserve">Zaměření specifického cíle je soustředěno především k zajištění těchto oblastí v rámci implementace Operačního programu Doprava 2014–2020: řízení a kontrola programu, technické zabezpečení činnosti, podpora absorpční kapacity, publicita, evaluace, vzdělávání. </w:t>
      </w:r>
      <w:r w:rsidRPr="00BC0E71">
        <w:rPr>
          <w:rFonts w:eastAsia="Times New Roman" w:cs="Times New Roman"/>
          <w:i/>
          <w:iCs/>
          <w:szCs w:val="24"/>
          <w:lang w:eastAsia="cs-CZ"/>
        </w:rPr>
        <w:br/>
        <w:t>Z prostředků specifického cíle byly také hrazeny aktivity spojené s dokončením programového období 2007–2013.</w:t>
      </w:r>
    </w:p>
    <w:p w14:paraId="7812577C" w14:textId="77777777" w:rsidR="00CA2F73" w:rsidRPr="00290D11" w:rsidRDefault="00CA2F73" w:rsidP="00CA2F73">
      <w:pPr>
        <w:keepLines/>
        <w:spacing w:before="120" w:after="240" w:line="276" w:lineRule="auto"/>
        <w:rPr>
          <w:rFonts w:eastAsia="Times New Roman" w:cs="Times New Roman"/>
          <w:i/>
          <w:iCs/>
          <w:szCs w:val="24"/>
          <w:lang w:eastAsia="cs-CZ"/>
        </w:rPr>
      </w:pPr>
      <w:r w:rsidRPr="00290D11">
        <w:rPr>
          <w:rFonts w:eastAsia="Times New Roman" w:cs="Times New Roman"/>
          <w:szCs w:val="24"/>
          <w:u w:val="single"/>
          <w:lang w:eastAsia="cs-CZ"/>
        </w:rPr>
        <w:t>Rozdělení prostředků fondů EU a SR pro Operační program Doprava 2014-2020 na rok 2023</w:t>
      </w:r>
    </w:p>
    <w:p w14:paraId="72B33A83" w14:textId="7323D4F5" w:rsidR="00CA2F73" w:rsidRPr="00290D11" w:rsidRDefault="00CA2F73" w:rsidP="00CA2F73">
      <w:pPr>
        <w:pStyle w:val="Titulek"/>
      </w:pPr>
      <w:r w:rsidRPr="00290D11">
        <w:t xml:space="preserve">Tabulka č. </w:t>
      </w:r>
      <w:r w:rsidRPr="00290D11">
        <w:rPr>
          <w:noProof/>
        </w:rPr>
        <w:fldChar w:fldCharType="begin"/>
      </w:r>
      <w:r w:rsidRPr="00290D11">
        <w:rPr>
          <w:noProof/>
        </w:rPr>
        <w:instrText xml:space="preserve"> SEQ Tabulka \* ARABIC </w:instrText>
      </w:r>
      <w:r w:rsidRPr="00290D11">
        <w:rPr>
          <w:noProof/>
        </w:rPr>
        <w:fldChar w:fldCharType="separate"/>
      </w:r>
      <w:r w:rsidR="00F80947">
        <w:rPr>
          <w:noProof/>
        </w:rPr>
        <w:t>40</w:t>
      </w:r>
      <w:r w:rsidRPr="00290D11">
        <w:rPr>
          <w:noProof/>
        </w:rPr>
        <w:fldChar w:fldCharType="end"/>
      </w:r>
      <w:r w:rsidRPr="00290D11">
        <w:rPr>
          <w:noProof/>
        </w:rPr>
        <w:t xml:space="preserve"> Členění Operačního programu Doprava 2014-2020 (v tis. Kč)</w:t>
      </w:r>
    </w:p>
    <w:tbl>
      <w:tblPr>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6"/>
        <w:gridCol w:w="1388"/>
        <w:gridCol w:w="1174"/>
        <w:gridCol w:w="1414"/>
      </w:tblGrid>
      <w:tr w:rsidR="00CA2F73" w:rsidRPr="00290D11" w14:paraId="723A7E61" w14:textId="77777777" w:rsidTr="00726785">
        <w:trPr>
          <w:trHeight w:val="467"/>
        </w:trPr>
        <w:tc>
          <w:tcPr>
            <w:tcW w:w="28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60D8A734" w14:textId="77777777" w:rsidR="00CA2F73" w:rsidRPr="00290D11" w:rsidRDefault="00CA2F73" w:rsidP="00726785">
            <w:pPr>
              <w:spacing w:before="81"/>
              <w:rPr>
                <w:rFonts w:eastAsia="Times New Roman" w:cs="Times New Roman"/>
                <w:b/>
                <w:lang w:eastAsia="cs-CZ"/>
              </w:rPr>
            </w:pPr>
            <w:r w:rsidRPr="00290D11">
              <w:rPr>
                <w:rFonts w:eastAsia="Times New Roman" w:cs="Times New Roman"/>
                <w:b/>
                <w:lang w:eastAsia="cs-CZ"/>
              </w:rPr>
              <w:t xml:space="preserve">Číslo (Fond) a název prioritní osy </w:t>
            </w:r>
          </w:p>
        </w:tc>
        <w:tc>
          <w:tcPr>
            <w:tcW w:w="76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2935A38" w14:textId="77777777" w:rsidR="00CA2F73" w:rsidRPr="00290D11" w:rsidRDefault="00CA2F73" w:rsidP="00726785">
            <w:pPr>
              <w:spacing w:before="81"/>
              <w:jc w:val="center"/>
              <w:rPr>
                <w:rFonts w:eastAsia="Times New Roman" w:cs="Times New Roman"/>
                <w:b/>
                <w:lang w:eastAsia="cs-CZ"/>
              </w:rPr>
            </w:pPr>
            <w:r w:rsidRPr="00290D11">
              <w:rPr>
                <w:rFonts w:eastAsia="Times New Roman" w:cs="Times New Roman"/>
                <w:b/>
                <w:lang w:eastAsia="cs-CZ"/>
              </w:rPr>
              <w:t>EU</w:t>
            </w:r>
          </w:p>
        </w:tc>
        <w:tc>
          <w:tcPr>
            <w:tcW w:w="6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9F8F881" w14:textId="77777777" w:rsidR="00CA2F73" w:rsidRPr="00290D11" w:rsidRDefault="00CA2F73" w:rsidP="00726785">
            <w:pPr>
              <w:spacing w:before="81"/>
              <w:jc w:val="center"/>
              <w:rPr>
                <w:rFonts w:eastAsia="Times New Roman" w:cs="Times New Roman"/>
                <w:b/>
                <w:lang w:eastAsia="cs-CZ"/>
              </w:rPr>
            </w:pPr>
            <w:r w:rsidRPr="00290D11">
              <w:rPr>
                <w:rFonts w:eastAsia="Times New Roman" w:cs="Times New Roman"/>
                <w:b/>
                <w:lang w:eastAsia="cs-CZ"/>
              </w:rPr>
              <w:t>SR</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7F621E8A" w14:textId="77777777" w:rsidR="00CA2F73" w:rsidRPr="00290D11" w:rsidRDefault="00CA2F73" w:rsidP="00726785">
            <w:pPr>
              <w:spacing w:before="81"/>
              <w:jc w:val="center"/>
              <w:rPr>
                <w:rFonts w:eastAsia="Times New Roman" w:cs="Times New Roman"/>
                <w:b/>
                <w:lang w:eastAsia="cs-CZ"/>
              </w:rPr>
            </w:pPr>
            <w:r w:rsidRPr="00290D11">
              <w:rPr>
                <w:rFonts w:eastAsia="Times New Roman" w:cs="Times New Roman"/>
                <w:b/>
                <w:lang w:eastAsia="cs-CZ"/>
              </w:rPr>
              <w:t>Celkem</w:t>
            </w:r>
          </w:p>
        </w:tc>
      </w:tr>
      <w:tr w:rsidR="00CA2F73" w:rsidRPr="00E8518E" w14:paraId="7E7DDBF9" w14:textId="77777777" w:rsidTr="00726785">
        <w:trPr>
          <w:trHeight w:val="661"/>
        </w:trPr>
        <w:tc>
          <w:tcPr>
            <w:tcW w:w="2806" w:type="pct"/>
            <w:tcBorders>
              <w:top w:val="single" w:sz="4" w:space="0" w:color="7F7F7F" w:themeColor="text1" w:themeTint="80"/>
            </w:tcBorders>
            <w:shd w:val="clear" w:color="auto" w:fill="auto"/>
          </w:tcPr>
          <w:p w14:paraId="490F3EF5" w14:textId="77777777" w:rsidR="00CA2F73" w:rsidRPr="00290D11" w:rsidRDefault="00CA2F73" w:rsidP="00726785">
            <w:pPr>
              <w:rPr>
                <w:rFonts w:eastAsia="Times New Roman" w:cs="Times New Roman"/>
                <w:lang w:eastAsia="cs-CZ"/>
              </w:rPr>
            </w:pPr>
            <w:r w:rsidRPr="00290D11">
              <w:rPr>
                <w:rFonts w:eastAsia="Times New Roman" w:cs="Times New Roman"/>
                <w:b/>
                <w:lang w:eastAsia="cs-CZ"/>
              </w:rPr>
              <w:t xml:space="preserve">1 (CF) – Infrastruktura pro železniční a další udržitelnou dopravu </w:t>
            </w:r>
            <w:r w:rsidRPr="00290D11">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14:paraId="68EF103F" w14:textId="77777777" w:rsidR="00CA2F73" w:rsidRPr="00290D11" w:rsidRDefault="00CA2F73" w:rsidP="00726785">
            <w:pPr>
              <w:spacing w:before="81"/>
              <w:jc w:val="right"/>
              <w:rPr>
                <w:rFonts w:eastAsia="Times New Roman" w:cs="Times New Roman"/>
                <w:b/>
                <w:lang w:eastAsia="cs-CZ"/>
              </w:rPr>
            </w:pPr>
            <w:r w:rsidRPr="00290D11">
              <w:rPr>
                <w:rFonts w:eastAsia="Times New Roman" w:cs="Times New Roman"/>
                <w:b/>
                <w:lang w:eastAsia="cs-CZ"/>
              </w:rPr>
              <w:t>1 007 454</w:t>
            </w:r>
          </w:p>
        </w:tc>
        <w:tc>
          <w:tcPr>
            <w:tcW w:w="648" w:type="pct"/>
            <w:tcBorders>
              <w:top w:val="single" w:sz="4" w:space="0" w:color="7F7F7F" w:themeColor="text1" w:themeTint="80"/>
            </w:tcBorders>
            <w:shd w:val="clear" w:color="auto" w:fill="auto"/>
            <w:vAlign w:val="center"/>
          </w:tcPr>
          <w:p w14:paraId="364F3986" w14:textId="77777777" w:rsidR="00CA2F73" w:rsidRPr="00290D11" w:rsidRDefault="00CA2F73" w:rsidP="00726785">
            <w:pPr>
              <w:spacing w:before="81"/>
              <w:jc w:val="right"/>
              <w:rPr>
                <w:rFonts w:eastAsia="Times New Roman" w:cs="Times New Roman"/>
                <w:b/>
                <w:lang w:eastAsia="cs-CZ"/>
              </w:rPr>
            </w:pPr>
            <w:r w:rsidRPr="00290D11">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14:paraId="185E8E18" w14:textId="77777777" w:rsidR="00CA2F73" w:rsidRPr="00290D11" w:rsidRDefault="00CA2F73" w:rsidP="00726785">
            <w:pPr>
              <w:spacing w:before="81"/>
              <w:jc w:val="right"/>
              <w:rPr>
                <w:rFonts w:eastAsia="Times New Roman" w:cs="Times New Roman"/>
                <w:b/>
                <w:lang w:eastAsia="cs-CZ"/>
              </w:rPr>
            </w:pPr>
            <w:r w:rsidRPr="00290D11">
              <w:rPr>
                <w:rFonts w:eastAsia="Times New Roman" w:cs="Times New Roman"/>
                <w:b/>
                <w:lang w:eastAsia="cs-CZ"/>
              </w:rPr>
              <w:t>1 007 454</w:t>
            </w:r>
          </w:p>
        </w:tc>
      </w:tr>
      <w:tr w:rsidR="00CA2F73" w:rsidRPr="00E8518E" w14:paraId="6423B443" w14:textId="77777777" w:rsidTr="00726785">
        <w:trPr>
          <w:trHeight w:val="112"/>
        </w:trPr>
        <w:tc>
          <w:tcPr>
            <w:tcW w:w="2806" w:type="pct"/>
            <w:tcBorders>
              <w:bottom w:val="nil"/>
            </w:tcBorders>
            <w:shd w:val="clear" w:color="auto" w:fill="auto"/>
          </w:tcPr>
          <w:p w14:paraId="3D6CD492" w14:textId="77777777" w:rsidR="00CA2F73" w:rsidRPr="00290D11" w:rsidRDefault="00CA2F73" w:rsidP="00726785">
            <w:pPr>
              <w:rPr>
                <w:rFonts w:eastAsia="Times New Roman" w:cs="Times New Roman"/>
                <w:lang w:eastAsia="cs-CZ"/>
              </w:rPr>
            </w:pPr>
            <w:r w:rsidRPr="00290D11">
              <w:rPr>
                <w:rFonts w:eastAsia="Times New Roman" w:cs="Times New Roman"/>
                <w:lang w:eastAsia="cs-CZ"/>
              </w:rPr>
              <w:t>Státní fond dopravní infrastruktury v tom:</w:t>
            </w:r>
          </w:p>
        </w:tc>
        <w:tc>
          <w:tcPr>
            <w:tcW w:w="766" w:type="pct"/>
            <w:tcBorders>
              <w:bottom w:val="nil"/>
            </w:tcBorders>
            <w:shd w:val="clear" w:color="auto" w:fill="auto"/>
          </w:tcPr>
          <w:p w14:paraId="1323BB49"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1 007 454</w:t>
            </w:r>
          </w:p>
        </w:tc>
        <w:tc>
          <w:tcPr>
            <w:tcW w:w="648" w:type="pct"/>
            <w:tcBorders>
              <w:bottom w:val="nil"/>
            </w:tcBorders>
            <w:shd w:val="clear" w:color="auto" w:fill="auto"/>
          </w:tcPr>
          <w:p w14:paraId="5CD4959E"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0</w:t>
            </w:r>
          </w:p>
        </w:tc>
        <w:tc>
          <w:tcPr>
            <w:tcW w:w="780" w:type="pct"/>
            <w:tcBorders>
              <w:bottom w:val="nil"/>
            </w:tcBorders>
            <w:shd w:val="clear" w:color="auto" w:fill="auto"/>
          </w:tcPr>
          <w:p w14:paraId="627CADC8"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1 007 454</w:t>
            </w:r>
          </w:p>
        </w:tc>
      </w:tr>
      <w:tr w:rsidR="00CA2F73" w:rsidRPr="00E8518E" w14:paraId="2A6191A2" w14:textId="77777777" w:rsidTr="00726785">
        <w:tc>
          <w:tcPr>
            <w:tcW w:w="2806" w:type="pct"/>
            <w:tcBorders>
              <w:top w:val="nil"/>
              <w:bottom w:val="single" w:sz="4" w:space="0" w:color="7F7F7F" w:themeColor="text1" w:themeTint="80"/>
            </w:tcBorders>
            <w:shd w:val="clear" w:color="auto" w:fill="auto"/>
          </w:tcPr>
          <w:p w14:paraId="48C749AD" w14:textId="77777777" w:rsidR="00CA2F73" w:rsidRPr="00290D11" w:rsidRDefault="00CA2F73" w:rsidP="00726785">
            <w:pPr>
              <w:rPr>
                <w:rFonts w:eastAsia="Times New Roman" w:cs="Times New Roman"/>
                <w:i/>
                <w:lang w:eastAsia="cs-CZ"/>
              </w:rPr>
            </w:pPr>
            <w:r w:rsidRPr="00290D11">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14:paraId="20625BCC"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1 007 454</w:t>
            </w:r>
          </w:p>
        </w:tc>
        <w:tc>
          <w:tcPr>
            <w:tcW w:w="648" w:type="pct"/>
            <w:tcBorders>
              <w:top w:val="nil"/>
              <w:bottom w:val="single" w:sz="4" w:space="0" w:color="7F7F7F" w:themeColor="text1" w:themeTint="80"/>
            </w:tcBorders>
            <w:shd w:val="clear" w:color="auto" w:fill="auto"/>
          </w:tcPr>
          <w:p w14:paraId="786874CD"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14:paraId="5A55D88D"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1 007 454</w:t>
            </w:r>
          </w:p>
        </w:tc>
      </w:tr>
      <w:tr w:rsidR="00CA2F73" w:rsidRPr="00E8518E" w14:paraId="40372668" w14:textId="77777777" w:rsidTr="00726785">
        <w:tc>
          <w:tcPr>
            <w:tcW w:w="2806" w:type="pct"/>
            <w:tcBorders>
              <w:top w:val="nil"/>
              <w:bottom w:val="nil"/>
            </w:tcBorders>
            <w:shd w:val="clear" w:color="auto" w:fill="auto"/>
          </w:tcPr>
          <w:p w14:paraId="7C1CC9B7" w14:textId="77777777" w:rsidR="00CA2F73" w:rsidRPr="00290D11" w:rsidRDefault="00CA2F73" w:rsidP="00726785">
            <w:pPr>
              <w:rPr>
                <w:rFonts w:eastAsia="Times New Roman" w:cs="Times New Roman"/>
                <w:lang w:eastAsia="cs-CZ"/>
              </w:rPr>
            </w:pPr>
            <w:r w:rsidRPr="00290D11">
              <w:rPr>
                <w:rFonts w:eastAsia="Times New Roman" w:cs="Times New Roman"/>
                <w:lang w:eastAsia="cs-CZ"/>
              </w:rPr>
              <w:t>Podnikatelské subjekty v tom:</w:t>
            </w:r>
          </w:p>
        </w:tc>
        <w:tc>
          <w:tcPr>
            <w:tcW w:w="766" w:type="pct"/>
            <w:tcBorders>
              <w:top w:val="nil"/>
              <w:bottom w:val="nil"/>
            </w:tcBorders>
            <w:shd w:val="clear" w:color="auto" w:fill="auto"/>
          </w:tcPr>
          <w:p w14:paraId="777377D3"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 xml:space="preserve">0 </w:t>
            </w:r>
          </w:p>
        </w:tc>
        <w:tc>
          <w:tcPr>
            <w:tcW w:w="648" w:type="pct"/>
            <w:tcBorders>
              <w:top w:val="nil"/>
              <w:bottom w:val="nil"/>
            </w:tcBorders>
            <w:shd w:val="clear" w:color="auto" w:fill="auto"/>
          </w:tcPr>
          <w:p w14:paraId="23C8CDB8"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0</w:t>
            </w:r>
          </w:p>
        </w:tc>
        <w:tc>
          <w:tcPr>
            <w:tcW w:w="780" w:type="pct"/>
            <w:tcBorders>
              <w:top w:val="nil"/>
              <w:bottom w:val="nil"/>
            </w:tcBorders>
            <w:shd w:val="clear" w:color="auto" w:fill="auto"/>
          </w:tcPr>
          <w:p w14:paraId="6988CD41"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 xml:space="preserve">0 </w:t>
            </w:r>
          </w:p>
        </w:tc>
      </w:tr>
      <w:tr w:rsidR="00CA2F73" w:rsidRPr="00E8518E" w14:paraId="404DF3FC" w14:textId="77777777" w:rsidTr="00726785">
        <w:tc>
          <w:tcPr>
            <w:tcW w:w="2806" w:type="pct"/>
            <w:tcBorders>
              <w:top w:val="nil"/>
              <w:bottom w:val="nil"/>
            </w:tcBorders>
            <w:shd w:val="clear" w:color="auto" w:fill="auto"/>
          </w:tcPr>
          <w:p w14:paraId="1EC93DEC" w14:textId="77777777" w:rsidR="00CA2F73" w:rsidRPr="00290D11" w:rsidRDefault="00CA2F73" w:rsidP="00726785">
            <w:pPr>
              <w:rPr>
                <w:rFonts w:eastAsia="Times New Roman" w:cs="Times New Roman"/>
                <w:i/>
                <w:lang w:eastAsia="cs-CZ"/>
              </w:rPr>
            </w:pPr>
            <w:r w:rsidRPr="00290D11">
              <w:rPr>
                <w:rFonts w:eastAsia="Times New Roman" w:cs="Times New Roman"/>
                <w:i/>
                <w:lang w:eastAsia="cs-CZ"/>
              </w:rPr>
              <w:t>127 77 Podpora financování dopravy</w:t>
            </w:r>
          </w:p>
        </w:tc>
        <w:tc>
          <w:tcPr>
            <w:tcW w:w="766" w:type="pct"/>
            <w:tcBorders>
              <w:top w:val="nil"/>
              <w:bottom w:val="nil"/>
            </w:tcBorders>
            <w:shd w:val="clear" w:color="auto" w:fill="auto"/>
          </w:tcPr>
          <w:p w14:paraId="29594DEB"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648" w:type="pct"/>
            <w:tcBorders>
              <w:top w:val="nil"/>
              <w:bottom w:val="nil"/>
            </w:tcBorders>
            <w:shd w:val="clear" w:color="auto" w:fill="auto"/>
          </w:tcPr>
          <w:p w14:paraId="620EF946"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780" w:type="pct"/>
            <w:tcBorders>
              <w:top w:val="nil"/>
              <w:bottom w:val="nil"/>
            </w:tcBorders>
            <w:shd w:val="clear" w:color="auto" w:fill="auto"/>
          </w:tcPr>
          <w:p w14:paraId="737DE884"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r>
      <w:tr w:rsidR="00CA2F73" w:rsidRPr="00E8518E" w14:paraId="0D1CDC96" w14:textId="77777777" w:rsidTr="00726785">
        <w:tc>
          <w:tcPr>
            <w:tcW w:w="2806" w:type="pct"/>
            <w:tcBorders>
              <w:top w:val="nil"/>
              <w:bottom w:val="single" w:sz="4" w:space="0" w:color="7F7F7F" w:themeColor="text1" w:themeTint="80"/>
            </w:tcBorders>
            <w:shd w:val="clear" w:color="auto" w:fill="auto"/>
          </w:tcPr>
          <w:p w14:paraId="0995D0E8" w14:textId="77777777" w:rsidR="00CA2F73" w:rsidRPr="00290D11" w:rsidRDefault="00CA2F73" w:rsidP="00726785">
            <w:pPr>
              <w:rPr>
                <w:rFonts w:eastAsia="Times New Roman" w:cs="Times New Roman"/>
                <w:i/>
                <w:lang w:eastAsia="cs-CZ"/>
              </w:rPr>
            </w:pPr>
            <w:r w:rsidRPr="00290D11">
              <w:rPr>
                <w:rFonts w:eastAsia="Times New Roman" w:cs="Times New Roman"/>
                <w:i/>
                <w:lang w:eastAsia="cs-CZ"/>
              </w:rPr>
              <w:t>127 65 Pořízení a modernizace žel. kolej. vozidel</w:t>
            </w:r>
          </w:p>
        </w:tc>
        <w:tc>
          <w:tcPr>
            <w:tcW w:w="766" w:type="pct"/>
            <w:tcBorders>
              <w:top w:val="nil"/>
              <w:bottom w:val="single" w:sz="4" w:space="0" w:color="7F7F7F" w:themeColor="text1" w:themeTint="80"/>
            </w:tcBorders>
            <w:shd w:val="clear" w:color="auto" w:fill="auto"/>
          </w:tcPr>
          <w:p w14:paraId="537C1D43"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648" w:type="pct"/>
            <w:tcBorders>
              <w:top w:val="nil"/>
              <w:bottom w:val="single" w:sz="4" w:space="0" w:color="7F7F7F" w:themeColor="text1" w:themeTint="80"/>
            </w:tcBorders>
            <w:shd w:val="clear" w:color="auto" w:fill="auto"/>
          </w:tcPr>
          <w:p w14:paraId="5B7B6A08"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14:paraId="289F94D1"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r>
      <w:tr w:rsidR="00CA2F73" w:rsidRPr="00E8518E" w14:paraId="162EF569" w14:textId="77777777" w:rsidTr="00726785">
        <w:tc>
          <w:tcPr>
            <w:tcW w:w="2806" w:type="pct"/>
            <w:tcBorders>
              <w:top w:val="single" w:sz="4" w:space="0" w:color="7F7F7F" w:themeColor="text1" w:themeTint="80"/>
            </w:tcBorders>
            <w:shd w:val="clear" w:color="auto" w:fill="auto"/>
          </w:tcPr>
          <w:p w14:paraId="274724FC" w14:textId="77777777" w:rsidR="00CA2F73" w:rsidRPr="00290D11" w:rsidRDefault="00CA2F73" w:rsidP="00726785">
            <w:pPr>
              <w:rPr>
                <w:rFonts w:eastAsia="Times New Roman" w:cs="Times New Roman"/>
                <w:lang w:eastAsia="cs-CZ"/>
              </w:rPr>
            </w:pPr>
            <w:r w:rsidRPr="00290D11">
              <w:rPr>
                <w:rFonts w:eastAsia="Times New Roman" w:cs="Times New Roman"/>
                <w:b/>
                <w:lang w:eastAsia="cs-CZ"/>
              </w:rPr>
              <w:t xml:space="preserve">2 (CF) – Silniční infrastruktura na síti TEN-T                 a veřejná infrastruktura pro čistou mobilitu </w:t>
            </w:r>
            <w:r w:rsidRPr="00290D11">
              <w:rPr>
                <w:rFonts w:eastAsia="Times New Roman" w:cs="Times New Roman"/>
                <w:b/>
                <w:lang w:eastAsia="cs-CZ"/>
              </w:rPr>
              <w:br/>
              <w:t xml:space="preserve">a řízení silničního provozu </w:t>
            </w:r>
            <w:r w:rsidRPr="00290D11">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14:paraId="6F629DC1" w14:textId="77777777" w:rsidR="00CA2F73" w:rsidRPr="00290D11" w:rsidRDefault="00CA2F73" w:rsidP="00726785">
            <w:pPr>
              <w:spacing w:before="163"/>
              <w:jc w:val="right"/>
              <w:rPr>
                <w:rFonts w:eastAsia="Times New Roman" w:cs="Times New Roman"/>
                <w:b/>
                <w:lang w:eastAsia="cs-CZ"/>
              </w:rPr>
            </w:pPr>
            <w:r w:rsidRPr="00290D11">
              <w:rPr>
                <w:rFonts w:eastAsia="Times New Roman" w:cs="Times New Roman"/>
                <w:b/>
                <w:lang w:eastAsia="cs-CZ"/>
              </w:rPr>
              <w:t>129 546</w:t>
            </w:r>
          </w:p>
        </w:tc>
        <w:tc>
          <w:tcPr>
            <w:tcW w:w="648" w:type="pct"/>
            <w:tcBorders>
              <w:top w:val="single" w:sz="4" w:space="0" w:color="7F7F7F" w:themeColor="text1" w:themeTint="80"/>
            </w:tcBorders>
            <w:shd w:val="clear" w:color="auto" w:fill="auto"/>
            <w:vAlign w:val="center"/>
          </w:tcPr>
          <w:p w14:paraId="354AD685" w14:textId="77777777" w:rsidR="00CA2F73" w:rsidRPr="00290D11" w:rsidRDefault="00CA2F73" w:rsidP="00726785">
            <w:pPr>
              <w:spacing w:before="163"/>
              <w:jc w:val="right"/>
              <w:rPr>
                <w:rFonts w:eastAsia="Times New Roman" w:cs="Times New Roman"/>
                <w:b/>
                <w:lang w:eastAsia="cs-CZ"/>
              </w:rPr>
            </w:pPr>
            <w:r w:rsidRPr="00290D11">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14:paraId="13148B41" w14:textId="77777777" w:rsidR="00CA2F73" w:rsidRPr="00290D11" w:rsidRDefault="00CA2F73" w:rsidP="00726785">
            <w:pPr>
              <w:spacing w:before="163"/>
              <w:jc w:val="right"/>
              <w:rPr>
                <w:rFonts w:eastAsia="Times New Roman" w:cs="Times New Roman"/>
                <w:b/>
                <w:lang w:eastAsia="cs-CZ"/>
              </w:rPr>
            </w:pPr>
            <w:r w:rsidRPr="00290D11">
              <w:rPr>
                <w:rFonts w:eastAsia="Times New Roman" w:cs="Times New Roman"/>
                <w:b/>
                <w:lang w:eastAsia="cs-CZ"/>
              </w:rPr>
              <w:t>129 546</w:t>
            </w:r>
          </w:p>
        </w:tc>
      </w:tr>
      <w:tr w:rsidR="00CA2F73" w:rsidRPr="00E8518E" w14:paraId="7A1FACA7" w14:textId="77777777" w:rsidTr="00726785">
        <w:tc>
          <w:tcPr>
            <w:tcW w:w="2806" w:type="pct"/>
            <w:tcBorders>
              <w:bottom w:val="nil"/>
            </w:tcBorders>
            <w:shd w:val="clear" w:color="auto" w:fill="auto"/>
          </w:tcPr>
          <w:p w14:paraId="22898AD9" w14:textId="77777777" w:rsidR="00CA2F73" w:rsidRPr="00290D11" w:rsidRDefault="00CA2F73" w:rsidP="00726785">
            <w:pPr>
              <w:rPr>
                <w:rFonts w:eastAsia="Times New Roman" w:cs="Times New Roman"/>
                <w:lang w:eastAsia="cs-CZ"/>
              </w:rPr>
            </w:pPr>
            <w:r w:rsidRPr="00290D11">
              <w:rPr>
                <w:rFonts w:eastAsia="Times New Roman" w:cs="Times New Roman"/>
                <w:lang w:eastAsia="cs-CZ"/>
              </w:rPr>
              <w:t>Státní fond dopravní infrastruktury v tom:</w:t>
            </w:r>
          </w:p>
        </w:tc>
        <w:tc>
          <w:tcPr>
            <w:tcW w:w="766" w:type="pct"/>
            <w:tcBorders>
              <w:bottom w:val="nil"/>
            </w:tcBorders>
            <w:shd w:val="clear" w:color="auto" w:fill="auto"/>
          </w:tcPr>
          <w:p w14:paraId="11A0682C"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129 546</w:t>
            </w:r>
          </w:p>
        </w:tc>
        <w:tc>
          <w:tcPr>
            <w:tcW w:w="648" w:type="pct"/>
            <w:tcBorders>
              <w:bottom w:val="nil"/>
            </w:tcBorders>
            <w:shd w:val="clear" w:color="auto" w:fill="auto"/>
          </w:tcPr>
          <w:p w14:paraId="51C92272"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0</w:t>
            </w:r>
          </w:p>
        </w:tc>
        <w:tc>
          <w:tcPr>
            <w:tcW w:w="780" w:type="pct"/>
            <w:tcBorders>
              <w:bottom w:val="nil"/>
            </w:tcBorders>
            <w:shd w:val="clear" w:color="auto" w:fill="auto"/>
          </w:tcPr>
          <w:p w14:paraId="2C3B4DAD"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129 546</w:t>
            </w:r>
          </w:p>
        </w:tc>
      </w:tr>
      <w:tr w:rsidR="00CA2F73" w:rsidRPr="00E8518E" w14:paraId="61AF48C8" w14:textId="77777777" w:rsidTr="00726785">
        <w:tc>
          <w:tcPr>
            <w:tcW w:w="2806" w:type="pct"/>
            <w:tcBorders>
              <w:top w:val="nil"/>
              <w:bottom w:val="single" w:sz="4" w:space="0" w:color="7F7F7F" w:themeColor="text1" w:themeTint="80"/>
            </w:tcBorders>
            <w:shd w:val="clear" w:color="auto" w:fill="auto"/>
          </w:tcPr>
          <w:p w14:paraId="2C2F7576" w14:textId="77777777" w:rsidR="00CA2F73" w:rsidRPr="00290D11" w:rsidRDefault="00CA2F73" w:rsidP="00726785">
            <w:pPr>
              <w:rPr>
                <w:rFonts w:eastAsia="Times New Roman" w:cs="Times New Roman"/>
                <w:i/>
                <w:lang w:eastAsia="cs-CZ"/>
              </w:rPr>
            </w:pPr>
            <w:r w:rsidRPr="00290D11">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14:paraId="33B9EDD5"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129 546</w:t>
            </w:r>
          </w:p>
        </w:tc>
        <w:tc>
          <w:tcPr>
            <w:tcW w:w="648" w:type="pct"/>
            <w:tcBorders>
              <w:top w:val="nil"/>
              <w:bottom w:val="single" w:sz="4" w:space="0" w:color="7F7F7F" w:themeColor="text1" w:themeTint="80"/>
            </w:tcBorders>
            <w:shd w:val="clear" w:color="auto" w:fill="auto"/>
          </w:tcPr>
          <w:p w14:paraId="7EE5E688"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14:paraId="54C9EDA9"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129 546</w:t>
            </w:r>
          </w:p>
        </w:tc>
      </w:tr>
      <w:tr w:rsidR="00CA2F73" w:rsidRPr="00E8518E" w14:paraId="1A90ED60" w14:textId="77777777" w:rsidTr="00726785">
        <w:tc>
          <w:tcPr>
            <w:tcW w:w="2806" w:type="pct"/>
            <w:tcBorders>
              <w:top w:val="nil"/>
              <w:bottom w:val="nil"/>
            </w:tcBorders>
            <w:shd w:val="clear" w:color="auto" w:fill="auto"/>
          </w:tcPr>
          <w:p w14:paraId="1C87F913" w14:textId="77777777" w:rsidR="00CA2F73" w:rsidRPr="00290D11" w:rsidRDefault="00CA2F73" w:rsidP="00726785">
            <w:pPr>
              <w:rPr>
                <w:rFonts w:eastAsia="Times New Roman" w:cs="Times New Roman"/>
                <w:lang w:eastAsia="cs-CZ"/>
              </w:rPr>
            </w:pPr>
            <w:r w:rsidRPr="00290D11">
              <w:rPr>
                <w:rFonts w:eastAsia="Times New Roman" w:cs="Times New Roman"/>
                <w:lang w:eastAsia="cs-CZ"/>
              </w:rPr>
              <w:t xml:space="preserve">Podnikatelské subjekty v tom: </w:t>
            </w:r>
          </w:p>
        </w:tc>
        <w:tc>
          <w:tcPr>
            <w:tcW w:w="766" w:type="pct"/>
            <w:tcBorders>
              <w:top w:val="nil"/>
              <w:bottom w:val="nil"/>
            </w:tcBorders>
            <w:shd w:val="clear" w:color="auto" w:fill="auto"/>
          </w:tcPr>
          <w:p w14:paraId="276B0E44"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0</w:t>
            </w:r>
          </w:p>
        </w:tc>
        <w:tc>
          <w:tcPr>
            <w:tcW w:w="648" w:type="pct"/>
            <w:tcBorders>
              <w:top w:val="nil"/>
              <w:bottom w:val="nil"/>
            </w:tcBorders>
            <w:shd w:val="clear" w:color="auto" w:fill="auto"/>
          </w:tcPr>
          <w:p w14:paraId="510F21AA"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0</w:t>
            </w:r>
          </w:p>
        </w:tc>
        <w:tc>
          <w:tcPr>
            <w:tcW w:w="780" w:type="pct"/>
            <w:tcBorders>
              <w:top w:val="nil"/>
              <w:bottom w:val="nil"/>
            </w:tcBorders>
            <w:shd w:val="clear" w:color="auto" w:fill="auto"/>
          </w:tcPr>
          <w:p w14:paraId="4C8B643A" w14:textId="77777777" w:rsidR="00CA2F73" w:rsidRPr="00290D11" w:rsidRDefault="00CA2F73" w:rsidP="00726785">
            <w:pPr>
              <w:jc w:val="right"/>
              <w:rPr>
                <w:rFonts w:eastAsia="Times New Roman" w:cs="Times New Roman"/>
                <w:lang w:eastAsia="cs-CZ"/>
              </w:rPr>
            </w:pPr>
            <w:r w:rsidRPr="00290D11">
              <w:rPr>
                <w:rFonts w:eastAsia="Times New Roman" w:cs="Times New Roman"/>
                <w:lang w:eastAsia="cs-CZ"/>
              </w:rPr>
              <w:t>0</w:t>
            </w:r>
          </w:p>
        </w:tc>
      </w:tr>
      <w:tr w:rsidR="00CA2F73" w:rsidRPr="00E8518E" w14:paraId="19A3DFA8" w14:textId="77777777" w:rsidTr="00726785">
        <w:tc>
          <w:tcPr>
            <w:tcW w:w="2806" w:type="pct"/>
            <w:tcBorders>
              <w:top w:val="nil"/>
              <w:bottom w:val="single" w:sz="4" w:space="0" w:color="7F7F7F" w:themeColor="text1" w:themeTint="80"/>
            </w:tcBorders>
            <w:shd w:val="clear" w:color="auto" w:fill="auto"/>
          </w:tcPr>
          <w:p w14:paraId="44EF295B" w14:textId="77777777" w:rsidR="00CA2F73" w:rsidRPr="00290D11" w:rsidRDefault="00CA2F73" w:rsidP="00726785">
            <w:pPr>
              <w:rPr>
                <w:rFonts w:eastAsia="Times New Roman" w:cs="Times New Roman"/>
                <w:i/>
                <w:lang w:eastAsia="cs-CZ"/>
              </w:rPr>
            </w:pPr>
            <w:r w:rsidRPr="00290D11">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14:paraId="26126BB7"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648" w:type="pct"/>
            <w:tcBorders>
              <w:top w:val="nil"/>
              <w:bottom w:val="single" w:sz="4" w:space="0" w:color="7F7F7F" w:themeColor="text1" w:themeTint="80"/>
            </w:tcBorders>
            <w:shd w:val="clear" w:color="auto" w:fill="auto"/>
          </w:tcPr>
          <w:p w14:paraId="2BBB1549"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14:paraId="432C6823" w14:textId="77777777" w:rsidR="00CA2F73" w:rsidRPr="00290D11" w:rsidRDefault="00CA2F73" w:rsidP="00726785">
            <w:pPr>
              <w:jc w:val="right"/>
              <w:rPr>
                <w:rFonts w:eastAsia="Times New Roman" w:cs="Times New Roman"/>
                <w:i/>
                <w:lang w:eastAsia="cs-CZ"/>
              </w:rPr>
            </w:pPr>
            <w:r w:rsidRPr="00290D11">
              <w:rPr>
                <w:rFonts w:eastAsia="Times New Roman" w:cs="Times New Roman"/>
                <w:i/>
                <w:lang w:eastAsia="cs-CZ"/>
              </w:rPr>
              <w:t>0</w:t>
            </w:r>
          </w:p>
        </w:tc>
      </w:tr>
      <w:tr w:rsidR="00CA2F73" w:rsidRPr="00E8518E" w14:paraId="3CB3FDAA" w14:textId="77777777" w:rsidTr="00726785">
        <w:tc>
          <w:tcPr>
            <w:tcW w:w="2806" w:type="pct"/>
            <w:tcBorders>
              <w:top w:val="single" w:sz="4" w:space="0" w:color="7F7F7F" w:themeColor="text1" w:themeTint="80"/>
            </w:tcBorders>
            <w:shd w:val="clear" w:color="auto" w:fill="auto"/>
          </w:tcPr>
          <w:p w14:paraId="3EC7FACF" w14:textId="77777777" w:rsidR="00CA2F73" w:rsidRPr="00290D11" w:rsidRDefault="00CA2F73" w:rsidP="00726785">
            <w:pPr>
              <w:rPr>
                <w:rFonts w:eastAsia="Times New Roman" w:cs="Times New Roman"/>
                <w:lang w:eastAsia="cs-CZ"/>
              </w:rPr>
            </w:pPr>
            <w:r w:rsidRPr="00290D11">
              <w:rPr>
                <w:rFonts w:eastAsia="Times New Roman" w:cs="Times New Roman"/>
                <w:b/>
                <w:lang w:eastAsia="cs-CZ"/>
              </w:rPr>
              <w:t xml:space="preserve">3 (ERDF) – Silniční infrastruktura mimo síť </w:t>
            </w:r>
            <w:r w:rsidRPr="00290D11">
              <w:rPr>
                <w:rFonts w:eastAsia="Times New Roman" w:cs="Times New Roman"/>
                <w:b/>
                <w:lang w:eastAsia="cs-CZ"/>
              </w:rPr>
              <w:br/>
              <w:t xml:space="preserve">TEN-T </w:t>
            </w:r>
            <w:r w:rsidRPr="00290D11">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14:paraId="18EDBBAE" w14:textId="77777777" w:rsidR="00CA2F73" w:rsidRPr="00290D11" w:rsidRDefault="00CA2F73" w:rsidP="00726785">
            <w:pPr>
              <w:jc w:val="right"/>
              <w:rPr>
                <w:rFonts w:eastAsia="Times New Roman" w:cs="Times New Roman"/>
                <w:b/>
                <w:lang w:eastAsia="cs-CZ"/>
              </w:rPr>
            </w:pPr>
            <w:r>
              <w:rPr>
                <w:rFonts w:eastAsia="Times New Roman" w:cs="Times New Roman"/>
                <w:b/>
                <w:lang w:eastAsia="cs-CZ"/>
              </w:rPr>
              <w:t>618 117</w:t>
            </w:r>
          </w:p>
        </w:tc>
        <w:tc>
          <w:tcPr>
            <w:tcW w:w="648" w:type="pct"/>
            <w:tcBorders>
              <w:top w:val="single" w:sz="4" w:space="0" w:color="7F7F7F" w:themeColor="text1" w:themeTint="80"/>
            </w:tcBorders>
            <w:shd w:val="clear" w:color="auto" w:fill="auto"/>
            <w:vAlign w:val="center"/>
          </w:tcPr>
          <w:p w14:paraId="7345CBF0" w14:textId="77777777" w:rsidR="00CA2F73" w:rsidRPr="00290D11" w:rsidRDefault="00CA2F73" w:rsidP="00726785">
            <w:pPr>
              <w:jc w:val="right"/>
              <w:rPr>
                <w:rFonts w:eastAsia="Times New Roman" w:cs="Times New Roman"/>
                <w:b/>
                <w:lang w:eastAsia="cs-CZ"/>
              </w:rPr>
            </w:pPr>
            <w:r w:rsidRPr="00290D11">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14:paraId="57ADAC33" w14:textId="35063D4C" w:rsidR="00CA2F73" w:rsidRPr="0088307E" w:rsidRDefault="00D72F3D" w:rsidP="00726785">
            <w:pPr>
              <w:jc w:val="right"/>
              <w:rPr>
                <w:rFonts w:eastAsia="Times New Roman" w:cs="Times New Roman"/>
                <w:b/>
                <w:color w:val="FF0000"/>
                <w:lang w:eastAsia="cs-CZ"/>
              </w:rPr>
            </w:pPr>
            <w:r w:rsidRPr="0088307E">
              <w:rPr>
                <w:rFonts w:eastAsia="Times New Roman" w:cs="Times New Roman"/>
                <w:b/>
                <w:lang w:eastAsia="cs-CZ"/>
              </w:rPr>
              <w:t>618 117</w:t>
            </w:r>
          </w:p>
        </w:tc>
      </w:tr>
      <w:tr w:rsidR="00CA2F73" w:rsidRPr="00E8518E" w14:paraId="374F45FD" w14:textId="77777777" w:rsidTr="00726785">
        <w:tc>
          <w:tcPr>
            <w:tcW w:w="2806" w:type="pct"/>
            <w:tcBorders>
              <w:bottom w:val="nil"/>
            </w:tcBorders>
            <w:shd w:val="clear" w:color="auto" w:fill="auto"/>
          </w:tcPr>
          <w:p w14:paraId="60173421" w14:textId="77777777" w:rsidR="00CA2F73" w:rsidRPr="00A851ED" w:rsidRDefault="00CA2F73" w:rsidP="00726785">
            <w:pPr>
              <w:rPr>
                <w:rFonts w:eastAsia="Times New Roman" w:cs="Times New Roman"/>
                <w:lang w:eastAsia="cs-CZ"/>
              </w:rPr>
            </w:pPr>
            <w:r w:rsidRPr="00A851ED">
              <w:rPr>
                <w:rFonts w:eastAsia="Times New Roman" w:cs="Times New Roman"/>
                <w:lang w:eastAsia="cs-CZ"/>
              </w:rPr>
              <w:t>Státní fond dopravní infrastruktury v tom:</w:t>
            </w:r>
          </w:p>
        </w:tc>
        <w:tc>
          <w:tcPr>
            <w:tcW w:w="766" w:type="pct"/>
            <w:tcBorders>
              <w:bottom w:val="nil"/>
            </w:tcBorders>
            <w:shd w:val="clear" w:color="auto" w:fill="auto"/>
          </w:tcPr>
          <w:p w14:paraId="7537B9DD" w14:textId="4B6A5045" w:rsidR="00CA2F73" w:rsidRPr="00A851ED" w:rsidRDefault="00D72F3D" w:rsidP="00A851ED">
            <w:pPr>
              <w:jc w:val="right"/>
              <w:rPr>
                <w:rFonts w:eastAsia="Times New Roman" w:cs="Times New Roman"/>
                <w:lang w:eastAsia="cs-CZ"/>
              </w:rPr>
            </w:pPr>
            <w:r w:rsidRPr="0088307E">
              <w:rPr>
                <w:rFonts w:eastAsia="Times New Roman" w:cs="Times New Roman"/>
                <w:lang w:eastAsia="cs-CZ"/>
              </w:rPr>
              <w:t>618 117</w:t>
            </w:r>
          </w:p>
        </w:tc>
        <w:tc>
          <w:tcPr>
            <w:tcW w:w="648" w:type="pct"/>
            <w:tcBorders>
              <w:bottom w:val="nil"/>
            </w:tcBorders>
            <w:shd w:val="clear" w:color="auto" w:fill="auto"/>
          </w:tcPr>
          <w:p w14:paraId="75E2585B" w14:textId="77777777" w:rsidR="00CA2F73" w:rsidRPr="00D72F3D" w:rsidRDefault="00CA2F73" w:rsidP="00726785">
            <w:pPr>
              <w:jc w:val="right"/>
              <w:rPr>
                <w:rFonts w:eastAsia="Times New Roman" w:cs="Times New Roman"/>
                <w:lang w:eastAsia="cs-CZ"/>
              </w:rPr>
            </w:pPr>
            <w:r w:rsidRPr="00D72F3D">
              <w:rPr>
                <w:rFonts w:eastAsia="Times New Roman" w:cs="Times New Roman"/>
                <w:lang w:eastAsia="cs-CZ"/>
              </w:rPr>
              <w:t>0</w:t>
            </w:r>
          </w:p>
        </w:tc>
        <w:tc>
          <w:tcPr>
            <w:tcW w:w="780" w:type="pct"/>
            <w:tcBorders>
              <w:bottom w:val="nil"/>
            </w:tcBorders>
            <w:shd w:val="clear" w:color="auto" w:fill="auto"/>
          </w:tcPr>
          <w:p w14:paraId="07648BAE" w14:textId="489641BB" w:rsidR="00CA2F73" w:rsidRPr="00A851ED" w:rsidRDefault="00D72F3D" w:rsidP="00726785">
            <w:pPr>
              <w:jc w:val="right"/>
              <w:rPr>
                <w:rFonts w:eastAsia="Times New Roman" w:cs="Times New Roman"/>
                <w:lang w:eastAsia="cs-CZ"/>
              </w:rPr>
            </w:pPr>
            <w:r w:rsidRPr="0088307E">
              <w:rPr>
                <w:rFonts w:eastAsia="Times New Roman" w:cs="Times New Roman"/>
                <w:lang w:eastAsia="cs-CZ"/>
              </w:rPr>
              <w:t>618 117</w:t>
            </w:r>
          </w:p>
        </w:tc>
      </w:tr>
      <w:tr w:rsidR="00CA2F73" w:rsidRPr="00E8518E" w14:paraId="666F0E54" w14:textId="77777777" w:rsidTr="00726785">
        <w:tc>
          <w:tcPr>
            <w:tcW w:w="2806" w:type="pct"/>
            <w:tcBorders>
              <w:top w:val="nil"/>
              <w:bottom w:val="single" w:sz="4" w:space="0" w:color="7F7F7F" w:themeColor="text1" w:themeTint="80"/>
            </w:tcBorders>
            <w:shd w:val="clear" w:color="auto" w:fill="auto"/>
          </w:tcPr>
          <w:p w14:paraId="773CC217" w14:textId="77777777" w:rsidR="00CA2F73" w:rsidRPr="00A851ED" w:rsidRDefault="00CA2F73" w:rsidP="00726785">
            <w:pPr>
              <w:rPr>
                <w:rFonts w:eastAsia="Times New Roman" w:cs="Times New Roman"/>
                <w:lang w:eastAsia="cs-CZ"/>
              </w:rPr>
            </w:pPr>
            <w:r w:rsidRPr="00A851ED">
              <w:rPr>
                <w:rFonts w:eastAsia="Times New Roman" w:cs="Times New Roman"/>
                <w:i/>
                <w:lang w:eastAsia="cs-CZ"/>
              </w:rPr>
              <w:t>127 77 Podpora financování dopravy</w:t>
            </w:r>
          </w:p>
        </w:tc>
        <w:tc>
          <w:tcPr>
            <w:tcW w:w="766" w:type="pct"/>
            <w:tcBorders>
              <w:top w:val="nil"/>
              <w:bottom w:val="single" w:sz="4" w:space="0" w:color="7F7F7F" w:themeColor="text1" w:themeTint="80"/>
            </w:tcBorders>
            <w:shd w:val="clear" w:color="auto" w:fill="auto"/>
          </w:tcPr>
          <w:p w14:paraId="70EEDB9F" w14:textId="47647488" w:rsidR="00CA2F73" w:rsidRPr="00A851ED" w:rsidRDefault="00D72F3D" w:rsidP="00726785">
            <w:pPr>
              <w:jc w:val="right"/>
              <w:rPr>
                <w:rFonts w:eastAsia="Times New Roman" w:cs="Times New Roman"/>
                <w:i/>
                <w:lang w:eastAsia="cs-CZ"/>
              </w:rPr>
            </w:pPr>
            <w:r w:rsidRPr="0088307E">
              <w:rPr>
                <w:rFonts w:eastAsia="Times New Roman" w:cs="Times New Roman"/>
                <w:i/>
                <w:lang w:eastAsia="cs-CZ"/>
              </w:rPr>
              <w:t>618 117</w:t>
            </w:r>
          </w:p>
        </w:tc>
        <w:tc>
          <w:tcPr>
            <w:tcW w:w="648" w:type="pct"/>
            <w:tcBorders>
              <w:top w:val="nil"/>
              <w:bottom w:val="single" w:sz="4" w:space="0" w:color="7F7F7F" w:themeColor="text1" w:themeTint="80"/>
            </w:tcBorders>
            <w:shd w:val="clear" w:color="auto" w:fill="auto"/>
          </w:tcPr>
          <w:p w14:paraId="166C58ED" w14:textId="77777777" w:rsidR="00CA2F73" w:rsidRPr="00D72F3D" w:rsidRDefault="00CA2F73" w:rsidP="00726785">
            <w:pPr>
              <w:jc w:val="right"/>
              <w:rPr>
                <w:rFonts w:eastAsia="Times New Roman" w:cs="Times New Roman"/>
                <w:i/>
                <w:lang w:eastAsia="cs-CZ"/>
              </w:rPr>
            </w:pPr>
            <w:r w:rsidRPr="00D72F3D">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14:paraId="559C40CE" w14:textId="73D757D3" w:rsidR="00CA2F73" w:rsidRPr="00A851ED" w:rsidRDefault="00D72F3D" w:rsidP="00726785">
            <w:pPr>
              <w:jc w:val="right"/>
              <w:rPr>
                <w:rFonts w:eastAsia="Times New Roman" w:cs="Times New Roman"/>
                <w:i/>
                <w:lang w:eastAsia="cs-CZ"/>
              </w:rPr>
            </w:pPr>
            <w:r w:rsidRPr="0088307E">
              <w:rPr>
                <w:rFonts w:eastAsia="Times New Roman" w:cs="Times New Roman"/>
                <w:i/>
                <w:lang w:eastAsia="cs-CZ"/>
              </w:rPr>
              <w:t>618 117</w:t>
            </w:r>
          </w:p>
        </w:tc>
      </w:tr>
      <w:tr w:rsidR="00CA2F73" w:rsidRPr="00E8518E" w14:paraId="5EBEC120" w14:textId="77777777" w:rsidTr="00726785">
        <w:tc>
          <w:tcPr>
            <w:tcW w:w="2806" w:type="pct"/>
            <w:tcBorders>
              <w:top w:val="single" w:sz="4" w:space="0" w:color="7F7F7F" w:themeColor="text1" w:themeTint="80"/>
            </w:tcBorders>
            <w:shd w:val="clear" w:color="auto" w:fill="auto"/>
          </w:tcPr>
          <w:p w14:paraId="4D859125" w14:textId="77777777" w:rsidR="00CA2F73" w:rsidRPr="00DC0504" w:rsidRDefault="00CA2F73" w:rsidP="00726785">
            <w:pPr>
              <w:rPr>
                <w:rFonts w:eastAsia="Times New Roman" w:cs="Times New Roman"/>
                <w:lang w:eastAsia="cs-CZ"/>
              </w:rPr>
            </w:pPr>
            <w:r w:rsidRPr="00DC0504">
              <w:rPr>
                <w:rFonts w:eastAsia="Times New Roman" w:cs="Times New Roman"/>
                <w:b/>
                <w:lang w:eastAsia="cs-CZ"/>
              </w:rPr>
              <w:t xml:space="preserve">4 (CF) – Technická pomoc </w:t>
            </w:r>
            <w:r w:rsidRPr="00DC0504">
              <w:rPr>
                <w:rFonts w:eastAsia="Times New Roman" w:cs="Times New Roman"/>
                <w:lang w:eastAsia="cs-CZ"/>
              </w:rPr>
              <w:t>v tom:</w:t>
            </w:r>
          </w:p>
        </w:tc>
        <w:tc>
          <w:tcPr>
            <w:tcW w:w="766" w:type="pct"/>
            <w:tcBorders>
              <w:top w:val="single" w:sz="4" w:space="0" w:color="7F7F7F" w:themeColor="text1" w:themeTint="80"/>
            </w:tcBorders>
            <w:shd w:val="clear" w:color="auto" w:fill="auto"/>
          </w:tcPr>
          <w:p w14:paraId="181E101C" w14:textId="77777777" w:rsidR="00CA2F73" w:rsidRPr="00DC0504" w:rsidRDefault="00CA2F73" w:rsidP="00726785">
            <w:pPr>
              <w:jc w:val="right"/>
              <w:rPr>
                <w:rFonts w:eastAsia="Times New Roman" w:cs="Times New Roman"/>
                <w:b/>
                <w:lang w:eastAsia="cs-CZ"/>
              </w:rPr>
            </w:pPr>
            <w:r w:rsidRPr="00DC0504">
              <w:rPr>
                <w:rFonts w:eastAsia="Times New Roman" w:cs="Times New Roman"/>
                <w:b/>
                <w:lang w:eastAsia="cs-CZ"/>
              </w:rPr>
              <w:t>28 398</w:t>
            </w:r>
          </w:p>
        </w:tc>
        <w:tc>
          <w:tcPr>
            <w:tcW w:w="648" w:type="pct"/>
            <w:tcBorders>
              <w:top w:val="single" w:sz="4" w:space="0" w:color="7F7F7F" w:themeColor="text1" w:themeTint="80"/>
            </w:tcBorders>
            <w:shd w:val="clear" w:color="auto" w:fill="auto"/>
          </w:tcPr>
          <w:p w14:paraId="545CC994" w14:textId="77777777" w:rsidR="00CA2F73" w:rsidRPr="00DC0504" w:rsidRDefault="00CA2F73" w:rsidP="00726785">
            <w:pPr>
              <w:jc w:val="right"/>
              <w:rPr>
                <w:rFonts w:eastAsia="Times New Roman" w:cs="Times New Roman"/>
                <w:b/>
                <w:lang w:eastAsia="cs-CZ"/>
              </w:rPr>
            </w:pPr>
            <w:r w:rsidRPr="00DC0504">
              <w:rPr>
                <w:rFonts w:eastAsia="Times New Roman" w:cs="Times New Roman"/>
                <w:b/>
                <w:lang w:eastAsia="cs-CZ"/>
              </w:rPr>
              <w:t xml:space="preserve">5 011 </w:t>
            </w:r>
          </w:p>
        </w:tc>
        <w:tc>
          <w:tcPr>
            <w:tcW w:w="780" w:type="pct"/>
            <w:tcBorders>
              <w:top w:val="single" w:sz="4" w:space="0" w:color="7F7F7F" w:themeColor="text1" w:themeTint="80"/>
            </w:tcBorders>
            <w:shd w:val="clear" w:color="auto" w:fill="auto"/>
          </w:tcPr>
          <w:p w14:paraId="06AE1094" w14:textId="77777777" w:rsidR="00CA2F73" w:rsidRPr="00DC0504" w:rsidRDefault="00CA2F73" w:rsidP="00726785">
            <w:pPr>
              <w:jc w:val="right"/>
              <w:rPr>
                <w:rFonts w:eastAsia="Times New Roman" w:cs="Times New Roman"/>
                <w:b/>
                <w:lang w:eastAsia="cs-CZ"/>
              </w:rPr>
            </w:pPr>
            <w:r w:rsidRPr="00DC0504">
              <w:rPr>
                <w:rFonts w:eastAsia="Times New Roman" w:cs="Times New Roman"/>
                <w:b/>
                <w:lang w:eastAsia="cs-CZ"/>
              </w:rPr>
              <w:t>33 409</w:t>
            </w:r>
          </w:p>
        </w:tc>
      </w:tr>
      <w:tr w:rsidR="00CA2F73" w:rsidRPr="00E8518E" w14:paraId="48E2FB91" w14:textId="77777777" w:rsidTr="00726785">
        <w:tc>
          <w:tcPr>
            <w:tcW w:w="2806" w:type="pct"/>
            <w:tcBorders>
              <w:bottom w:val="nil"/>
            </w:tcBorders>
            <w:shd w:val="clear" w:color="auto" w:fill="auto"/>
          </w:tcPr>
          <w:p w14:paraId="5703CDC7" w14:textId="77777777" w:rsidR="00CA2F73" w:rsidRPr="00DC0504" w:rsidRDefault="00CA2F73" w:rsidP="00726785">
            <w:pPr>
              <w:rPr>
                <w:rFonts w:eastAsia="Times New Roman" w:cs="Times New Roman"/>
                <w:lang w:eastAsia="cs-CZ"/>
              </w:rPr>
            </w:pPr>
            <w:r w:rsidRPr="00DC0504">
              <w:rPr>
                <w:rFonts w:eastAsia="Times New Roman" w:cs="Times New Roman"/>
                <w:lang w:eastAsia="cs-CZ"/>
              </w:rPr>
              <w:t>Státní fond dopravní infrastruktury z toho:</w:t>
            </w:r>
          </w:p>
        </w:tc>
        <w:tc>
          <w:tcPr>
            <w:tcW w:w="766" w:type="pct"/>
            <w:tcBorders>
              <w:bottom w:val="nil"/>
            </w:tcBorders>
            <w:shd w:val="clear" w:color="auto" w:fill="auto"/>
          </w:tcPr>
          <w:p w14:paraId="47FA2D60" w14:textId="77777777" w:rsidR="00CA2F73" w:rsidRPr="00DC0504" w:rsidRDefault="00CA2F73" w:rsidP="00726785">
            <w:pPr>
              <w:tabs>
                <w:tab w:val="center" w:pos="398"/>
                <w:tab w:val="right" w:pos="797"/>
              </w:tabs>
              <w:jc w:val="right"/>
              <w:rPr>
                <w:rFonts w:eastAsia="Times New Roman" w:cs="Times New Roman"/>
                <w:lang w:eastAsia="cs-CZ"/>
              </w:rPr>
            </w:pPr>
            <w:r w:rsidRPr="00DC0504">
              <w:rPr>
                <w:rFonts w:eastAsia="Times New Roman" w:cs="Times New Roman"/>
                <w:lang w:eastAsia="cs-CZ"/>
              </w:rPr>
              <w:tab/>
              <w:t>0</w:t>
            </w:r>
          </w:p>
        </w:tc>
        <w:tc>
          <w:tcPr>
            <w:tcW w:w="648" w:type="pct"/>
            <w:tcBorders>
              <w:bottom w:val="nil"/>
            </w:tcBorders>
            <w:shd w:val="clear" w:color="auto" w:fill="auto"/>
          </w:tcPr>
          <w:p w14:paraId="63AB8CCC" w14:textId="77777777" w:rsidR="00CA2F73" w:rsidRPr="00DC0504" w:rsidRDefault="00CA2F73" w:rsidP="00726785">
            <w:pPr>
              <w:jc w:val="right"/>
              <w:rPr>
                <w:rFonts w:eastAsia="Times New Roman" w:cs="Times New Roman"/>
                <w:lang w:eastAsia="cs-CZ"/>
              </w:rPr>
            </w:pPr>
            <w:r w:rsidRPr="00DC0504">
              <w:rPr>
                <w:rFonts w:eastAsia="Times New Roman" w:cs="Times New Roman"/>
                <w:lang w:eastAsia="cs-CZ"/>
              </w:rPr>
              <w:t>0</w:t>
            </w:r>
          </w:p>
        </w:tc>
        <w:tc>
          <w:tcPr>
            <w:tcW w:w="780" w:type="pct"/>
            <w:tcBorders>
              <w:bottom w:val="nil"/>
            </w:tcBorders>
            <w:shd w:val="clear" w:color="auto" w:fill="auto"/>
          </w:tcPr>
          <w:p w14:paraId="47454E8B" w14:textId="77777777" w:rsidR="00CA2F73" w:rsidRPr="00DC0504" w:rsidRDefault="00CA2F73" w:rsidP="00726785">
            <w:pPr>
              <w:jc w:val="right"/>
              <w:rPr>
                <w:rFonts w:eastAsia="Times New Roman" w:cs="Times New Roman"/>
                <w:lang w:eastAsia="cs-CZ"/>
              </w:rPr>
            </w:pPr>
            <w:r w:rsidRPr="00DC0504">
              <w:rPr>
                <w:rFonts w:eastAsia="Times New Roman" w:cs="Times New Roman"/>
                <w:lang w:eastAsia="cs-CZ"/>
              </w:rPr>
              <w:t>0</w:t>
            </w:r>
          </w:p>
        </w:tc>
      </w:tr>
      <w:tr w:rsidR="00CA2F73" w:rsidRPr="00E8518E" w14:paraId="19EA082B" w14:textId="77777777" w:rsidTr="00726785">
        <w:tc>
          <w:tcPr>
            <w:tcW w:w="2806" w:type="pct"/>
            <w:tcBorders>
              <w:top w:val="nil"/>
              <w:bottom w:val="single" w:sz="4" w:space="0" w:color="7F7F7F" w:themeColor="text1" w:themeTint="80"/>
            </w:tcBorders>
            <w:shd w:val="clear" w:color="auto" w:fill="auto"/>
          </w:tcPr>
          <w:p w14:paraId="46D9D80C" w14:textId="77777777" w:rsidR="00CA2F73" w:rsidRPr="00DC0504" w:rsidRDefault="00CA2F73" w:rsidP="00726785">
            <w:pPr>
              <w:rPr>
                <w:rFonts w:eastAsia="Times New Roman" w:cs="Times New Roman"/>
                <w:i/>
                <w:lang w:eastAsia="cs-CZ"/>
              </w:rPr>
            </w:pPr>
            <w:r w:rsidRPr="00DC0504">
              <w:rPr>
                <w:rFonts w:eastAsia="Times New Roman" w:cs="Times New Roman"/>
                <w:i/>
                <w:lang w:eastAsia="cs-CZ"/>
              </w:rPr>
              <w:t>127 06 Rozvoj a obnova materiálně-technické základny systému řízení MD-PO, SFDI</w:t>
            </w:r>
          </w:p>
        </w:tc>
        <w:tc>
          <w:tcPr>
            <w:tcW w:w="766" w:type="pct"/>
            <w:tcBorders>
              <w:top w:val="nil"/>
              <w:bottom w:val="single" w:sz="4" w:space="0" w:color="7F7F7F" w:themeColor="text1" w:themeTint="80"/>
            </w:tcBorders>
            <w:shd w:val="clear" w:color="auto" w:fill="auto"/>
          </w:tcPr>
          <w:p w14:paraId="2E420D31" w14:textId="77777777" w:rsidR="00CA2F73" w:rsidRPr="00DC0504" w:rsidRDefault="00CA2F73" w:rsidP="00726785">
            <w:pPr>
              <w:jc w:val="right"/>
              <w:rPr>
                <w:rFonts w:eastAsia="Times New Roman" w:cs="Times New Roman"/>
                <w:i/>
                <w:lang w:eastAsia="cs-CZ"/>
              </w:rPr>
            </w:pPr>
          </w:p>
          <w:p w14:paraId="3700D98F" w14:textId="77777777" w:rsidR="00CA2F73" w:rsidRPr="00DC0504" w:rsidRDefault="00CA2F73" w:rsidP="00726785">
            <w:pPr>
              <w:jc w:val="right"/>
              <w:rPr>
                <w:rFonts w:eastAsia="Times New Roman" w:cs="Times New Roman"/>
                <w:i/>
                <w:lang w:eastAsia="cs-CZ"/>
              </w:rPr>
            </w:pPr>
            <w:r w:rsidRPr="00DC0504">
              <w:rPr>
                <w:rFonts w:eastAsia="Times New Roman" w:cs="Times New Roman"/>
                <w:i/>
                <w:lang w:eastAsia="cs-CZ"/>
              </w:rPr>
              <w:t xml:space="preserve">0 </w:t>
            </w:r>
          </w:p>
        </w:tc>
        <w:tc>
          <w:tcPr>
            <w:tcW w:w="648" w:type="pct"/>
            <w:tcBorders>
              <w:top w:val="nil"/>
              <w:bottom w:val="single" w:sz="4" w:space="0" w:color="7F7F7F" w:themeColor="text1" w:themeTint="80"/>
            </w:tcBorders>
            <w:shd w:val="clear" w:color="auto" w:fill="auto"/>
          </w:tcPr>
          <w:p w14:paraId="36A704BD" w14:textId="77777777" w:rsidR="00CA2F73" w:rsidRPr="00DC0504" w:rsidRDefault="00CA2F73" w:rsidP="00726785">
            <w:pPr>
              <w:jc w:val="right"/>
              <w:rPr>
                <w:rFonts w:eastAsia="Times New Roman" w:cs="Times New Roman"/>
                <w:i/>
                <w:lang w:eastAsia="cs-CZ"/>
              </w:rPr>
            </w:pPr>
          </w:p>
          <w:p w14:paraId="406D8C92" w14:textId="77777777" w:rsidR="00CA2F73" w:rsidRPr="00DC0504" w:rsidRDefault="00CA2F73" w:rsidP="00726785">
            <w:pPr>
              <w:jc w:val="right"/>
              <w:rPr>
                <w:rFonts w:eastAsia="Times New Roman" w:cs="Times New Roman"/>
                <w:i/>
                <w:lang w:eastAsia="cs-CZ"/>
              </w:rPr>
            </w:pPr>
            <w:r w:rsidRPr="00DC0504">
              <w:rPr>
                <w:rFonts w:eastAsia="Times New Roman" w:cs="Times New Roman"/>
                <w:i/>
                <w:lang w:eastAsia="cs-CZ"/>
              </w:rPr>
              <w:t>0</w:t>
            </w:r>
          </w:p>
        </w:tc>
        <w:tc>
          <w:tcPr>
            <w:tcW w:w="780" w:type="pct"/>
            <w:tcBorders>
              <w:top w:val="nil"/>
              <w:bottom w:val="single" w:sz="4" w:space="0" w:color="7F7F7F" w:themeColor="text1" w:themeTint="80"/>
            </w:tcBorders>
            <w:shd w:val="clear" w:color="auto" w:fill="auto"/>
          </w:tcPr>
          <w:p w14:paraId="45B68293" w14:textId="77777777" w:rsidR="00CA2F73" w:rsidRPr="00DC0504" w:rsidRDefault="00CA2F73" w:rsidP="00726785">
            <w:pPr>
              <w:jc w:val="right"/>
              <w:rPr>
                <w:rFonts w:eastAsia="Times New Roman" w:cs="Times New Roman"/>
                <w:i/>
                <w:lang w:eastAsia="cs-CZ"/>
              </w:rPr>
            </w:pPr>
          </w:p>
          <w:p w14:paraId="05BC0A76" w14:textId="77777777" w:rsidR="00CA2F73" w:rsidRPr="00DC0504" w:rsidRDefault="00CA2F73" w:rsidP="00726785">
            <w:pPr>
              <w:jc w:val="right"/>
              <w:rPr>
                <w:rFonts w:eastAsia="Times New Roman" w:cs="Times New Roman"/>
                <w:i/>
                <w:lang w:eastAsia="cs-CZ"/>
              </w:rPr>
            </w:pPr>
            <w:r w:rsidRPr="00DC0504">
              <w:rPr>
                <w:rFonts w:eastAsia="Times New Roman" w:cs="Times New Roman"/>
                <w:i/>
                <w:lang w:eastAsia="cs-CZ"/>
              </w:rPr>
              <w:t xml:space="preserve">0 </w:t>
            </w:r>
          </w:p>
        </w:tc>
      </w:tr>
      <w:tr w:rsidR="00CA2F73" w:rsidRPr="00E8518E" w14:paraId="6E61EEB3" w14:textId="77777777" w:rsidTr="00726785">
        <w:tc>
          <w:tcPr>
            <w:tcW w:w="2806" w:type="pct"/>
            <w:tcBorders>
              <w:top w:val="single" w:sz="4" w:space="0" w:color="7F7F7F" w:themeColor="text1" w:themeTint="80"/>
              <w:bottom w:val="nil"/>
            </w:tcBorders>
            <w:shd w:val="clear" w:color="auto" w:fill="auto"/>
          </w:tcPr>
          <w:p w14:paraId="42480F0C" w14:textId="77777777" w:rsidR="00CA2F73" w:rsidRPr="00DC0504" w:rsidRDefault="00CA2F73" w:rsidP="00726785">
            <w:pPr>
              <w:rPr>
                <w:rFonts w:eastAsia="Times New Roman" w:cs="Times New Roman"/>
                <w:lang w:eastAsia="cs-CZ"/>
              </w:rPr>
            </w:pPr>
            <w:r w:rsidRPr="00DC0504">
              <w:rPr>
                <w:rFonts w:eastAsia="Times New Roman" w:cs="Times New Roman"/>
                <w:lang w:eastAsia="cs-CZ"/>
              </w:rPr>
              <w:t xml:space="preserve">Ústřední orgán MD </w:t>
            </w:r>
          </w:p>
        </w:tc>
        <w:tc>
          <w:tcPr>
            <w:tcW w:w="766" w:type="pct"/>
            <w:tcBorders>
              <w:top w:val="single" w:sz="4" w:space="0" w:color="7F7F7F" w:themeColor="text1" w:themeTint="80"/>
              <w:bottom w:val="nil"/>
            </w:tcBorders>
            <w:shd w:val="clear" w:color="auto" w:fill="auto"/>
          </w:tcPr>
          <w:p w14:paraId="61760664" w14:textId="77777777" w:rsidR="00CA2F73" w:rsidRPr="00DC0504" w:rsidRDefault="00CA2F73" w:rsidP="00726785">
            <w:pPr>
              <w:jc w:val="right"/>
              <w:rPr>
                <w:rFonts w:eastAsia="Times New Roman" w:cs="Times New Roman"/>
                <w:lang w:eastAsia="cs-CZ"/>
              </w:rPr>
            </w:pPr>
            <w:r w:rsidRPr="00DC0504">
              <w:rPr>
                <w:rFonts w:eastAsia="Times New Roman" w:cs="Times New Roman"/>
                <w:lang w:eastAsia="cs-CZ"/>
              </w:rPr>
              <w:t>28 398</w:t>
            </w:r>
          </w:p>
        </w:tc>
        <w:tc>
          <w:tcPr>
            <w:tcW w:w="648" w:type="pct"/>
            <w:tcBorders>
              <w:top w:val="single" w:sz="4" w:space="0" w:color="7F7F7F" w:themeColor="text1" w:themeTint="80"/>
              <w:bottom w:val="nil"/>
            </w:tcBorders>
            <w:shd w:val="clear" w:color="auto" w:fill="auto"/>
          </w:tcPr>
          <w:p w14:paraId="07E00BAA" w14:textId="77777777" w:rsidR="00CA2F73" w:rsidRPr="00DC0504" w:rsidRDefault="00CA2F73" w:rsidP="00726785">
            <w:pPr>
              <w:jc w:val="right"/>
              <w:rPr>
                <w:rFonts w:eastAsia="Times New Roman" w:cs="Times New Roman"/>
                <w:lang w:eastAsia="cs-CZ"/>
              </w:rPr>
            </w:pPr>
            <w:r w:rsidRPr="00DC0504">
              <w:rPr>
                <w:rFonts w:eastAsia="Times New Roman" w:cs="Times New Roman"/>
                <w:lang w:eastAsia="cs-CZ"/>
              </w:rPr>
              <w:t>5 011</w:t>
            </w:r>
          </w:p>
        </w:tc>
        <w:tc>
          <w:tcPr>
            <w:tcW w:w="780" w:type="pct"/>
            <w:tcBorders>
              <w:top w:val="single" w:sz="4" w:space="0" w:color="7F7F7F" w:themeColor="text1" w:themeTint="80"/>
              <w:bottom w:val="nil"/>
            </w:tcBorders>
            <w:shd w:val="clear" w:color="auto" w:fill="auto"/>
          </w:tcPr>
          <w:p w14:paraId="392C2A5C" w14:textId="77777777" w:rsidR="00CA2F73" w:rsidRPr="00DC0504" w:rsidRDefault="00CA2F73" w:rsidP="00726785">
            <w:pPr>
              <w:jc w:val="right"/>
              <w:rPr>
                <w:rFonts w:eastAsia="Times New Roman" w:cs="Times New Roman"/>
                <w:lang w:eastAsia="cs-CZ"/>
              </w:rPr>
            </w:pPr>
            <w:r w:rsidRPr="00DC0504">
              <w:rPr>
                <w:rFonts w:eastAsia="Times New Roman" w:cs="Times New Roman"/>
                <w:lang w:eastAsia="cs-CZ"/>
              </w:rPr>
              <w:t>33 409</w:t>
            </w:r>
          </w:p>
        </w:tc>
      </w:tr>
      <w:tr w:rsidR="00CA2F73" w:rsidRPr="00A57E42" w14:paraId="6B39563E" w14:textId="77777777" w:rsidTr="00726785">
        <w:trPr>
          <w:trHeight w:val="402"/>
        </w:trPr>
        <w:tc>
          <w:tcPr>
            <w:tcW w:w="2806" w:type="pct"/>
            <w:tcBorders>
              <w:top w:val="single" w:sz="8" w:space="0" w:color="7F7F7F" w:themeColor="text1" w:themeTint="80"/>
              <w:bottom w:val="single" w:sz="8" w:space="0" w:color="7F7F7F" w:themeColor="text1" w:themeTint="80"/>
            </w:tcBorders>
            <w:shd w:val="clear" w:color="auto" w:fill="auto"/>
          </w:tcPr>
          <w:p w14:paraId="3E0F3CB8" w14:textId="77777777" w:rsidR="00CA2F73" w:rsidRPr="00A57E42" w:rsidRDefault="00CA2F73" w:rsidP="00726785">
            <w:pPr>
              <w:spacing w:before="81"/>
              <w:rPr>
                <w:rFonts w:eastAsia="Times New Roman" w:cs="Times New Roman"/>
                <w:b/>
                <w:szCs w:val="24"/>
                <w:lang w:eastAsia="cs-CZ"/>
              </w:rPr>
            </w:pPr>
            <w:r w:rsidRPr="00A57E42">
              <w:rPr>
                <w:rFonts w:eastAsia="Times New Roman" w:cs="Times New Roman"/>
                <w:b/>
                <w:szCs w:val="24"/>
                <w:lang w:eastAsia="cs-CZ"/>
              </w:rPr>
              <w:t>Celkem</w:t>
            </w:r>
          </w:p>
        </w:tc>
        <w:tc>
          <w:tcPr>
            <w:tcW w:w="766" w:type="pct"/>
            <w:tcBorders>
              <w:top w:val="single" w:sz="8" w:space="0" w:color="7F7F7F" w:themeColor="text1" w:themeTint="80"/>
              <w:bottom w:val="single" w:sz="8" w:space="0" w:color="7F7F7F" w:themeColor="text1" w:themeTint="80"/>
            </w:tcBorders>
            <w:shd w:val="clear" w:color="auto" w:fill="auto"/>
          </w:tcPr>
          <w:p w14:paraId="699923B3" w14:textId="77777777" w:rsidR="00CA2F73" w:rsidRPr="00A57E42" w:rsidRDefault="00CA2F73" w:rsidP="00726785">
            <w:pPr>
              <w:spacing w:before="81"/>
              <w:jc w:val="right"/>
              <w:rPr>
                <w:rFonts w:eastAsia="Times New Roman" w:cs="Times New Roman"/>
                <w:b/>
                <w:szCs w:val="24"/>
                <w:lang w:eastAsia="cs-CZ"/>
              </w:rPr>
            </w:pPr>
            <w:r w:rsidRPr="00A57E42">
              <w:rPr>
                <w:rFonts w:eastAsia="Times New Roman" w:cs="Times New Roman"/>
                <w:b/>
                <w:szCs w:val="24"/>
                <w:lang w:eastAsia="cs-CZ"/>
              </w:rPr>
              <w:t>1 783 515</w:t>
            </w:r>
          </w:p>
        </w:tc>
        <w:tc>
          <w:tcPr>
            <w:tcW w:w="648" w:type="pct"/>
            <w:tcBorders>
              <w:top w:val="single" w:sz="8" w:space="0" w:color="7F7F7F" w:themeColor="text1" w:themeTint="80"/>
              <w:bottom w:val="single" w:sz="8" w:space="0" w:color="7F7F7F" w:themeColor="text1" w:themeTint="80"/>
            </w:tcBorders>
            <w:shd w:val="clear" w:color="auto" w:fill="auto"/>
          </w:tcPr>
          <w:p w14:paraId="32FB8775" w14:textId="77777777" w:rsidR="00CA2F73" w:rsidRPr="00A57E42" w:rsidRDefault="00CA2F73" w:rsidP="00726785">
            <w:pPr>
              <w:spacing w:before="81"/>
              <w:jc w:val="right"/>
              <w:rPr>
                <w:rFonts w:eastAsia="Times New Roman" w:cs="Times New Roman"/>
                <w:b/>
                <w:szCs w:val="24"/>
                <w:lang w:eastAsia="cs-CZ"/>
              </w:rPr>
            </w:pPr>
            <w:r w:rsidRPr="00A57E42">
              <w:rPr>
                <w:rFonts w:eastAsia="Times New Roman" w:cs="Times New Roman"/>
                <w:b/>
                <w:szCs w:val="24"/>
                <w:lang w:eastAsia="cs-CZ"/>
              </w:rPr>
              <w:t>5 011</w:t>
            </w:r>
          </w:p>
        </w:tc>
        <w:tc>
          <w:tcPr>
            <w:tcW w:w="780" w:type="pct"/>
            <w:tcBorders>
              <w:top w:val="single" w:sz="8" w:space="0" w:color="7F7F7F" w:themeColor="text1" w:themeTint="80"/>
              <w:bottom w:val="single" w:sz="8" w:space="0" w:color="7F7F7F" w:themeColor="text1" w:themeTint="80"/>
            </w:tcBorders>
            <w:shd w:val="clear" w:color="auto" w:fill="auto"/>
          </w:tcPr>
          <w:p w14:paraId="76886FE3" w14:textId="77777777" w:rsidR="00CA2F73" w:rsidRPr="00A57E42" w:rsidRDefault="00CA2F73" w:rsidP="00726785">
            <w:pPr>
              <w:spacing w:before="81"/>
              <w:jc w:val="right"/>
              <w:rPr>
                <w:rFonts w:eastAsia="Times New Roman" w:cs="Times New Roman"/>
                <w:b/>
                <w:szCs w:val="24"/>
                <w:lang w:eastAsia="cs-CZ"/>
              </w:rPr>
            </w:pPr>
            <w:r w:rsidRPr="00A57E42">
              <w:rPr>
                <w:rFonts w:eastAsia="Times New Roman" w:cs="Times New Roman"/>
                <w:b/>
                <w:szCs w:val="24"/>
                <w:lang w:eastAsia="cs-CZ"/>
              </w:rPr>
              <w:t>1 788 526</w:t>
            </w:r>
          </w:p>
        </w:tc>
      </w:tr>
    </w:tbl>
    <w:p w14:paraId="11AE6F41" w14:textId="77777777" w:rsidR="00CA2F73" w:rsidRPr="00A57E42" w:rsidRDefault="00CA2F73" w:rsidP="00CA2F73">
      <w:pPr>
        <w:spacing w:before="120"/>
        <w:rPr>
          <w:rFonts w:eastAsia="Times New Roman" w:cs="Times New Roman"/>
          <w:i/>
          <w:sz w:val="20"/>
          <w:szCs w:val="20"/>
          <w:lang w:eastAsia="cs-CZ"/>
        </w:rPr>
      </w:pPr>
      <w:r w:rsidRPr="00A57E42">
        <w:rPr>
          <w:rFonts w:eastAsia="Times New Roman" w:cs="Times New Roman"/>
          <w:i/>
          <w:sz w:val="20"/>
          <w:szCs w:val="20"/>
          <w:lang w:eastAsia="cs-CZ"/>
        </w:rPr>
        <w:t>CF - Fond soudržnosti</w:t>
      </w:r>
    </w:p>
    <w:p w14:paraId="6BEEC549" w14:textId="77777777" w:rsidR="00CA2F73" w:rsidRPr="00A57E42" w:rsidRDefault="00CA2F73" w:rsidP="00CA2F73">
      <w:pPr>
        <w:spacing w:after="80"/>
        <w:rPr>
          <w:rFonts w:eastAsia="Times New Roman" w:cs="Times New Roman"/>
          <w:i/>
          <w:sz w:val="20"/>
          <w:szCs w:val="20"/>
          <w:lang w:eastAsia="cs-CZ"/>
        </w:rPr>
      </w:pPr>
      <w:r w:rsidRPr="00A57E42">
        <w:rPr>
          <w:rFonts w:eastAsia="Times New Roman" w:cs="Times New Roman"/>
          <w:i/>
          <w:sz w:val="20"/>
          <w:szCs w:val="20"/>
          <w:lang w:eastAsia="cs-CZ"/>
        </w:rPr>
        <w:t>ERDF – Strukturální fond</w:t>
      </w:r>
      <w:r w:rsidRPr="00A57E42">
        <w:rPr>
          <w:rFonts w:eastAsia="Times New Roman" w:cs="Times New Roman"/>
          <w:i/>
          <w:sz w:val="20"/>
          <w:szCs w:val="20"/>
          <w:lang w:eastAsia="cs-CZ"/>
        </w:rPr>
        <w:tab/>
      </w:r>
    </w:p>
    <w:p w14:paraId="421375F5" w14:textId="77777777" w:rsidR="00CA2F73" w:rsidRPr="00191EFB" w:rsidRDefault="00CA2F73" w:rsidP="00CA2F73">
      <w:pPr>
        <w:pStyle w:val="Nadpis3"/>
      </w:pPr>
      <w:bookmarkStart w:id="277" w:name="_Toc115787998"/>
      <w:r w:rsidRPr="00191EFB">
        <w:t>Komunitární programy (TEN-T) – programové období 2014 – 2020</w:t>
      </w:r>
      <w:bookmarkEnd w:id="277"/>
    </w:p>
    <w:p w14:paraId="7FA11C54" w14:textId="77777777" w:rsidR="00CA2F73" w:rsidRPr="00191EFB" w:rsidRDefault="00CA2F73" w:rsidP="00CA2F73">
      <w:pPr>
        <w:spacing w:after="120"/>
        <w:rPr>
          <w:rFonts w:eastAsia="Times New Roman" w:cs="Times New Roman"/>
          <w:szCs w:val="24"/>
          <w:u w:val="single"/>
          <w:lang w:eastAsia="cs-CZ"/>
        </w:rPr>
      </w:pPr>
      <w:r w:rsidRPr="00191EFB">
        <w:rPr>
          <w:rFonts w:eastAsia="Times New Roman" w:cs="Times New Roman"/>
          <w:szCs w:val="24"/>
          <w:u w:val="single"/>
          <w:lang w:eastAsia="cs-CZ"/>
        </w:rPr>
        <w:t>Rozdělení prostředků fondů EU a SR pro Komuni</w:t>
      </w:r>
      <w:r>
        <w:rPr>
          <w:rFonts w:eastAsia="Times New Roman" w:cs="Times New Roman"/>
          <w:szCs w:val="24"/>
          <w:u w:val="single"/>
          <w:lang w:eastAsia="cs-CZ"/>
        </w:rPr>
        <w:t>tární programy 2014+ na rok 2023</w:t>
      </w:r>
    </w:p>
    <w:p w14:paraId="62C8CB08" w14:textId="437A40E2" w:rsidR="00CA2F73" w:rsidRPr="00191EFB" w:rsidRDefault="00CA2F73" w:rsidP="00CA2F73">
      <w:pPr>
        <w:pStyle w:val="Titulek"/>
        <w:rPr>
          <w:noProof/>
        </w:rPr>
      </w:pPr>
      <w:r w:rsidRPr="00191EFB">
        <w:t xml:space="preserve">Tabulka č. </w:t>
      </w:r>
      <w:r w:rsidRPr="00191EFB">
        <w:rPr>
          <w:noProof/>
        </w:rPr>
        <w:fldChar w:fldCharType="begin"/>
      </w:r>
      <w:r w:rsidRPr="00191EFB">
        <w:rPr>
          <w:noProof/>
        </w:rPr>
        <w:instrText xml:space="preserve"> SEQ Tabulka \* ARABIC </w:instrText>
      </w:r>
      <w:r w:rsidRPr="00191EFB">
        <w:rPr>
          <w:noProof/>
        </w:rPr>
        <w:fldChar w:fldCharType="separate"/>
      </w:r>
      <w:r w:rsidR="00F80947">
        <w:rPr>
          <w:noProof/>
        </w:rPr>
        <w:t>41</w:t>
      </w:r>
      <w:r w:rsidRPr="00191EFB">
        <w:rPr>
          <w:noProof/>
        </w:rPr>
        <w:fldChar w:fldCharType="end"/>
      </w:r>
      <w:r w:rsidRPr="00191EFB">
        <w:rPr>
          <w:noProof/>
        </w:rPr>
        <w:t xml:space="preserve"> Členění komunitárních programů 2014+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CA2F73" w:rsidRPr="00191EFB" w14:paraId="42E00AB4" w14:textId="77777777" w:rsidTr="00726785">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C21F04F" w14:textId="77777777" w:rsidR="00CA2F73" w:rsidRPr="00191EFB" w:rsidRDefault="00CA2F73" w:rsidP="00726785">
            <w:pPr>
              <w:rPr>
                <w:rFonts w:eastAsia="Times New Roman" w:cs="Times New Roman"/>
                <w:b/>
                <w:lang w:eastAsia="cs-CZ"/>
              </w:rPr>
            </w:pPr>
            <w:r w:rsidRPr="00191EFB">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D0CF0F2" w14:textId="77777777" w:rsidR="00CA2F73" w:rsidRPr="00191EFB" w:rsidRDefault="00CA2F73" w:rsidP="00726785">
            <w:pPr>
              <w:jc w:val="center"/>
              <w:rPr>
                <w:rFonts w:eastAsia="Times New Roman" w:cs="Times New Roman"/>
                <w:b/>
                <w:lang w:eastAsia="cs-CZ"/>
              </w:rPr>
            </w:pPr>
            <w:r w:rsidRPr="00191EFB">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484637C" w14:textId="77777777" w:rsidR="00CA2F73" w:rsidRPr="00191EFB" w:rsidRDefault="00CA2F73" w:rsidP="00726785">
            <w:pPr>
              <w:jc w:val="center"/>
              <w:rPr>
                <w:rFonts w:eastAsia="Times New Roman" w:cs="Times New Roman"/>
                <w:b/>
                <w:lang w:eastAsia="cs-CZ"/>
              </w:rPr>
            </w:pPr>
            <w:r w:rsidRPr="00191EFB">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5E95147" w14:textId="77777777" w:rsidR="00CA2F73" w:rsidRPr="00191EFB" w:rsidRDefault="00CA2F73" w:rsidP="00726785">
            <w:pPr>
              <w:jc w:val="center"/>
              <w:rPr>
                <w:rFonts w:eastAsia="Times New Roman" w:cs="Times New Roman"/>
                <w:b/>
                <w:lang w:eastAsia="cs-CZ"/>
              </w:rPr>
            </w:pPr>
            <w:r w:rsidRPr="00191EFB">
              <w:rPr>
                <w:rFonts w:eastAsia="Times New Roman" w:cs="Times New Roman"/>
                <w:b/>
                <w:lang w:eastAsia="cs-CZ"/>
              </w:rPr>
              <w:t>Celkem</w:t>
            </w:r>
          </w:p>
        </w:tc>
      </w:tr>
      <w:tr w:rsidR="00CA2F73" w:rsidRPr="00191EFB" w14:paraId="5E0B00F0" w14:textId="77777777" w:rsidTr="00726785">
        <w:trPr>
          <w:tblHeader/>
          <w:jc w:val="center"/>
        </w:trPr>
        <w:tc>
          <w:tcPr>
            <w:tcW w:w="2501" w:type="pct"/>
            <w:tcBorders>
              <w:top w:val="single" w:sz="4" w:space="0" w:color="7F7F7F" w:themeColor="text1" w:themeTint="80"/>
            </w:tcBorders>
            <w:shd w:val="clear" w:color="auto" w:fill="auto"/>
          </w:tcPr>
          <w:p w14:paraId="2807632C" w14:textId="77777777" w:rsidR="00CA2F73" w:rsidRPr="00191EFB" w:rsidRDefault="00CA2F73" w:rsidP="00726785">
            <w:pPr>
              <w:spacing w:before="27" w:after="27"/>
              <w:rPr>
                <w:rFonts w:eastAsia="Times New Roman" w:cs="Times New Roman"/>
                <w:lang w:eastAsia="cs-CZ"/>
              </w:rPr>
            </w:pPr>
            <w:r w:rsidRPr="00191EFB">
              <w:rPr>
                <w:rFonts w:eastAsia="Times New Roman" w:cs="Times New Roman"/>
                <w:b/>
                <w:lang w:eastAsia="cs-CZ"/>
              </w:rPr>
              <w:t xml:space="preserve">Nástroj pro propojení Evropy 2014+ </w:t>
            </w:r>
            <w:r w:rsidRPr="00191EFB">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14:paraId="3E746946" w14:textId="77777777" w:rsidR="00CA2F73" w:rsidRPr="00191EFB" w:rsidRDefault="00CA2F73" w:rsidP="00726785">
            <w:pPr>
              <w:spacing w:before="27" w:after="27"/>
              <w:jc w:val="right"/>
              <w:rPr>
                <w:rFonts w:eastAsia="Times New Roman" w:cs="Times New Roman"/>
                <w:b/>
                <w:lang w:eastAsia="cs-CZ"/>
              </w:rPr>
            </w:pPr>
            <w:r w:rsidRPr="00191EFB">
              <w:rPr>
                <w:rFonts w:eastAsia="Times New Roman" w:cs="Times New Roman"/>
                <w:b/>
                <w:lang w:eastAsia="cs-CZ"/>
              </w:rPr>
              <w:t>2 497 921</w:t>
            </w:r>
          </w:p>
        </w:tc>
        <w:tc>
          <w:tcPr>
            <w:tcW w:w="772" w:type="pct"/>
            <w:tcBorders>
              <w:top w:val="single" w:sz="4" w:space="0" w:color="7F7F7F" w:themeColor="text1" w:themeTint="80"/>
            </w:tcBorders>
            <w:shd w:val="clear" w:color="auto" w:fill="auto"/>
            <w:vAlign w:val="center"/>
          </w:tcPr>
          <w:p w14:paraId="12F7778D" w14:textId="77777777" w:rsidR="00CA2F73" w:rsidRPr="00191EFB" w:rsidRDefault="00CA2F73" w:rsidP="00726785">
            <w:pPr>
              <w:spacing w:before="27" w:after="27"/>
              <w:jc w:val="right"/>
              <w:rPr>
                <w:rFonts w:eastAsia="Times New Roman" w:cs="Times New Roman"/>
                <w:b/>
                <w:lang w:eastAsia="cs-CZ"/>
              </w:rPr>
            </w:pPr>
            <w:r w:rsidRPr="00191EFB">
              <w:rPr>
                <w:rFonts w:eastAsia="Times New Roman" w:cs="Times New Roman"/>
                <w:b/>
                <w:lang w:eastAsia="cs-CZ"/>
              </w:rPr>
              <w:t>847</w:t>
            </w:r>
          </w:p>
        </w:tc>
        <w:tc>
          <w:tcPr>
            <w:tcW w:w="808" w:type="pct"/>
            <w:tcBorders>
              <w:top w:val="single" w:sz="4" w:space="0" w:color="7F7F7F" w:themeColor="text1" w:themeTint="80"/>
            </w:tcBorders>
            <w:shd w:val="clear" w:color="auto" w:fill="auto"/>
            <w:vAlign w:val="center"/>
          </w:tcPr>
          <w:p w14:paraId="3AB21CE3" w14:textId="77777777" w:rsidR="00CA2F73" w:rsidRPr="00191EFB" w:rsidRDefault="00CA2F73" w:rsidP="00726785">
            <w:pPr>
              <w:spacing w:before="27" w:after="27"/>
              <w:jc w:val="right"/>
              <w:rPr>
                <w:rFonts w:eastAsia="Times New Roman" w:cs="Times New Roman"/>
                <w:b/>
                <w:lang w:eastAsia="cs-CZ"/>
              </w:rPr>
            </w:pPr>
            <w:r w:rsidRPr="00191EFB">
              <w:rPr>
                <w:rFonts w:eastAsia="Times New Roman" w:cs="Times New Roman"/>
                <w:b/>
                <w:lang w:eastAsia="cs-CZ"/>
              </w:rPr>
              <w:t>2 498 768</w:t>
            </w:r>
          </w:p>
        </w:tc>
      </w:tr>
      <w:tr w:rsidR="00CA2F73" w:rsidRPr="00E8518E" w14:paraId="7E3B1BE8" w14:textId="77777777" w:rsidTr="00726785">
        <w:trPr>
          <w:trHeight w:val="283"/>
          <w:tblHeader/>
          <w:jc w:val="center"/>
        </w:trPr>
        <w:tc>
          <w:tcPr>
            <w:tcW w:w="2501" w:type="pct"/>
            <w:tcBorders>
              <w:bottom w:val="nil"/>
            </w:tcBorders>
            <w:shd w:val="clear" w:color="auto" w:fill="auto"/>
          </w:tcPr>
          <w:p w14:paraId="672FD42C" w14:textId="77777777" w:rsidR="00CA2F73" w:rsidRPr="00191EFB" w:rsidRDefault="00CA2F73" w:rsidP="00726785">
            <w:pPr>
              <w:spacing w:before="40" w:after="40"/>
              <w:rPr>
                <w:rFonts w:eastAsia="Times New Roman" w:cs="Times New Roman"/>
                <w:lang w:eastAsia="cs-CZ"/>
              </w:rPr>
            </w:pPr>
            <w:r w:rsidRPr="00191EFB">
              <w:rPr>
                <w:rFonts w:eastAsia="Times New Roman" w:cs="Times New Roman"/>
                <w:lang w:eastAsia="cs-CZ"/>
              </w:rPr>
              <w:t xml:space="preserve">CEF kohezní (SFDI) </w:t>
            </w:r>
          </w:p>
        </w:tc>
        <w:tc>
          <w:tcPr>
            <w:tcW w:w="919" w:type="pct"/>
            <w:tcBorders>
              <w:bottom w:val="nil"/>
            </w:tcBorders>
            <w:shd w:val="clear" w:color="auto" w:fill="auto"/>
            <w:vAlign w:val="center"/>
          </w:tcPr>
          <w:p w14:paraId="30EB85C9" w14:textId="77777777" w:rsidR="00CA2F73" w:rsidRPr="00191EFB" w:rsidRDefault="00CA2F73" w:rsidP="00726785">
            <w:pPr>
              <w:spacing w:before="40" w:after="40"/>
              <w:rPr>
                <w:rFonts w:eastAsia="Times New Roman" w:cs="Times New Roman"/>
                <w:lang w:eastAsia="cs-CZ"/>
              </w:rPr>
            </w:pPr>
            <w:r w:rsidRPr="00191EFB">
              <w:rPr>
                <w:rFonts w:eastAsia="Times New Roman" w:cs="Times New Roman"/>
                <w:lang w:eastAsia="cs-CZ"/>
              </w:rPr>
              <w:t xml:space="preserve">        2 495 679</w:t>
            </w:r>
          </w:p>
        </w:tc>
        <w:tc>
          <w:tcPr>
            <w:tcW w:w="772" w:type="pct"/>
            <w:tcBorders>
              <w:bottom w:val="nil"/>
            </w:tcBorders>
            <w:shd w:val="clear" w:color="auto" w:fill="auto"/>
            <w:vAlign w:val="center"/>
          </w:tcPr>
          <w:p w14:paraId="567835C7" w14:textId="77777777" w:rsidR="00CA2F73" w:rsidRPr="00191EFB" w:rsidRDefault="00CA2F73" w:rsidP="00726785">
            <w:pPr>
              <w:spacing w:before="40" w:after="40"/>
              <w:ind w:firstLine="366"/>
              <w:jc w:val="right"/>
              <w:rPr>
                <w:rFonts w:eastAsia="Times New Roman" w:cs="Times New Roman"/>
                <w:lang w:eastAsia="cs-CZ"/>
              </w:rPr>
            </w:pPr>
            <w:r w:rsidRPr="00191EFB">
              <w:rPr>
                <w:rFonts w:eastAsia="Times New Roman" w:cs="Times New Roman"/>
                <w:lang w:eastAsia="cs-CZ"/>
              </w:rPr>
              <w:t>0</w:t>
            </w:r>
          </w:p>
        </w:tc>
        <w:tc>
          <w:tcPr>
            <w:tcW w:w="808" w:type="pct"/>
            <w:tcBorders>
              <w:bottom w:val="nil"/>
            </w:tcBorders>
            <w:shd w:val="clear" w:color="auto" w:fill="auto"/>
            <w:vAlign w:val="center"/>
          </w:tcPr>
          <w:p w14:paraId="5CB3F140" w14:textId="77777777" w:rsidR="00CA2F73" w:rsidRPr="00191EFB" w:rsidRDefault="00CA2F73" w:rsidP="00726785">
            <w:pPr>
              <w:spacing w:before="40" w:after="40"/>
              <w:jc w:val="right"/>
              <w:rPr>
                <w:rFonts w:eastAsia="Times New Roman" w:cs="Times New Roman"/>
                <w:b/>
                <w:lang w:eastAsia="cs-CZ"/>
              </w:rPr>
            </w:pPr>
            <w:r w:rsidRPr="00191EFB">
              <w:rPr>
                <w:rFonts w:eastAsia="Times New Roman" w:cs="Times New Roman"/>
                <w:b/>
                <w:lang w:eastAsia="cs-CZ"/>
              </w:rPr>
              <w:t>2 495 679</w:t>
            </w:r>
          </w:p>
        </w:tc>
      </w:tr>
      <w:tr w:rsidR="00CA2F73" w:rsidRPr="00E8518E" w14:paraId="2635D8CE" w14:textId="77777777" w:rsidTr="00726785">
        <w:trPr>
          <w:trHeight w:val="283"/>
          <w:tblHeader/>
          <w:jc w:val="center"/>
        </w:trPr>
        <w:tc>
          <w:tcPr>
            <w:tcW w:w="2501" w:type="pct"/>
            <w:tcBorders>
              <w:top w:val="nil"/>
              <w:bottom w:val="single" w:sz="4" w:space="0" w:color="7F7F7F" w:themeColor="text1" w:themeTint="80"/>
            </w:tcBorders>
            <w:shd w:val="clear" w:color="auto" w:fill="auto"/>
          </w:tcPr>
          <w:p w14:paraId="3CAA968E" w14:textId="77777777" w:rsidR="00CA2F73" w:rsidRPr="00191EFB" w:rsidRDefault="00CA2F73" w:rsidP="00726785">
            <w:pPr>
              <w:spacing w:before="40" w:after="40"/>
              <w:rPr>
                <w:rFonts w:eastAsia="Times New Roman" w:cs="Times New Roman"/>
                <w:i/>
                <w:lang w:eastAsia="cs-CZ"/>
              </w:rPr>
            </w:pPr>
            <w:r w:rsidRPr="00191EFB">
              <w:rPr>
                <w:rFonts w:eastAsia="Times New Roman" w:cs="Times New Roman"/>
                <w:i/>
                <w:lang w:eastAsia="cs-CZ"/>
              </w:rPr>
              <w:t xml:space="preserve"> </w:t>
            </w:r>
            <w:r w:rsidRPr="00191EFB">
              <w:rPr>
                <w:rFonts w:eastAsia="Times New Roman" w:cs="Times New Roman"/>
                <w:lang w:eastAsia="cs-CZ"/>
              </w:rPr>
              <w:t xml:space="preserve">v tom: </w:t>
            </w:r>
            <w:r w:rsidRPr="00191EFB">
              <w:rPr>
                <w:rFonts w:eastAsia="Times New Roman" w:cs="Times New Roman"/>
                <w:i/>
                <w:lang w:eastAsia="cs-CZ"/>
              </w:rPr>
              <w:t>127 77 Podpora financování dopravy</w:t>
            </w:r>
          </w:p>
        </w:tc>
        <w:tc>
          <w:tcPr>
            <w:tcW w:w="919" w:type="pct"/>
            <w:tcBorders>
              <w:top w:val="nil"/>
              <w:bottom w:val="single" w:sz="4" w:space="0" w:color="7F7F7F" w:themeColor="text1" w:themeTint="80"/>
            </w:tcBorders>
            <w:shd w:val="clear" w:color="auto" w:fill="auto"/>
            <w:vAlign w:val="center"/>
          </w:tcPr>
          <w:p w14:paraId="775EA86A" w14:textId="77777777" w:rsidR="00CA2F73" w:rsidRPr="00191EFB" w:rsidRDefault="00CA2F73" w:rsidP="00726785">
            <w:pPr>
              <w:spacing w:before="40" w:after="40"/>
              <w:jc w:val="right"/>
              <w:rPr>
                <w:rFonts w:eastAsia="Times New Roman" w:cs="Times New Roman"/>
                <w:i/>
                <w:lang w:eastAsia="cs-CZ"/>
              </w:rPr>
            </w:pPr>
            <w:r w:rsidRPr="00191EFB">
              <w:rPr>
                <w:rFonts w:eastAsia="Times New Roman" w:cs="Times New Roman"/>
                <w:i/>
                <w:lang w:eastAsia="cs-CZ"/>
              </w:rPr>
              <w:t>2 495 679</w:t>
            </w:r>
          </w:p>
        </w:tc>
        <w:tc>
          <w:tcPr>
            <w:tcW w:w="772" w:type="pct"/>
            <w:tcBorders>
              <w:top w:val="nil"/>
              <w:bottom w:val="single" w:sz="4" w:space="0" w:color="7F7F7F" w:themeColor="text1" w:themeTint="80"/>
            </w:tcBorders>
            <w:shd w:val="clear" w:color="auto" w:fill="auto"/>
            <w:vAlign w:val="center"/>
          </w:tcPr>
          <w:p w14:paraId="056FDAC1" w14:textId="77777777" w:rsidR="00CA2F73" w:rsidRPr="00191EFB" w:rsidRDefault="00CA2F73" w:rsidP="00726785">
            <w:pPr>
              <w:spacing w:before="40" w:after="40"/>
              <w:ind w:firstLine="366"/>
              <w:jc w:val="right"/>
              <w:rPr>
                <w:rFonts w:eastAsia="Times New Roman" w:cs="Times New Roman"/>
                <w:i/>
                <w:lang w:eastAsia="cs-CZ"/>
              </w:rPr>
            </w:pPr>
            <w:r w:rsidRPr="00191EFB">
              <w:rPr>
                <w:rFonts w:eastAsia="Times New Roman" w:cs="Times New Roman"/>
                <w:i/>
                <w:lang w:eastAsia="cs-CZ"/>
              </w:rPr>
              <w:t>0</w:t>
            </w:r>
          </w:p>
        </w:tc>
        <w:tc>
          <w:tcPr>
            <w:tcW w:w="808" w:type="pct"/>
            <w:tcBorders>
              <w:top w:val="nil"/>
              <w:bottom w:val="single" w:sz="4" w:space="0" w:color="7F7F7F" w:themeColor="text1" w:themeTint="80"/>
            </w:tcBorders>
            <w:shd w:val="clear" w:color="auto" w:fill="auto"/>
            <w:vAlign w:val="center"/>
          </w:tcPr>
          <w:p w14:paraId="2F27D57D" w14:textId="77777777" w:rsidR="00CA2F73" w:rsidRPr="00191EFB" w:rsidRDefault="00CA2F73" w:rsidP="00726785">
            <w:pPr>
              <w:spacing w:before="40" w:after="40"/>
              <w:jc w:val="right"/>
              <w:rPr>
                <w:rFonts w:eastAsia="Times New Roman" w:cs="Times New Roman"/>
                <w:b/>
                <w:i/>
                <w:lang w:eastAsia="cs-CZ"/>
              </w:rPr>
            </w:pPr>
            <w:r w:rsidRPr="00191EFB">
              <w:rPr>
                <w:rFonts w:eastAsia="Times New Roman" w:cs="Times New Roman"/>
                <w:b/>
                <w:i/>
                <w:lang w:eastAsia="cs-CZ"/>
              </w:rPr>
              <w:t>2 495 679</w:t>
            </w:r>
          </w:p>
        </w:tc>
      </w:tr>
      <w:tr w:rsidR="00CA2F73" w:rsidRPr="00E8518E" w14:paraId="58AB3806" w14:textId="77777777" w:rsidTr="00726785">
        <w:trPr>
          <w:tblHeader/>
          <w:jc w:val="center"/>
        </w:trPr>
        <w:tc>
          <w:tcPr>
            <w:tcW w:w="2501" w:type="pct"/>
            <w:tcBorders>
              <w:top w:val="single" w:sz="4" w:space="0" w:color="auto"/>
              <w:bottom w:val="single" w:sz="4" w:space="0" w:color="auto"/>
            </w:tcBorders>
            <w:shd w:val="clear" w:color="auto" w:fill="auto"/>
          </w:tcPr>
          <w:p w14:paraId="7ACB19BE" w14:textId="77777777" w:rsidR="00CA2F73" w:rsidRPr="00191EFB" w:rsidRDefault="00CA2F73" w:rsidP="00726785">
            <w:pPr>
              <w:spacing w:before="27" w:after="27"/>
              <w:rPr>
                <w:rFonts w:eastAsia="Times New Roman" w:cs="Times New Roman"/>
                <w:i/>
                <w:lang w:eastAsia="cs-CZ"/>
              </w:rPr>
            </w:pPr>
            <w:r w:rsidRPr="00191EFB">
              <w:rPr>
                <w:rFonts w:eastAsia="Times New Roman" w:cs="Times New Roman"/>
                <w:lang w:eastAsia="cs-CZ"/>
              </w:rPr>
              <w:t>CEF_C ROADS</w:t>
            </w:r>
            <w:r w:rsidRPr="00191EFB">
              <w:rPr>
                <w:rFonts w:eastAsia="Times New Roman" w:cs="Times New Roman"/>
                <w:i/>
                <w:lang w:eastAsia="cs-CZ"/>
              </w:rPr>
              <w:t xml:space="preserve"> </w:t>
            </w:r>
            <w:proofErr w:type="spellStart"/>
            <w:r w:rsidRPr="00191EFB">
              <w:rPr>
                <w:rFonts w:eastAsia="Times New Roman" w:cs="Times New Roman"/>
                <w:lang w:eastAsia="cs-CZ"/>
              </w:rPr>
              <w:t>Austria</w:t>
            </w:r>
            <w:proofErr w:type="spellEnd"/>
            <w:r w:rsidRPr="00191EFB">
              <w:rPr>
                <w:rFonts w:eastAsia="Times New Roman" w:cs="Times New Roman"/>
                <w:lang w:eastAsia="cs-CZ"/>
              </w:rPr>
              <w:t xml:space="preserve"> 2 (MD)</w:t>
            </w:r>
          </w:p>
        </w:tc>
        <w:tc>
          <w:tcPr>
            <w:tcW w:w="919" w:type="pct"/>
            <w:tcBorders>
              <w:top w:val="single" w:sz="4" w:space="0" w:color="auto"/>
              <w:bottom w:val="single" w:sz="4" w:space="0" w:color="auto"/>
            </w:tcBorders>
            <w:shd w:val="clear" w:color="auto" w:fill="auto"/>
            <w:vAlign w:val="center"/>
          </w:tcPr>
          <w:p w14:paraId="5CA79617" w14:textId="77777777" w:rsidR="00CA2F73" w:rsidRPr="00191EFB" w:rsidRDefault="00CA2F73" w:rsidP="00726785">
            <w:pPr>
              <w:spacing w:before="27" w:after="27"/>
              <w:jc w:val="right"/>
              <w:rPr>
                <w:rFonts w:eastAsia="Times New Roman" w:cs="Times New Roman"/>
                <w:lang w:eastAsia="cs-CZ"/>
              </w:rPr>
            </w:pPr>
            <w:r w:rsidRPr="00191EFB">
              <w:rPr>
                <w:rFonts w:eastAsia="Times New Roman" w:cs="Times New Roman"/>
                <w:lang w:eastAsia="cs-CZ"/>
              </w:rPr>
              <w:t>548</w:t>
            </w:r>
          </w:p>
        </w:tc>
        <w:tc>
          <w:tcPr>
            <w:tcW w:w="772" w:type="pct"/>
            <w:tcBorders>
              <w:top w:val="single" w:sz="4" w:space="0" w:color="auto"/>
              <w:bottom w:val="single" w:sz="4" w:space="0" w:color="auto"/>
            </w:tcBorders>
            <w:shd w:val="clear" w:color="auto" w:fill="auto"/>
            <w:vAlign w:val="center"/>
          </w:tcPr>
          <w:p w14:paraId="2435EB2A" w14:textId="77777777" w:rsidR="00CA2F73" w:rsidRPr="00191EFB" w:rsidRDefault="00CA2F73" w:rsidP="00726785">
            <w:pPr>
              <w:spacing w:before="27" w:after="27"/>
              <w:jc w:val="right"/>
              <w:rPr>
                <w:rFonts w:eastAsia="Times New Roman" w:cs="Times New Roman"/>
                <w:lang w:eastAsia="cs-CZ"/>
              </w:rPr>
            </w:pPr>
            <w:r w:rsidRPr="00191EFB">
              <w:rPr>
                <w:rFonts w:eastAsia="Times New Roman" w:cs="Times New Roman"/>
                <w:lang w:eastAsia="cs-CZ"/>
              </w:rPr>
              <w:t>548</w:t>
            </w:r>
          </w:p>
        </w:tc>
        <w:tc>
          <w:tcPr>
            <w:tcW w:w="808" w:type="pct"/>
            <w:tcBorders>
              <w:top w:val="single" w:sz="4" w:space="0" w:color="auto"/>
              <w:bottom w:val="single" w:sz="4" w:space="0" w:color="auto"/>
            </w:tcBorders>
            <w:shd w:val="clear" w:color="auto" w:fill="auto"/>
            <w:vAlign w:val="center"/>
          </w:tcPr>
          <w:p w14:paraId="438B78EF" w14:textId="77777777" w:rsidR="00CA2F73" w:rsidRPr="00191EFB" w:rsidRDefault="00CA2F73" w:rsidP="00726785">
            <w:pPr>
              <w:spacing w:before="27" w:after="27"/>
              <w:jc w:val="right"/>
              <w:rPr>
                <w:rFonts w:eastAsia="Times New Roman" w:cs="Times New Roman"/>
                <w:b/>
                <w:lang w:eastAsia="cs-CZ"/>
              </w:rPr>
            </w:pPr>
            <w:r w:rsidRPr="00191EFB">
              <w:rPr>
                <w:rFonts w:eastAsia="Times New Roman" w:cs="Times New Roman"/>
                <w:b/>
                <w:lang w:eastAsia="cs-CZ"/>
              </w:rPr>
              <w:t>1 096</w:t>
            </w:r>
          </w:p>
        </w:tc>
      </w:tr>
      <w:tr w:rsidR="00CA2F73" w:rsidRPr="00191EFB" w14:paraId="09B067C0" w14:textId="77777777" w:rsidTr="00726785">
        <w:trPr>
          <w:tblHeader/>
          <w:jc w:val="center"/>
        </w:trPr>
        <w:tc>
          <w:tcPr>
            <w:tcW w:w="2501" w:type="pct"/>
            <w:tcBorders>
              <w:top w:val="single" w:sz="4" w:space="0" w:color="auto"/>
              <w:bottom w:val="single" w:sz="4" w:space="0" w:color="auto"/>
            </w:tcBorders>
            <w:shd w:val="clear" w:color="auto" w:fill="auto"/>
          </w:tcPr>
          <w:p w14:paraId="3B9117CB" w14:textId="77777777" w:rsidR="00CA2F73" w:rsidRPr="00191EFB" w:rsidRDefault="00CA2F73" w:rsidP="00726785">
            <w:pPr>
              <w:spacing w:before="27" w:after="27"/>
              <w:rPr>
                <w:rFonts w:eastAsia="Times New Roman" w:cs="Times New Roman"/>
                <w:lang w:eastAsia="cs-CZ"/>
              </w:rPr>
            </w:pPr>
            <w:r w:rsidRPr="00191EFB">
              <w:rPr>
                <w:rFonts w:eastAsia="Times New Roman" w:cs="Times New Roman"/>
                <w:lang w:eastAsia="cs-CZ"/>
              </w:rPr>
              <w:t xml:space="preserve">CEF_PSA – NAP </w:t>
            </w:r>
            <w:proofErr w:type="spellStart"/>
            <w:r w:rsidRPr="00191EFB">
              <w:rPr>
                <w:rFonts w:eastAsia="Times New Roman" w:cs="Times New Roman"/>
                <w:lang w:eastAsia="cs-CZ"/>
              </w:rPr>
              <w:t>Governance</w:t>
            </w:r>
            <w:proofErr w:type="spellEnd"/>
            <w:r w:rsidRPr="00191EFB">
              <w:rPr>
                <w:rFonts w:eastAsia="Times New Roman" w:cs="Times New Roman"/>
                <w:lang w:eastAsia="cs-CZ"/>
              </w:rPr>
              <w:t xml:space="preserve"> (MD)</w:t>
            </w:r>
          </w:p>
        </w:tc>
        <w:tc>
          <w:tcPr>
            <w:tcW w:w="919" w:type="pct"/>
            <w:tcBorders>
              <w:top w:val="single" w:sz="4" w:space="0" w:color="auto"/>
              <w:bottom w:val="single" w:sz="4" w:space="0" w:color="auto"/>
            </w:tcBorders>
            <w:shd w:val="clear" w:color="auto" w:fill="auto"/>
            <w:vAlign w:val="center"/>
          </w:tcPr>
          <w:p w14:paraId="484AA9E0" w14:textId="77777777" w:rsidR="00CA2F73" w:rsidRPr="00191EFB" w:rsidRDefault="00CA2F73" w:rsidP="00726785">
            <w:pPr>
              <w:spacing w:before="27" w:after="27"/>
              <w:jc w:val="right"/>
              <w:rPr>
                <w:rFonts w:eastAsia="Times New Roman" w:cs="Times New Roman"/>
                <w:lang w:eastAsia="cs-CZ"/>
              </w:rPr>
            </w:pPr>
            <w:r w:rsidRPr="00191EFB">
              <w:rPr>
                <w:rFonts w:eastAsia="Times New Roman" w:cs="Times New Roman"/>
                <w:lang w:eastAsia="cs-CZ"/>
              </w:rPr>
              <w:t>1 694</w:t>
            </w:r>
          </w:p>
        </w:tc>
        <w:tc>
          <w:tcPr>
            <w:tcW w:w="772" w:type="pct"/>
            <w:tcBorders>
              <w:top w:val="single" w:sz="4" w:space="0" w:color="auto"/>
              <w:bottom w:val="single" w:sz="4" w:space="0" w:color="auto"/>
            </w:tcBorders>
            <w:shd w:val="clear" w:color="auto" w:fill="auto"/>
            <w:vAlign w:val="center"/>
          </w:tcPr>
          <w:p w14:paraId="7363DC20" w14:textId="77777777" w:rsidR="00CA2F73" w:rsidRPr="00191EFB" w:rsidRDefault="00CA2F73" w:rsidP="00726785">
            <w:pPr>
              <w:spacing w:before="27" w:after="27"/>
              <w:jc w:val="right"/>
              <w:rPr>
                <w:rFonts w:eastAsia="Times New Roman" w:cs="Times New Roman"/>
                <w:lang w:eastAsia="cs-CZ"/>
              </w:rPr>
            </w:pPr>
            <w:r w:rsidRPr="00191EFB">
              <w:rPr>
                <w:rFonts w:eastAsia="Times New Roman" w:cs="Times New Roman"/>
                <w:lang w:eastAsia="cs-CZ"/>
              </w:rPr>
              <w:t>299</w:t>
            </w:r>
          </w:p>
        </w:tc>
        <w:tc>
          <w:tcPr>
            <w:tcW w:w="808" w:type="pct"/>
            <w:tcBorders>
              <w:top w:val="single" w:sz="4" w:space="0" w:color="auto"/>
              <w:bottom w:val="single" w:sz="4" w:space="0" w:color="auto"/>
            </w:tcBorders>
            <w:shd w:val="clear" w:color="auto" w:fill="auto"/>
            <w:vAlign w:val="center"/>
          </w:tcPr>
          <w:p w14:paraId="5900AB17" w14:textId="77777777" w:rsidR="00CA2F73" w:rsidRPr="00191EFB" w:rsidRDefault="00CA2F73" w:rsidP="00726785">
            <w:pPr>
              <w:spacing w:before="27" w:after="27"/>
              <w:jc w:val="right"/>
              <w:rPr>
                <w:rFonts w:eastAsia="Times New Roman" w:cs="Times New Roman"/>
                <w:b/>
                <w:lang w:eastAsia="cs-CZ"/>
              </w:rPr>
            </w:pPr>
            <w:r w:rsidRPr="00191EFB">
              <w:rPr>
                <w:rFonts w:eastAsia="Times New Roman" w:cs="Times New Roman"/>
                <w:b/>
                <w:lang w:eastAsia="cs-CZ"/>
              </w:rPr>
              <w:t>1 993</w:t>
            </w:r>
          </w:p>
        </w:tc>
      </w:tr>
    </w:tbl>
    <w:p w14:paraId="4F88F4C9" w14:textId="77777777" w:rsidR="00CA2F73" w:rsidRPr="000E6716" w:rsidRDefault="00CA2F73" w:rsidP="00CA2F73">
      <w:pPr>
        <w:keepNext/>
        <w:spacing w:before="360"/>
        <w:rPr>
          <w:rFonts w:eastAsia="Times New Roman" w:cs="Times New Roman"/>
          <w:b/>
          <w:szCs w:val="24"/>
          <w:lang w:eastAsia="cs-CZ"/>
        </w:rPr>
      </w:pPr>
      <w:r w:rsidRPr="000E6716">
        <w:rPr>
          <w:rFonts w:eastAsia="Times New Roman" w:cs="Times New Roman"/>
          <w:b/>
          <w:szCs w:val="24"/>
          <w:lang w:eastAsia="cs-CZ"/>
        </w:rPr>
        <w:t>KP - CEF – Nástroj pro propojení Evropy 2014+</w:t>
      </w:r>
    </w:p>
    <w:p w14:paraId="54239A29" w14:textId="77777777" w:rsidR="00CA2F73" w:rsidRPr="000E6716" w:rsidRDefault="00CA2F73" w:rsidP="00CA2F73">
      <w:pPr>
        <w:pStyle w:val="Nadpis7"/>
        <w:numPr>
          <w:ilvl w:val="0"/>
          <w:numId w:val="36"/>
        </w:numPr>
      </w:pPr>
      <w:r w:rsidRPr="000E6716">
        <w:t>CEF kohezní (SFDI)</w:t>
      </w:r>
    </w:p>
    <w:p w14:paraId="74DDFA3F" w14:textId="77777777" w:rsidR="00CA2F73" w:rsidRPr="000E6716" w:rsidRDefault="00CA2F73" w:rsidP="00CA2F73">
      <w:pPr>
        <w:pStyle w:val="Styl1"/>
      </w:pPr>
      <w:r w:rsidRPr="000E6716">
        <w:t xml:space="preserve">Jedná se o integrovaný nástroj k financování prioritních transevropských infrastrukturních sítí. Cílem tohoto nástroje je podpořit vybudování infrastruktury, která zlepší fungování vnitřního trhu EU. Podpora EU bude zaměřena na prioritní energetické, dopravní a telekomunikační sítě a horizontální priority. Součástí CEF jsou i prostředky Fondu soudržnosti (tzv. kohezní CEF), které jsou určeny na budování transevropské páteřní dopravní infrastruktury ve státech způsobilých k podpoře z Fondu soudržnosti. Ve výzvách vyhlášených v prvních třech letech implementace (2014-2016) se podařilo českým subjektům zcela smluvně zavázat tzv. národní obálku v kohezním CEF ve výši 1,117 mld. EUR. Celkem prošlo procesem hodnocení úspěšně 48 projektů v kohezním CEF a 9 projektů v obecném CEF, z toho jeden v rámci </w:t>
      </w:r>
      <w:r w:rsidRPr="000E6716">
        <w:br/>
        <w:t xml:space="preserve">tzv. </w:t>
      </w:r>
      <w:proofErr w:type="spellStart"/>
      <w:r w:rsidRPr="000E6716">
        <w:t>blendingové</w:t>
      </w:r>
      <w:proofErr w:type="spellEnd"/>
      <w:r w:rsidRPr="000E6716">
        <w:t xml:space="preserve"> výzvy CEF. V rámci ní bylo možné žádat o podporu v kombinaci poskytnutého grantu CEF a úvěru od soukromé nebo veřejné bankovní instituce. Projekty připravované ministerstvem dopravy nebo jeho investorskými společnostmi jsou předfinancovány prostředky SFDI, který kryje vlastními prostředky rovněž národní část spolufinancování a nezpůsobilé výdaje.</w:t>
      </w:r>
    </w:p>
    <w:p w14:paraId="02D63D8C" w14:textId="42F8779A" w:rsidR="00CA2F73" w:rsidRPr="000E6716" w:rsidRDefault="00CA2F73" w:rsidP="00CA2F73">
      <w:pPr>
        <w:pStyle w:val="Titulek"/>
        <w:rPr>
          <w:noProof/>
        </w:rPr>
      </w:pPr>
      <w:r w:rsidRPr="000E6716">
        <w:t xml:space="preserve">Tabulka č. </w:t>
      </w:r>
      <w:r w:rsidRPr="000E6716">
        <w:rPr>
          <w:noProof/>
        </w:rPr>
        <w:fldChar w:fldCharType="begin"/>
      </w:r>
      <w:r w:rsidRPr="000E6716">
        <w:rPr>
          <w:noProof/>
        </w:rPr>
        <w:instrText xml:space="preserve"> SEQ Tabulka \* ARABIC </w:instrText>
      </w:r>
      <w:r w:rsidRPr="000E6716">
        <w:rPr>
          <w:noProof/>
        </w:rPr>
        <w:fldChar w:fldCharType="separate"/>
      </w:r>
      <w:r w:rsidR="00F80947">
        <w:rPr>
          <w:noProof/>
        </w:rPr>
        <w:t>42</w:t>
      </w:r>
      <w:r w:rsidRPr="000E6716">
        <w:rPr>
          <w:noProof/>
        </w:rPr>
        <w:fldChar w:fldCharType="end"/>
      </w:r>
      <w:r w:rsidRPr="000E6716">
        <w:rPr>
          <w:noProof/>
        </w:rPr>
        <w:t xml:space="preserve"> Komunitární program CEF kohezní_SFDI (v tis. Kč)</w:t>
      </w:r>
    </w:p>
    <w:tbl>
      <w:tblPr>
        <w:tblW w:w="4976"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704"/>
        <w:gridCol w:w="1434"/>
        <w:gridCol w:w="1434"/>
        <w:gridCol w:w="1436"/>
      </w:tblGrid>
      <w:tr w:rsidR="00CA2F73" w:rsidRPr="000E6716" w14:paraId="0D67DBEB" w14:textId="77777777" w:rsidTr="00726785">
        <w:trPr>
          <w:jc w:val="center"/>
        </w:trPr>
        <w:tc>
          <w:tcPr>
            <w:tcW w:w="261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003E4AB" w14:textId="77777777" w:rsidR="00CA2F73" w:rsidRPr="000E6716" w:rsidRDefault="00CA2F73" w:rsidP="00726785">
            <w:pPr>
              <w:spacing w:before="27" w:after="27"/>
              <w:rPr>
                <w:rFonts w:eastAsia="Times New Roman" w:cs="Times New Roman"/>
                <w:b/>
                <w:lang w:eastAsia="cs-CZ"/>
              </w:rPr>
            </w:pPr>
            <w:r w:rsidRPr="000E6716">
              <w:rPr>
                <w:rFonts w:eastAsia="Times New Roman" w:cs="Times New Roman"/>
                <w:b/>
                <w:lang w:eastAsia="cs-CZ"/>
              </w:rPr>
              <w:t>Název programu (projektu)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06878E5" w14:textId="77777777" w:rsidR="00CA2F73" w:rsidRPr="000E6716" w:rsidRDefault="00CA2F73" w:rsidP="00726785">
            <w:pPr>
              <w:spacing w:before="27" w:after="27"/>
              <w:jc w:val="center"/>
              <w:rPr>
                <w:rFonts w:eastAsia="Times New Roman" w:cs="Times New Roman"/>
                <w:b/>
                <w:lang w:eastAsia="cs-CZ"/>
              </w:rPr>
            </w:pPr>
            <w:r w:rsidRPr="000E6716">
              <w:rPr>
                <w:rFonts w:eastAsia="Times New Roman" w:cs="Times New Roman"/>
                <w:b/>
                <w:lang w:eastAsia="cs-CZ"/>
              </w:rPr>
              <w:t>EU</w:t>
            </w:r>
          </w:p>
        </w:tc>
        <w:tc>
          <w:tcPr>
            <w:tcW w:w="79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2F2D504" w14:textId="77777777" w:rsidR="00CA2F73" w:rsidRPr="000E6716" w:rsidRDefault="00CA2F73" w:rsidP="00726785">
            <w:pPr>
              <w:spacing w:before="27" w:after="27"/>
              <w:jc w:val="center"/>
              <w:rPr>
                <w:rFonts w:eastAsia="Times New Roman" w:cs="Times New Roman"/>
                <w:b/>
                <w:lang w:eastAsia="cs-CZ"/>
              </w:rPr>
            </w:pPr>
            <w:r w:rsidRPr="000E6716">
              <w:rPr>
                <w:rFonts w:eastAsia="Times New Roman" w:cs="Times New Roman"/>
                <w:b/>
                <w:lang w:eastAsia="cs-CZ"/>
              </w:rPr>
              <w:t>SR</w:t>
            </w:r>
          </w:p>
        </w:tc>
        <w:tc>
          <w:tcPr>
            <w:tcW w:w="797"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8E2BC8A" w14:textId="77777777" w:rsidR="00CA2F73" w:rsidRPr="000E6716" w:rsidRDefault="00CA2F73" w:rsidP="00726785">
            <w:pPr>
              <w:spacing w:before="27" w:after="27"/>
              <w:jc w:val="center"/>
              <w:rPr>
                <w:rFonts w:eastAsia="Times New Roman" w:cs="Times New Roman"/>
                <w:b/>
                <w:lang w:eastAsia="cs-CZ"/>
              </w:rPr>
            </w:pPr>
            <w:r w:rsidRPr="000E6716">
              <w:rPr>
                <w:rFonts w:eastAsia="Times New Roman" w:cs="Times New Roman"/>
                <w:b/>
                <w:lang w:eastAsia="cs-CZ"/>
              </w:rPr>
              <w:t>Celkem</w:t>
            </w:r>
          </w:p>
        </w:tc>
      </w:tr>
      <w:tr w:rsidR="00CA2F73" w:rsidRPr="000E6716" w14:paraId="4CBBC2AE" w14:textId="77777777" w:rsidTr="00726785">
        <w:trPr>
          <w:jc w:val="center"/>
        </w:trPr>
        <w:tc>
          <w:tcPr>
            <w:tcW w:w="2611" w:type="pct"/>
            <w:tcBorders>
              <w:top w:val="single" w:sz="4" w:space="0" w:color="7F7F7F" w:themeColor="text1" w:themeTint="80"/>
              <w:bottom w:val="single" w:sz="4" w:space="0" w:color="7F7F7F" w:themeColor="text1" w:themeTint="80"/>
            </w:tcBorders>
            <w:shd w:val="clear" w:color="auto" w:fill="auto"/>
          </w:tcPr>
          <w:p w14:paraId="646C7B6B" w14:textId="77777777" w:rsidR="00CA2F73" w:rsidRPr="000E6716" w:rsidRDefault="00CA2F73" w:rsidP="00726785">
            <w:pPr>
              <w:spacing w:before="27" w:after="27"/>
              <w:rPr>
                <w:rFonts w:eastAsia="Times New Roman" w:cs="Times New Roman"/>
                <w:b/>
                <w:lang w:eastAsia="cs-CZ"/>
              </w:rPr>
            </w:pPr>
            <w:r w:rsidRPr="000E6716">
              <w:rPr>
                <w:rFonts w:eastAsia="Times New Roman" w:cs="Times New Roman"/>
                <w:b/>
                <w:lang w:eastAsia="cs-CZ"/>
              </w:rPr>
              <w:t xml:space="preserve">CEF kohezní (SFDI) </w:t>
            </w:r>
          </w:p>
        </w:tc>
        <w:tc>
          <w:tcPr>
            <w:tcW w:w="796" w:type="pct"/>
            <w:tcBorders>
              <w:top w:val="single" w:sz="4" w:space="0" w:color="7F7F7F" w:themeColor="text1" w:themeTint="80"/>
              <w:bottom w:val="single" w:sz="4" w:space="0" w:color="7F7F7F" w:themeColor="text1" w:themeTint="80"/>
            </w:tcBorders>
            <w:shd w:val="clear" w:color="auto" w:fill="auto"/>
            <w:vAlign w:val="center"/>
          </w:tcPr>
          <w:p w14:paraId="30C7A8CA" w14:textId="77777777" w:rsidR="00CA2F73" w:rsidRPr="000E6716" w:rsidRDefault="00CA2F73" w:rsidP="00726785">
            <w:pPr>
              <w:spacing w:before="27" w:after="27"/>
              <w:jc w:val="right"/>
              <w:rPr>
                <w:rFonts w:eastAsia="Times New Roman" w:cs="Times New Roman"/>
                <w:b/>
                <w:lang w:eastAsia="cs-CZ"/>
              </w:rPr>
            </w:pPr>
            <w:r w:rsidRPr="000E6716">
              <w:rPr>
                <w:rFonts w:eastAsia="Times New Roman" w:cs="Times New Roman"/>
                <w:b/>
                <w:lang w:eastAsia="cs-CZ"/>
              </w:rPr>
              <w:t>2 495 679</w:t>
            </w:r>
          </w:p>
        </w:tc>
        <w:tc>
          <w:tcPr>
            <w:tcW w:w="796" w:type="pct"/>
            <w:tcBorders>
              <w:top w:val="single" w:sz="4" w:space="0" w:color="7F7F7F" w:themeColor="text1" w:themeTint="80"/>
              <w:bottom w:val="single" w:sz="4" w:space="0" w:color="7F7F7F" w:themeColor="text1" w:themeTint="80"/>
            </w:tcBorders>
            <w:shd w:val="clear" w:color="auto" w:fill="auto"/>
            <w:vAlign w:val="center"/>
          </w:tcPr>
          <w:p w14:paraId="76A31CF4" w14:textId="77777777" w:rsidR="00CA2F73" w:rsidRPr="000E6716" w:rsidRDefault="00CA2F73" w:rsidP="00726785">
            <w:pPr>
              <w:spacing w:before="27" w:after="27"/>
              <w:ind w:firstLine="366"/>
              <w:jc w:val="right"/>
              <w:rPr>
                <w:rFonts w:eastAsia="Times New Roman" w:cs="Times New Roman"/>
                <w:b/>
                <w:lang w:eastAsia="cs-CZ"/>
              </w:rPr>
            </w:pPr>
            <w:r w:rsidRPr="000E6716">
              <w:rPr>
                <w:rFonts w:eastAsia="Times New Roman" w:cs="Times New Roman"/>
                <w:b/>
                <w:lang w:eastAsia="cs-CZ"/>
              </w:rPr>
              <w:t>0</w:t>
            </w:r>
          </w:p>
        </w:tc>
        <w:tc>
          <w:tcPr>
            <w:tcW w:w="797" w:type="pct"/>
            <w:tcBorders>
              <w:top w:val="single" w:sz="4" w:space="0" w:color="7F7F7F" w:themeColor="text1" w:themeTint="80"/>
              <w:bottom w:val="single" w:sz="4" w:space="0" w:color="7F7F7F" w:themeColor="text1" w:themeTint="80"/>
            </w:tcBorders>
            <w:shd w:val="clear" w:color="auto" w:fill="auto"/>
            <w:vAlign w:val="center"/>
          </w:tcPr>
          <w:p w14:paraId="6A9AB918" w14:textId="77777777" w:rsidR="00CA2F73" w:rsidRPr="000E6716" w:rsidRDefault="00CA2F73" w:rsidP="00726785">
            <w:pPr>
              <w:spacing w:before="27" w:after="27"/>
              <w:jc w:val="right"/>
              <w:rPr>
                <w:rFonts w:eastAsia="Times New Roman" w:cs="Times New Roman"/>
                <w:b/>
                <w:lang w:eastAsia="cs-CZ"/>
              </w:rPr>
            </w:pPr>
            <w:r w:rsidRPr="000E6716">
              <w:rPr>
                <w:rFonts w:eastAsia="Times New Roman" w:cs="Times New Roman"/>
                <w:b/>
                <w:lang w:eastAsia="cs-CZ"/>
              </w:rPr>
              <w:t>2 495 679</w:t>
            </w:r>
          </w:p>
        </w:tc>
      </w:tr>
      <w:tr w:rsidR="00CA2F73" w:rsidRPr="000E6716" w14:paraId="48EFB486" w14:textId="77777777" w:rsidTr="00726785">
        <w:trPr>
          <w:jc w:val="center"/>
        </w:trPr>
        <w:tc>
          <w:tcPr>
            <w:tcW w:w="2611" w:type="pct"/>
            <w:tcBorders>
              <w:top w:val="single" w:sz="4" w:space="0" w:color="7F7F7F" w:themeColor="text1" w:themeTint="80"/>
            </w:tcBorders>
            <w:shd w:val="clear" w:color="auto" w:fill="auto"/>
          </w:tcPr>
          <w:p w14:paraId="5A287BCE" w14:textId="77777777" w:rsidR="00CA2F73" w:rsidRPr="000E6716" w:rsidRDefault="00CA2F73" w:rsidP="00726785">
            <w:pPr>
              <w:spacing w:before="27" w:after="27"/>
              <w:ind w:left="212"/>
              <w:rPr>
                <w:rFonts w:eastAsia="Times New Roman" w:cs="Times New Roman"/>
                <w:i/>
                <w:lang w:eastAsia="cs-CZ"/>
              </w:rPr>
            </w:pPr>
            <w:r w:rsidRPr="000E6716">
              <w:rPr>
                <w:rFonts w:eastAsia="Times New Roman" w:cs="Times New Roman"/>
                <w:i/>
                <w:lang w:eastAsia="cs-CZ"/>
              </w:rPr>
              <w:t xml:space="preserve">v tom: program 127 77 </w:t>
            </w:r>
            <w:proofErr w:type="spellStart"/>
            <w:r w:rsidRPr="000E6716">
              <w:rPr>
                <w:rFonts w:eastAsia="Times New Roman" w:cs="Times New Roman"/>
                <w:i/>
                <w:lang w:eastAsia="cs-CZ"/>
              </w:rPr>
              <w:t>Podp</w:t>
            </w:r>
            <w:proofErr w:type="spellEnd"/>
            <w:r w:rsidRPr="000E6716">
              <w:rPr>
                <w:rFonts w:eastAsia="Times New Roman" w:cs="Times New Roman"/>
                <w:i/>
                <w:lang w:eastAsia="cs-CZ"/>
              </w:rPr>
              <w:t xml:space="preserve">. </w:t>
            </w:r>
            <w:proofErr w:type="spellStart"/>
            <w:r w:rsidRPr="000E6716">
              <w:rPr>
                <w:rFonts w:eastAsia="Times New Roman" w:cs="Times New Roman"/>
                <w:i/>
                <w:lang w:eastAsia="cs-CZ"/>
              </w:rPr>
              <w:t>fin</w:t>
            </w:r>
            <w:proofErr w:type="spellEnd"/>
            <w:r w:rsidRPr="000E6716">
              <w:rPr>
                <w:rFonts w:eastAsia="Times New Roman" w:cs="Times New Roman"/>
                <w:i/>
                <w:lang w:eastAsia="cs-CZ"/>
              </w:rPr>
              <w:t>. dopravy</w:t>
            </w:r>
          </w:p>
        </w:tc>
        <w:tc>
          <w:tcPr>
            <w:tcW w:w="796" w:type="pct"/>
            <w:tcBorders>
              <w:top w:val="single" w:sz="4" w:space="0" w:color="7F7F7F" w:themeColor="text1" w:themeTint="80"/>
            </w:tcBorders>
            <w:shd w:val="clear" w:color="auto" w:fill="auto"/>
            <w:vAlign w:val="center"/>
          </w:tcPr>
          <w:p w14:paraId="5E226B92" w14:textId="77777777" w:rsidR="00CA2F73" w:rsidRPr="000E6716" w:rsidRDefault="00CA2F73" w:rsidP="00726785">
            <w:pPr>
              <w:spacing w:before="27" w:after="27"/>
              <w:jc w:val="right"/>
              <w:rPr>
                <w:rFonts w:eastAsia="Times New Roman" w:cs="Times New Roman"/>
                <w:i/>
                <w:lang w:eastAsia="cs-CZ"/>
              </w:rPr>
            </w:pPr>
            <w:r w:rsidRPr="000E6716">
              <w:rPr>
                <w:rFonts w:eastAsia="Times New Roman" w:cs="Times New Roman"/>
                <w:i/>
                <w:lang w:eastAsia="cs-CZ"/>
              </w:rPr>
              <w:t>2 495 679</w:t>
            </w:r>
          </w:p>
        </w:tc>
        <w:tc>
          <w:tcPr>
            <w:tcW w:w="796" w:type="pct"/>
            <w:tcBorders>
              <w:top w:val="single" w:sz="4" w:space="0" w:color="7F7F7F" w:themeColor="text1" w:themeTint="80"/>
            </w:tcBorders>
            <w:shd w:val="clear" w:color="auto" w:fill="auto"/>
            <w:vAlign w:val="center"/>
          </w:tcPr>
          <w:p w14:paraId="6985A2CB" w14:textId="77777777" w:rsidR="00CA2F73" w:rsidRPr="000E6716" w:rsidRDefault="00CA2F73" w:rsidP="00726785">
            <w:pPr>
              <w:spacing w:before="27" w:after="27"/>
              <w:ind w:firstLine="366"/>
              <w:jc w:val="right"/>
              <w:rPr>
                <w:rFonts w:eastAsia="Times New Roman" w:cs="Times New Roman"/>
                <w:i/>
                <w:lang w:eastAsia="cs-CZ"/>
              </w:rPr>
            </w:pPr>
            <w:r w:rsidRPr="000E6716">
              <w:rPr>
                <w:rFonts w:eastAsia="Times New Roman" w:cs="Times New Roman"/>
                <w:i/>
                <w:lang w:eastAsia="cs-CZ"/>
              </w:rPr>
              <w:t>0</w:t>
            </w:r>
          </w:p>
        </w:tc>
        <w:tc>
          <w:tcPr>
            <w:tcW w:w="797" w:type="pct"/>
            <w:tcBorders>
              <w:top w:val="single" w:sz="4" w:space="0" w:color="7F7F7F" w:themeColor="text1" w:themeTint="80"/>
            </w:tcBorders>
            <w:shd w:val="clear" w:color="auto" w:fill="auto"/>
            <w:vAlign w:val="center"/>
          </w:tcPr>
          <w:p w14:paraId="46C32F05" w14:textId="77777777" w:rsidR="00CA2F73" w:rsidRPr="000E6716" w:rsidRDefault="00CA2F73" w:rsidP="00726785">
            <w:pPr>
              <w:spacing w:before="27" w:after="27"/>
              <w:jc w:val="right"/>
              <w:rPr>
                <w:rFonts w:eastAsia="Times New Roman" w:cs="Times New Roman"/>
                <w:i/>
                <w:lang w:eastAsia="cs-CZ"/>
              </w:rPr>
            </w:pPr>
            <w:r w:rsidRPr="000E6716">
              <w:rPr>
                <w:rFonts w:eastAsia="Times New Roman" w:cs="Times New Roman"/>
                <w:i/>
                <w:lang w:eastAsia="cs-CZ"/>
              </w:rPr>
              <w:t>2 495 679</w:t>
            </w:r>
          </w:p>
        </w:tc>
      </w:tr>
    </w:tbl>
    <w:p w14:paraId="2EED4D20" w14:textId="77777777" w:rsidR="00CA2F73" w:rsidRPr="006F2EC2" w:rsidRDefault="00CA2F73" w:rsidP="00CA2F73">
      <w:pPr>
        <w:pStyle w:val="Nadpis7"/>
        <w:numPr>
          <w:ilvl w:val="0"/>
          <w:numId w:val="36"/>
        </w:numPr>
      </w:pPr>
      <w:r w:rsidRPr="006F2EC2">
        <w:t xml:space="preserve">CEF C – </w:t>
      </w:r>
      <w:proofErr w:type="spellStart"/>
      <w:r w:rsidRPr="006F2EC2">
        <w:t>Roads</w:t>
      </w:r>
      <w:proofErr w:type="spellEnd"/>
      <w:r w:rsidRPr="006F2EC2">
        <w:t xml:space="preserve"> </w:t>
      </w:r>
      <w:proofErr w:type="spellStart"/>
      <w:r w:rsidRPr="006F2EC2">
        <w:t>Austria</w:t>
      </w:r>
      <w:proofErr w:type="spellEnd"/>
      <w:r w:rsidRPr="006F2EC2">
        <w:t xml:space="preserve"> 2</w:t>
      </w:r>
    </w:p>
    <w:p w14:paraId="60B4934C" w14:textId="77777777" w:rsidR="00CA2F73" w:rsidRPr="006F2EC2" w:rsidRDefault="00CA2F73" w:rsidP="00CA2F73">
      <w:pPr>
        <w:pStyle w:val="Styl1"/>
      </w:pPr>
      <w:r w:rsidRPr="006F2EC2">
        <w:t>Český projekt C-</w:t>
      </w:r>
      <w:proofErr w:type="spellStart"/>
      <w:r w:rsidRPr="006F2EC2">
        <w:t>Roads</w:t>
      </w:r>
      <w:proofErr w:type="spellEnd"/>
      <w:r w:rsidRPr="006F2EC2">
        <w:t xml:space="preserve"> Czech Republic spolufinancovaný z nástroje CEF je součástí evropské platformy C-</w:t>
      </w:r>
      <w:proofErr w:type="spellStart"/>
      <w:r w:rsidRPr="006F2EC2">
        <w:t>Roads</w:t>
      </w:r>
      <w:proofErr w:type="spellEnd"/>
      <w:r w:rsidRPr="006F2EC2">
        <w:t>, jejímž cílem je vytvořit mezi jednotlivými evropskými projekty harmonizovaný funkční systém pro přeshraniční využití služeb C-ITS, a připravit tak prostředí pro nástup kooperativních a v blízké budoucnosti i autonomních vozidel.</w:t>
      </w:r>
    </w:p>
    <w:p w14:paraId="0A83C02D" w14:textId="7105E53C" w:rsidR="00CA2F73" w:rsidRPr="006F2EC2" w:rsidRDefault="00CA2F73" w:rsidP="00CA2F73">
      <w:pPr>
        <w:pStyle w:val="Styl1"/>
      </w:pPr>
      <w:r w:rsidRPr="006F2EC2">
        <w:t>ČR se se do této společné iniciativy zapojila prostřednictvím MD a společně s dalšími partnery ze soukromé a akademické sféry započali zavádění kooperativních ITS systémů v ČR v rámci projektu C-</w:t>
      </w:r>
      <w:proofErr w:type="spellStart"/>
      <w:r w:rsidRPr="006F2EC2">
        <w:t>Roads</w:t>
      </w:r>
      <w:proofErr w:type="spellEnd"/>
      <w:r w:rsidRPr="006F2EC2">
        <w:t xml:space="preserve"> Czech Republic. Realizací projektu C-</w:t>
      </w:r>
      <w:proofErr w:type="spellStart"/>
      <w:r w:rsidRPr="006F2EC2">
        <w:t>Roads</w:t>
      </w:r>
      <w:proofErr w:type="spellEnd"/>
      <w:r w:rsidRPr="006F2EC2">
        <w:t xml:space="preserve"> Czech Republic a spoluprací v rámci C-</w:t>
      </w:r>
      <w:proofErr w:type="spellStart"/>
      <w:r w:rsidRPr="006F2EC2">
        <w:t>Roads</w:t>
      </w:r>
      <w:proofErr w:type="spellEnd"/>
      <w:r w:rsidRPr="006F2EC2">
        <w:t xml:space="preserve"> </w:t>
      </w:r>
      <w:proofErr w:type="spellStart"/>
      <w:r w:rsidRPr="006F2EC2">
        <w:t>Platform</w:t>
      </w:r>
      <w:proofErr w:type="spellEnd"/>
      <w:r w:rsidRPr="006F2EC2">
        <w:t xml:space="preserve"> tak Česká republika naplňuje záměr ministra dopravy zavést C-ITS deklarovaný v Amsterodamském prohlášení a evropskou strategii týkající se kooperativních (spolupracujících), (datově) propojených a automatizovaných vozidel. Evropská komise vyhlásila v roce 2018 v rámci program CEF Transport novou výzvu, v rámci které členské státy budou, podávaly projektové přihlášky, tj. záměry zavádět C-ITS ve spolupráci s mezinárodní platformou C-</w:t>
      </w:r>
      <w:proofErr w:type="spellStart"/>
      <w:r w:rsidRPr="006F2EC2">
        <w:t>Roads</w:t>
      </w:r>
      <w:proofErr w:type="spellEnd"/>
      <w:r w:rsidRPr="006F2EC2">
        <w:t xml:space="preserve"> </w:t>
      </w:r>
      <w:proofErr w:type="spellStart"/>
      <w:r w:rsidRPr="006F2EC2">
        <w:t>Platform</w:t>
      </w:r>
      <w:proofErr w:type="spellEnd"/>
      <w:r w:rsidRPr="006F2EC2">
        <w:t xml:space="preserve">. </w:t>
      </w:r>
    </w:p>
    <w:p w14:paraId="7B703198" w14:textId="77777777" w:rsidR="00CA2F73" w:rsidRDefault="00CA2F73" w:rsidP="00CA2F73">
      <w:pPr>
        <w:pStyle w:val="Styl1"/>
        <w:rPr>
          <w:color w:val="FF0000"/>
        </w:rPr>
      </w:pPr>
      <w:r w:rsidRPr="006F2EC2">
        <w:t>Tímto krokem vnikla 2. fáze projektů C-</w:t>
      </w:r>
      <w:proofErr w:type="spellStart"/>
      <w:r w:rsidRPr="006F2EC2">
        <w:t>Roads</w:t>
      </w:r>
      <w:proofErr w:type="spellEnd"/>
      <w:r w:rsidRPr="006F2EC2">
        <w:t xml:space="preserve"> i jejich mezinárodní koordinační platformy (Platforma C-</w:t>
      </w:r>
      <w:proofErr w:type="spellStart"/>
      <w:r w:rsidRPr="006F2EC2">
        <w:t>Roads</w:t>
      </w:r>
      <w:proofErr w:type="spellEnd"/>
      <w:r w:rsidRPr="006F2EC2">
        <w:t xml:space="preserve"> 2). ČR (MD) se tak stala členem „mezinárodní Platformy C-</w:t>
      </w:r>
      <w:proofErr w:type="spellStart"/>
      <w:r w:rsidRPr="006F2EC2">
        <w:t>Roads</w:t>
      </w:r>
      <w:proofErr w:type="spellEnd"/>
      <w:r w:rsidRPr="006F2EC2">
        <w:t xml:space="preserve"> 2“ prostřednictvím projektu „C-</w:t>
      </w:r>
      <w:proofErr w:type="spellStart"/>
      <w:r w:rsidRPr="006F2EC2">
        <w:t>Roads</w:t>
      </w:r>
      <w:proofErr w:type="spellEnd"/>
      <w:r w:rsidRPr="006F2EC2">
        <w:t xml:space="preserve"> </w:t>
      </w:r>
      <w:proofErr w:type="spellStart"/>
      <w:r w:rsidRPr="006F2EC2">
        <w:t>Austria</w:t>
      </w:r>
      <w:proofErr w:type="spellEnd"/>
      <w:r w:rsidRPr="006F2EC2">
        <w:t xml:space="preserve"> 2“, jehož koordinátorem </w:t>
      </w:r>
      <w:r>
        <w:t>je spolkové Ministerstvo dopravy, inovací a technologií se sídlem ve Vídni</w:t>
      </w:r>
      <w:r w:rsidRPr="006F2EC2">
        <w:t>.</w:t>
      </w:r>
      <w:r w:rsidRPr="00E8518E">
        <w:rPr>
          <w:color w:val="FF0000"/>
        </w:rPr>
        <w:t xml:space="preserve"> </w:t>
      </w:r>
    </w:p>
    <w:p w14:paraId="1A2B9DB7" w14:textId="77777777" w:rsidR="00CA2F73" w:rsidRPr="001262ED" w:rsidRDefault="00CA2F73" w:rsidP="00CA2F73">
      <w:pPr>
        <w:pStyle w:val="Styl1"/>
      </w:pPr>
      <w:r w:rsidRPr="001262ED">
        <w:t xml:space="preserve">Projekt </w:t>
      </w:r>
      <w:r>
        <w:t>j</w:t>
      </w:r>
      <w:r w:rsidRPr="001262ED">
        <w:t xml:space="preserve">e realizován v režimu ex- </w:t>
      </w:r>
      <w:r>
        <w:t>post</w:t>
      </w:r>
      <w:r w:rsidRPr="001262ED">
        <w:t xml:space="preserve">, v rámci kterého budou financovány zejména osobní výdaje, cestovné a další služby. Poměr národního podílu </w:t>
      </w:r>
      <w:r>
        <w:t>a podílu EU je stanoven</w:t>
      </w:r>
      <w:r w:rsidRPr="001262ED">
        <w:br/>
        <w:t>50 % : 50 %. Realizace projektu bude ukončena do konce roku 2023.</w:t>
      </w:r>
    </w:p>
    <w:p w14:paraId="164E34F3" w14:textId="224DA3C9" w:rsidR="00CA2F73" w:rsidRPr="007C1416" w:rsidRDefault="00CA2F73" w:rsidP="00CA2F73">
      <w:pPr>
        <w:pStyle w:val="Titulek"/>
      </w:pPr>
      <w:r w:rsidRPr="007C1416">
        <w:t xml:space="preserve">Tabulka č. </w:t>
      </w:r>
      <w:r w:rsidRPr="007C1416">
        <w:rPr>
          <w:noProof/>
        </w:rPr>
        <w:fldChar w:fldCharType="begin"/>
      </w:r>
      <w:r w:rsidRPr="007C1416">
        <w:rPr>
          <w:noProof/>
        </w:rPr>
        <w:instrText xml:space="preserve"> SEQ Tabulka \* ARABIC </w:instrText>
      </w:r>
      <w:r w:rsidRPr="007C1416">
        <w:rPr>
          <w:noProof/>
        </w:rPr>
        <w:fldChar w:fldCharType="separate"/>
      </w:r>
      <w:r w:rsidR="00F80947">
        <w:rPr>
          <w:noProof/>
        </w:rPr>
        <w:t>43</w:t>
      </w:r>
      <w:r w:rsidRPr="007C1416">
        <w:rPr>
          <w:noProof/>
        </w:rPr>
        <w:fldChar w:fldCharType="end"/>
      </w:r>
      <w:r w:rsidRPr="007C1416">
        <w:rPr>
          <w:noProof/>
        </w:rPr>
        <w:t xml:space="preserve"> Komunitární projekt CEF C – ROADS Austria 2 (v tis. Kč)</w:t>
      </w:r>
    </w:p>
    <w:tbl>
      <w:tblPr>
        <w:tblW w:w="502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28"/>
        <w:gridCol w:w="1455"/>
        <w:gridCol w:w="1455"/>
        <w:gridCol w:w="1455"/>
      </w:tblGrid>
      <w:tr w:rsidR="00CA2F73" w:rsidRPr="007C1416" w14:paraId="353B9CDA" w14:textId="77777777" w:rsidTr="00726785">
        <w:trPr>
          <w:jc w:val="center"/>
        </w:trPr>
        <w:tc>
          <w:tcPr>
            <w:tcW w:w="26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151FBFC" w14:textId="77777777" w:rsidR="00CA2F73" w:rsidRPr="007C1416" w:rsidRDefault="00CA2F73" w:rsidP="00726785">
            <w:pPr>
              <w:spacing w:before="27" w:after="27"/>
              <w:rPr>
                <w:rFonts w:eastAsia="Times New Roman" w:cs="Times New Roman"/>
                <w:b/>
                <w:lang w:eastAsia="cs-CZ"/>
              </w:rPr>
            </w:pPr>
            <w:r w:rsidRPr="007C1416">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13CC4BE" w14:textId="77777777" w:rsidR="00CA2F73" w:rsidRPr="007C1416" w:rsidRDefault="00CA2F73" w:rsidP="00726785">
            <w:pPr>
              <w:spacing w:before="27" w:after="27"/>
              <w:ind w:firstLine="366"/>
              <w:rPr>
                <w:rFonts w:eastAsia="Times New Roman" w:cs="Times New Roman"/>
                <w:b/>
                <w:lang w:eastAsia="cs-CZ"/>
              </w:rPr>
            </w:pPr>
            <w:r w:rsidRPr="007C1416">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35490D4" w14:textId="77777777" w:rsidR="00CA2F73" w:rsidRPr="007C1416" w:rsidRDefault="00CA2F73" w:rsidP="00726785">
            <w:pPr>
              <w:spacing w:before="27" w:after="27"/>
              <w:ind w:firstLine="366"/>
              <w:rPr>
                <w:rFonts w:eastAsia="Times New Roman" w:cs="Times New Roman"/>
                <w:b/>
                <w:lang w:eastAsia="cs-CZ"/>
              </w:rPr>
            </w:pPr>
            <w:r w:rsidRPr="007C1416">
              <w:rPr>
                <w:rFonts w:eastAsia="Times New Roman" w:cs="Times New Roman"/>
                <w:b/>
                <w:lang w:eastAsia="cs-CZ"/>
              </w:rPr>
              <w:t>SR</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E44ECC1" w14:textId="77777777" w:rsidR="00CA2F73" w:rsidRPr="007C1416" w:rsidRDefault="00CA2F73" w:rsidP="00726785">
            <w:pPr>
              <w:spacing w:before="27" w:after="27"/>
              <w:jc w:val="center"/>
              <w:rPr>
                <w:rFonts w:eastAsia="Times New Roman" w:cs="Times New Roman"/>
                <w:b/>
                <w:lang w:eastAsia="cs-CZ"/>
              </w:rPr>
            </w:pPr>
            <w:r w:rsidRPr="007C1416">
              <w:rPr>
                <w:rFonts w:eastAsia="Times New Roman" w:cs="Times New Roman"/>
                <w:b/>
                <w:lang w:eastAsia="cs-CZ"/>
              </w:rPr>
              <w:t>Celkem</w:t>
            </w:r>
          </w:p>
        </w:tc>
      </w:tr>
      <w:tr w:rsidR="00CA2F73" w:rsidRPr="007C1416" w14:paraId="3566D5EB" w14:textId="77777777" w:rsidTr="00726785">
        <w:trPr>
          <w:jc w:val="center"/>
        </w:trPr>
        <w:tc>
          <w:tcPr>
            <w:tcW w:w="2600" w:type="pct"/>
            <w:tcBorders>
              <w:top w:val="single" w:sz="4" w:space="0" w:color="7F7F7F" w:themeColor="text1" w:themeTint="80"/>
            </w:tcBorders>
            <w:shd w:val="clear" w:color="auto" w:fill="auto"/>
          </w:tcPr>
          <w:p w14:paraId="4AFD3109" w14:textId="77777777" w:rsidR="00CA2F73" w:rsidRPr="007C1416" w:rsidRDefault="00CA2F73" w:rsidP="00726785">
            <w:pPr>
              <w:spacing w:before="27" w:after="27"/>
              <w:rPr>
                <w:rFonts w:eastAsia="Times New Roman" w:cs="Times New Roman"/>
                <w:lang w:eastAsia="cs-CZ"/>
              </w:rPr>
            </w:pPr>
            <w:r w:rsidRPr="007C1416">
              <w:rPr>
                <w:rFonts w:eastAsia="Times New Roman" w:cs="Times New Roman"/>
                <w:lang w:eastAsia="cs-CZ"/>
              </w:rPr>
              <w:t>CEF_C-</w:t>
            </w:r>
            <w:proofErr w:type="spellStart"/>
            <w:r w:rsidRPr="007C1416">
              <w:rPr>
                <w:rFonts w:eastAsia="Times New Roman" w:cs="Times New Roman"/>
                <w:lang w:eastAsia="cs-CZ"/>
              </w:rPr>
              <w:t>Roads</w:t>
            </w:r>
            <w:proofErr w:type="spellEnd"/>
            <w:r w:rsidRPr="007C1416">
              <w:rPr>
                <w:rFonts w:eastAsia="Times New Roman" w:cs="Times New Roman"/>
                <w:lang w:eastAsia="cs-CZ"/>
              </w:rPr>
              <w:t xml:space="preserve"> </w:t>
            </w:r>
            <w:proofErr w:type="spellStart"/>
            <w:r w:rsidRPr="007C1416">
              <w:rPr>
                <w:rFonts w:eastAsia="Times New Roman" w:cs="Times New Roman"/>
                <w:lang w:eastAsia="cs-CZ"/>
              </w:rPr>
              <w:t>Austria</w:t>
            </w:r>
            <w:proofErr w:type="spellEnd"/>
            <w:r w:rsidRPr="007C1416">
              <w:rPr>
                <w:rFonts w:eastAsia="Times New Roman" w:cs="Times New Roman"/>
                <w:lang w:eastAsia="cs-CZ"/>
              </w:rPr>
              <w:t xml:space="preserve"> 2 (MD)</w:t>
            </w:r>
          </w:p>
        </w:tc>
        <w:tc>
          <w:tcPr>
            <w:tcW w:w="800" w:type="pct"/>
            <w:tcBorders>
              <w:top w:val="single" w:sz="4" w:space="0" w:color="7F7F7F" w:themeColor="text1" w:themeTint="80"/>
            </w:tcBorders>
            <w:shd w:val="clear" w:color="auto" w:fill="auto"/>
            <w:vAlign w:val="center"/>
          </w:tcPr>
          <w:p w14:paraId="6E4EF7F0" w14:textId="77777777" w:rsidR="00CA2F73" w:rsidRPr="007C1416" w:rsidRDefault="00CA2F73" w:rsidP="00726785">
            <w:pPr>
              <w:spacing w:before="27" w:after="27"/>
              <w:jc w:val="right"/>
              <w:rPr>
                <w:rFonts w:eastAsia="Times New Roman" w:cs="Times New Roman"/>
                <w:lang w:eastAsia="cs-CZ"/>
              </w:rPr>
            </w:pPr>
            <w:r w:rsidRPr="007C1416">
              <w:rPr>
                <w:rFonts w:eastAsia="Times New Roman" w:cs="Times New Roman"/>
                <w:lang w:eastAsia="cs-CZ"/>
              </w:rPr>
              <w:t>548</w:t>
            </w:r>
          </w:p>
        </w:tc>
        <w:tc>
          <w:tcPr>
            <w:tcW w:w="800" w:type="pct"/>
            <w:tcBorders>
              <w:top w:val="single" w:sz="4" w:space="0" w:color="7F7F7F" w:themeColor="text1" w:themeTint="80"/>
            </w:tcBorders>
            <w:shd w:val="clear" w:color="auto" w:fill="auto"/>
            <w:vAlign w:val="center"/>
          </w:tcPr>
          <w:p w14:paraId="668AB1F0" w14:textId="77777777" w:rsidR="00CA2F73" w:rsidRPr="007C1416" w:rsidRDefault="00CA2F73" w:rsidP="00726785">
            <w:pPr>
              <w:spacing w:before="27" w:after="27"/>
              <w:jc w:val="right"/>
              <w:rPr>
                <w:rFonts w:eastAsia="Times New Roman" w:cs="Times New Roman"/>
                <w:lang w:eastAsia="cs-CZ"/>
              </w:rPr>
            </w:pPr>
            <w:r w:rsidRPr="007C1416">
              <w:rPr>
                <w:rFonts w:eastAsia="Times New Roman" w:cs="Times New Roman"/>
                <w:lang w:eastAsia="cs-CZ"/>
              </w:rPr>
              <w:t>548</w:t>
            </w:r>
          </w:p>
        </w:tc>
        <w:tc>
          <w:tcPr>
            <w:tcW w:w="800" w:type="pct"/>
            <w:tcBorders>
              <w:top w:val="single" w:sz="4" w:space="0" w:color="7F7F7F" w:themeColor="text1" w:themeTint="80"/>
            </w:tcBorders>
            <w:shd w:val="clear" w:color="auto" w:fill="auto"/>
            <w:vAlign w:val="center"/>
          </w:tcPr>
          <w:p w14:paraId="71D938D9" w14:textId="77777777" w:rsidR="00CA2F73" w:rsidRPr="007C1416" w:rsidRDefault="00CA2F73" w:rsidP="00726785">
            <w:pPr>
              <w:spacing w:before="27" w:after="27"/>
              <w:jc w:val="right"/>
              <w:rPr>
                <w:rFonts w:eastAsia="Times New Roman" w:cs="Times New Roman"/>
                <w:b/>
                <w:lang w:eastAsia="cs-CZ"/>
              </w:rPr>
            </w:pPr>
            <w:r w:rsidRPr="007C1416">
              <w:rPr>
                <w:rFonts w:eastAsia="Times New Roman" w:cs="Times New Roman"/>
                <w:b/>
                <w:lang w:eastAsia="cs-CZ"/>
              </w:rPr>
              <w:t>1 096</w:t>
            </w:r>
          </w:p>
        </w:tc>
      </w:tr>
    </w:tbl>
    <w:p w14:paraId="4529603A" w14:textId="77777777" w:rsidR="00CA2F73" w:rsidRPr="00232FB0" w:rsidRDefault="00CA2F73" w:rsidP="00CA2F73">
      <w:pPr>
        <w:pStyle w:val="Nadpis7"/>
        <w:numPr>
          <w:ilvl w:val="0"/>
          <w:numId w:val="36"/>
        </w:numPr>
      </w:pPr>
      <w:r w:rsidRPr="00232FB0">
        <w:t xml:space="preserve">CEF PSA – NAP </w:t>
      </w:r>
      <w:proofErr w:type="spellStart"/>
      <w:r w:rsidRPr="00232FB0">
        <w:t>Governance</w:t>
      </w:r>
      <w:proofErr w:type="spellEnd"/>
    </w:p>
    <w:p w14:paraId="5F5D7253" w14:textId="77777777" w:rsidR="00CA2F73" w:rsidRPr="00232FB0" w:rsidRDefault="00CA2F73" w:rsidP="00CA2F73">
      <w:pPr>
        <w:pStyle w:val="Styl1"/>
      </w:pPr>
      <w:r w:rsidRPr="00232FB0">
        <w:t xml:space="preserve">Cílem projektu je komplexním způsobem zvýšit využití tzv. národního přístupového bodu, kterým je Národní dopravní informační centrum v Ostravě (provozované ŘSD), co se týče sdílení dopravních dat a informací takovým způsobem, aby tento národní přístupový bod naplňoval aktuální požadavky Směrnice Evropského parlamentu a Rady 2010/40/EU ze dne 7. července 2010 o rámci pro zavedení inteligentních dopravních systémů v oblasti silniční dopravy a pro rozhraní s jinými druhy dopravy a příslušných nařízeních (Nařízení Komise v přenesené pravomoci (EU) č. 885/2013 ze dne 15. května 2013, kterým se doplňuje směrnice Evropského parlamentu a Rady 2010/40/EU o inteligentních dopravních systémech, pokud jde </w:t>
      </w:r>
      <w:r w:rsidRPr="00232FB0">
        <w:br/>
        <w:t xml:space="preserve">o poskytování informačních služeb týkajících se bezpečných a chráněných parkovacích míst pro nákladní a užitková vozidla,  Nařízení Komise v přenesené pravomoci (EU) č. 886/2013 ze dne 15. května 2013, kterým se doplňuje směrnice Evropského parlamentu a Rady 2010/40/EU, pokud jde o údaje a postupy pro poskytování minimálních univerzálních informací o dopravním provozu souvisejících s bezpečností silničního provozu uživatelům, pokud možno bezplatně,  Nařízení Komise v přenesené pravomoci (EU) 2015/962 ze dne 18. prosince 2014, kterým se doplňuje směrnice Evropského parlamentu a Rady 2010/40/EU, pokud jde </w:t>
      </w:r>
      <w:r w:rsidRPr="00232FB0">
        <w:br/>
        <w:t xml:space="preserve">o poskytování informačních služeb o dopravním provozu v reálném čase v celé EU. </w:t>
      </w:r>
    </w:p>
    <w:p w14:paraId="1EF7D184" w14:textId="77777777" w:rsidR="00CA2F73" w:rsidRPr="00232FB0" w:rsidRDefault="00CA2F73" w:rsidP="00CA2F73">
      <w:pPr>
        <w:pStyle w:val="Styl1"/>
        <w:rPr>
          <w:sz w:val="22"/>
        </w:rPr>
      </w:pPr>
      <w:r w:rsidRPr="00232FB0">
        <w:t>Dalším cílem projektu je zajistit, aby ostatní členské státy EU a jejich národní přístupové body byly nadále provozovány a rozvíjeny koordinovaným a harmonizovaným způsobem, tzn., aby jejich architektura, služby a celkově fungování dosahovalo vzájemné interoperability</w:t>
      </w:r>
      <w:r w:rsidRPr="00232FB0">
        <w:rPr>
          <w:sz w:val="22"/>
        </w:rPr>
        <w:t>.</w:t>
      </w:r>
    </w:p>
    <w:p w14:paraId="242D75FE" w14:textId="77777777" w:rsidR="00CA2F73" w:rsidRPr="008C2F87" w:rsidRDefault="00CA2F73" w:rsidP="00CA2F73">
      <w:pPr>
        <w:pStyle w:val="Styl1"/>
        <w:rPr>
          <w:sz w:val="22"/>
        </w:rPr>
      </w:pPr>
      <w:r w:rsidRPr="001262ED">
        <w:t xml:space="preserve">Projekt </w:t>
      </w:r>
      <w:r>
        <w:t>j</w:t>
      </w:r>
      <w:r w:rsidRPr="001262ED">
        <w:t xml:space="preserve">e realizován v režimu ex- </w:t>
      </w:r>
      <w:r>
        <w:t>post</w:t>
      </w:r>
      <w:r w:rsidRPr="001262ED">
        <w:t xml:space="preserve">, v rámci kterého budou financovány zejména osobní výdaje, cestovné a další služby. Poměr národního podílu </w:t>
      </w:r>
      <w:r>
        <w:t>a podílu EU je stanoven</w:t>
      </w:r>
      <w:r w:rsidRPr="001262ED">
        <w:br/>
      </w:r>
      <w:r>
        <w:t>15</w:t>
      </w:r>
      <w:r w:rsidRPr="001262ED">
        <w:t xml:space="preserve"> % : </w:t>
      </w:r>
      <w:r>
        <w:t>8</w:t>
      </w:r>
      <w:r w:rsidRPr="001262ED">
        <w:t xml:space="preserve">5 </w:t>
      </w:r>
      <w:r w:rsidRPr="008C2F87">
        <w:t>%. Realizace projektu bude ukončena do konce roku 2024.</w:t>
      </w:r>
    </w:p>
    <w:p w14:paraId="7F145E39" w14:textId="09B7BC48" w:rsidR="00CA2F73" w:rsidRPr="00232FB0" w:rsidRDefault="00CA2F73" w:rsidP="00CA2F73">
      <w:pPr>
        <w:pStyle w:val="Titulek"/>
      </w:pPr>
      <w:r w:rsidRPr="00232FB0">
        <w:t xml:space="preserve">Tabulka č. </w:t>
      </w:r>
      <w:r w:rsidRPr="00232FB0">
        <w:rPr>
          <w:noProof/>
        </w:rPr>
        <w:fldChar w:fldCharType="begin"/>
      </w:r>
      <w:r w:rsidRPr="00232FB0">
        <w:rPr>
          <w:noProof/>
        </w:rPr>
        <w:instrText xml:space="preserve"> SEQ Tabulka \* ARABIC </w:instrText>
      </w:r>
      <w:r w:rsidRPr="00232FB0">
        <w:rPr>
          <w:noProof/>
        </w:rPr>
        <w:fldChar w:fldCharType="separate"/>
      </w:r>
      <w:r w:rsidR="00F80947">
        <w:rPr>
          <w:noProof/>
        </w:rPr>
        <w:t>44</w:t>
      </w:r>
      <w:r w:rsidRPr="00232FB0">
        <w:rPr>
          <w:noProof/>
        </w:rPr>
        <w:fldChar w:fldCharType="end"/>
      </w:r>
      <w:r w:rsidR="00C625C2">
        <w:rPr>
          <w:noProof/>
        </w:rPr>
        <w:t>2</w:t>
      </w:r>
      <w:r w:rsidRPr="00232FB0">
        <w:rPr>
          <w:noProof/>
        </w:rPr>
        <w:t xml:space="preserve"> Komunitární projekt CEF C – PSA – NAP Governance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232FB0" w14:paraId="0E86175A" w14:textId="77777777" w:rsidTr="00726785">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B6F9F73" w14:textId="77777777" w:rsidR="00CA2F73" w:rsidRPr="00232FB0" w:rsidRDefault="00CA2F73" w:rsidP="00726785">
            <w:pPr>
              <w:spacing w:before="27" w:after="27"/>
              <w:rPr>
                <w:rFonts w:eastAsia="Times New Roman" w:cs="Times New Roman"/>
                <w:b/>
                <w:lang w:eastAsia="cs-CZ"/>
              </w:rPr>
            </w:pPr>
            <w:r w:rsidRPr="00232FB0">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444EA9A" w14:textId="77777777" w:rsidR="00CA2F73" w:rsidRPr="00232FB0" w:rsidRDefault="00CA2F73" w:rsidP="00726785">
            <w:pPr>
              <w:spacing w:before="27" w:after="27"/>
              <w:ind w:firstLine="366"/>
              <w:rPr>
                <w:rFonts w:eastAsia="Times New Roman" w:cs="Times New Roman"/>
                <w:b/>
                <w:lang w:eastAsia="cs-CZ"/>
              </w:rPr>
            </w:pPr>
            <w:r w:rsidRPr="00232FB0">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2E8D808" w14:textId="77777777" w:rsidR="00CA2F73" w:rsidRPr="00232FB0" w:rsidRDefault="00CA2F73" w:rsidP="00726785">
            <w:pPr>
              <w:spacing w:before="27" w:after="27"/>
              <w:ind w:firstLine="366"/>
              <w:rPr>
                <w:rFonts w:eastAsia="Times New Roman" w:cs="Times New Roman"/>
                <w:b/>
                <w:lang w:eastAsia="cs-CZ"/>
              </w:rPr>
            </w:pPr>
            <w:r w:rsidRPr="00232FB0">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B48CB0" w14:textId="77777777" w:rsidR="00CA2F73" w:rsidRPr="00232FB0" w:rsidRDefault="00CA2F73" w:rsidP="00726785">
            <w:pPr>
              <w:spacing w:before="27" w:after="27"/>
              <w:jc w:val="center"/>
              <w:rPr>
                <w:rFonts w:eastAsia="Times New Roman" w:cs="Times New Roman"/>
                <w:b/>
                <w:lang w:eastAsia="cs-CZ"/>
              </w:rPr>
            </w:pPr>
            <w:r w:rsidRPr="00232FB0">
              <w:rPr>
                <w:rFonts w:eastAsia="Times New Roman" w:cs="Times New Roman"/>
                <w:b/>
                <w:lang w:eastAsia="cs-CZ"/>
              </w:rPr>
              <w:t>Celkem</w:t>
            </w:r>
          </w:p>
        </w:tc>
      </w:tr>
      <w:tr w:rsidR="00CA2F73" w:rsidRPr="00232FB0" w14:paraId="0C21BF46" w14:textId="77777777" w:rsidTr="00726785">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93AA240" w14:textId="77777777" w:rsidR="00CA2F73" w:rsidRPr="00232FB0" w:rsidRDefault="00CA2F73" w:rsidP="00726785">
            <w:pPr>
              <w:spacing w:before="27" w:after="27"/>
              <w:rPr>
                <w:rFonts w:eastAsia="Times New Roman" w:cs="Times New Roman"/>
                <w:lang w:eastAsia="cs-CZ"/>
              </w:rPr>
            </w:pPr>
            <w:r w:rsidRPr="00232FB0">
              <w:rPr>
                <w:rFonts w:eastAsia="Times New Roman" w:cs="Times New Roman"/>
                <w:lang w:eastAsia="cs-CZ"/>
              </w:rPr>
              <w:t xml:space="preserve">CEF PSA – NAP </w:t>
            </w:r>
            <w:proofErr w:type="spellStart"/>
            <w:r w:rsidRPr="00232FB0">
              <w:rPr>
                <w:rFonts w:eastAsia="Times New Roman" w:cs="Times New Roman"/>
                <w:lang w:eastAsia="cs-CZ"/>
              </w:rPr>
              <w:t>Governance</w:t>
            </w:r>
            <w:proofErr w:type="spellEnd"/>
            <w:r w:rsidRPr="00232FB0">
              <w:rPr>
                <w:rFonts w:eastAsia="Times New Roman" w:cs="Times New Roman"/>
                <w:lang w:eastAsia="cs-CZ"/>
              </w:rPr>
              <w:t xml:space="preserve">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96F40D2" w14:textId="77777777" w:rsidR="00CA2F73" w:rsidRPr="00232FB0" w:rsidRDefault="00CA2F73" w:rsidP="00726785">
            <w:pPr>
              <w:spacing w:before="27" w:after="27"/>
              <w:jc w:val="right"/>
              <w:rPr>
                <w:rFonts w:eastAsia="Times New Roman" w:cs="Times New Roman"/>
                <w:lang w:eastAsia="cs-CZ"/>
              </w:rPr>
            </w:pPr>
            <w:r w:rsidRPr="00232FB0">
              <w:rPr>
                <w:rFonts w:eastAsia="Times New Roman" w:cs="Times New Roman"/>
                <w:lang w:eastAsia="cs-CZ"/>
              </w:rPr>
              <w:t>1 694</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C16B4BE" w14:textId="77777777" w:rsidR="00CA2F73" w:rsidRPr="00232FB0" w:rsidRDefault="00CA2F73" w:rsidP="00726785">
            <w:pPr>
              <w:spacing w:before="27" w:after="27"/>
              <w:jc w:val="right"/>
              <w:rPr>
                <w:rFonts w:eastAsia="Times New Roman" w:cs="Times New Roman"/>
                <w:lang w:eastAsia="cs-CZ"/>
              </w:rPr>
            </w:pPr>
            <w:r w:rsidRPr="00232FB0">
              <w:rPr>
                <w:rFonts w:eastAsia="Times New Roman" w:cs="Times New Roman"/>
                <w:lang w:eastAsia="cs-CZ"/>
              </w:rPr>
              <w:t>299</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3E20D1E9" w14:textId="77777777" w:rsidR="00CA2F73" w:rsidRPr="00232FB0" w:rsidRDefault="00CA2F73" w:rsidP="00726785">
            <w:pPr>
              <w:spacing w:before="27" w:after="27"/>
              <w:jc w:val="right"/>
              <w:rPr>
                <w:rFonts w:eastAsia="Times New Roman" w:cs="Times New Roman"/>
                <w:b/>
                <w:lang w:eastAsia="cs-CZ"/>
              </w:rPr>
            </w:pPr>
            <w:r w:rsidRPr="00232FB0">
              <w:rPr>
                <w:rFonts w:eastAsia="Times New Roman" w:cs="Times New Roman"/>
                <w:b/>
                <w:lang w:eastAsia="cs-CZ"/>
              </w:rPr>
              <w:t>1 993</w:t>
            </w:r>
          </w:p>
        </w:tc>
      </w:tr>
    </w:tbl>
    <w:p w14:paraId="05B39BED" w14:textId="77777777" w:rsidR="00CA2F73" w:rsidRPr="009A082E" w:rsidRDefault="00CA2F73" w:rsidP="00CA2F73">
      <w:pPr>
        <w:pStyle w:val="Nadpis3"/>
      </w:pPr>
      <w:bookmarkStart w:id="278" w:name="_Toc115787999"/>
      <w:r w:rsidRPr="009A082E">
        <w:t>Operační program Podnikání a inovace</w:t>
      </w:r>
      <w:bookmarkEnd w:id="278"/>
    </w:p>
    <w:p w14:paraId="56718F1D" w14:textId="77777777" w:rsidR="00CA2F73" w:rsidRPr="009A082E" w:rsidRDefault="00CA2F73" w:rsidP="00CA2F73">
      <w:pPr>
        <w:pStyle w:val="Styl1"/>
      </w:pPr>
      <w:r w:rsidRPr="009A082E">
        <w:t>Příspěvková organizace Ředitelství silnic a dálnic ČR se přihlásila s projektem Digitální technická mapa ŘSD ČR do výzvy Vznik a rozvoj digitálních technických map veřejnoprávních subjektů. Výzvu vyhlásilo Ministerstvo průmyslu a obchodu v rámci Operačního programu podnikání a inovace pro konkurenceschopnost 2014-2020, prioritní osy Rozvoj vysokorychlostních přístupových sítí k internetu a informačních a komunikačních technologií.</w:t>
      </w:r>
    </w:p>
    <w:p w14:paraId="5D8C3854" w14:textId="77777777" w:rsidR="00CA2F73" w:rsidRPr="009A082E" w:rsidRDefault="00CA2F73" w:rsidP="00CA2F73">
      <w:pPr>
        <w:pStyle w:val="Styl1"/>
        <w:rPr>
          <w:rFonts w:eastAsia="Calibri"/>
        </w:rPr>
      </w:pPr>
      <w:r w:rsidRPr="009A082E">
        <w:rPr>
          <w:rFonts w:eastAsia="Calibri"/>
        </w:rPr>
        <w:t xml:space="preserve">Cílem projektu „Digitální technická mapa ŘSD ČR“ je vytvoření přesné datové sady </w:t>
      </w:r>
      <w:proofErr w:type="spellStart"/>
      <w:r w:rsidRPr="009A082E">
        <w:rPr>
          <w:rFonts w:eastAsia="Calibri"/>
        </w:rPr>
        <w:t>geoprostorově</w:t>
      </w:r>
      <w:proofErr w:type="spellEnd"/>
      <w:r w:rsidRPr="009A082E">
        <w:rPr>
          <w:rFonts w:eastAsia="Calibri"/>
        </w:rPr>
        <w:t xml:space="preserve"> definovaných objektů pro poskytování údajů do digitální technické mapy krajů v rámci dopravní a technické infrastruktury a základní polohové situace v působnosti ŘSD ČR. </w:t>
      </w:r>
    </w:p>
    <w:p w14:paraId="6759E4D3" w14:textId="77777777" w:rsidR="00CA2F73" w:rsidRPr="009A082E" w:rsidRDefault="00CA2F73" w:rsidP="00CA2F73">
      <w:pPr>
        <w:pStyle w:val="Styl1"/>
      </w:pPr>
      <w:r w:rsidRPr="009A082E">
        <w:t xml:space="preserve">Projekt bude realizován v režimu ex- post. Prostředky na předfinancování a národní podíl k EU bude zajištěn z prostředků Státního fondu dopravní infrastruktury. Poměr národního podílu </w:t>
      </w:r>
      <w:r w:rsidRPr="009A082E">
        <w:br/>
        <w:t>a podílu EU je stanoven 15 % : 85 %. Realizace projektu by měla být ukončena do května 2023.</w:t>
      </w:r>
    </w:p>
    <w:p w14:paraId="7EAC6B95" w14:textId="7DAB4F57" w:rsidR="00CA2F73" w:rsidRPr="009A082E" w:rsidRDefault="00CA2F73" w:rsidP="00CA2F73">
      <w:pPr>
        <w:pStyle w:val="Titulek"/>
      </w:pPr>
      <w:r w:rsidRPr="009A082E">
        <w:t xml:space="preserve">Tabulka č. </w:t>
      </w:r>
      <w:r w:rsidRPr="009A082E">
        <w:rPr>
          <w:noProof/>
        </w:rPr>
        <w:fldChar w:fldCharType="begin"/>
      </w:r>
      <w:r w:rsidRPr="009A082E">
        <w:rPr>
          <w:noProof/>
        </w:rPr>
        <w:instrText xml:space="preserve"> SEQ Tabulka \* ARABIC </w:instrText>
      </w:r>
      <w:r w:rsidRPr="009A082E">
        <w:rPr>
          <w:noProof/>
        </w:rPr>
        <w:fldChar w:fldCharType="separate"/>
      </w:r>
      <w:r w:rsidR="00F80947">
        <w:rPr>
          <w:noProof/>
        </w:rPr>
        <w:t>45</w:t>
      </w:r>
      <w:r w:rsidRPr="009A082E">
        <w:rPr>
          <w:noProof/>
        </w:rPr>
        <w:fldChar w:fldCharType="end"/>
      </w:r>
      <w:r w:rsidR="00C625C2">
        <w:rPr>
          <w:noProof/>
        </w:rPr>
        <w:t>3</w:t>
      </w:r>
      <w:r w:rsidRPr="009A082E">
        <w:rPr>
          <w:noProof/>
        </w:rPr>
        <w:t xml:space="preserve"> Operační program Podnikání a inovace pro konkurenceschopnost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9A082E" w14:paraId="07C21408" w14:textId="77777777" w:rsidTr="00726785">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7A839C7" w14:textId="77777777" w:rsidR="00CA2F73" w:rsidRPr="009A082E" w:rsidRDefault="00CA2F73" w:rsidP="00726785">
            <w:pPr>
              <w:spacing w:before="27" w:after="27"/>
              <w:rPr>
                <w:rFonts w:eastAsia="Times New Roman" w:cs="Times New Roman"/>
                <w:b/>
                <w:lang w:eastAsia="cs-CZ"/>
              </w:rPr>
            </w:pPr>
            <w:r w:rsidRPr="009A082E">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BBD4A81" w14:textId="77777777" w:rsidR="00CA2F73" w:rsidRPr="009A082E" w:rsidRDefault="00CA2F73" w:rsidP="00726785">
            <w:pPr>
              <w:spacing w:before="27" w:after="27"/>
              <w:ind w:firstLine="366"/>
              <w:rPr>
                <w:rFonts w:eastAsia="Times New Roman" w:cs="Times New Roman"/>
                <w:b/>
                <w:lang w:eastAsia="cs-CZ"/>
              </w:rPr>
            </w:pPr>
            <w:r w:rsidRPr="009A082E">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7E00E15" w14:textId="77777777" w:rsidR="00CA2F73" w:rsidRPr="009A082E" w:rsidRDefault="00CA2F73" w:rsidP="00726785">
            <w:pPr>
              <w:spacing w:before="27" w:after="27"/>
              <w:ind w:firstLine="366"/>
              <w:rPr>
                <w:rFonts w:eastAsia="Times New Roman" w:cs="Times New Roman"/>
                <w:b/>
                <w:lang w:eastAsia="cs-CZ"/>
              </w:rPr>
            </w:pPr>
            <w:r w:rsidRPr="009A082E">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88FF97" w14:textId="77777777" w:rsidR="00CA2F73" w:rsidRPr="009A082E" w:rsidRDefault="00CA2F73" w:rsidP="00726785">
            <w:pPr>
              <w:spacing w:before="27" w:after="27"/>
              <w:jc w:val="center"/>
              <w:rPr>
                <w:rFonts w:eastAsia="Times New Roman" w:cs="Times New Roman"/>
                <w:b/>
                <w:lang w:eastAsia="cs-CZ"/>
              </w:rPr>
            </w:pPr>
            <w:r w:rsidRPr="009A082E">
              <w:rPr>
                <w:rFonts w:eastAsia="Times New Roman" w:cs="Times New Roman"/>
                <w:b/>
                <w:lang w:eastAsia="cs-CZ"/>
              </w:rPr>
              <w:t>Celkem</w:t>
            </w:r>
          </w:p>
        </w:tc>
      </w:tr>
      <w:tr w:rsidR="00CA2F73" w:rsidRPr="009A082E" w14:paraId="7F5473DC" w14:textId="77777777" w:rsidTr="00726785">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3B873805" w14:textId="77777777" w:rsidR="00CA2F73" w:rsidRPr="009A082E" w:rsidRDefault="00CA2F73" w:rsidP="00726785">
            <w:pPr>
              <w:spacing w:before="27" w:after="27"/>
              <w:rPr>
                <w:rFonts w:eastAsia="Times New Roman" w:cs="Times New Roman"/>
                <w:lang w:eastAsia="cs-CZ"/>
              </w:rPr>
            </w:pPr>
            <w:r w:rsidRPr="009A082E">
              <w:rPr>
                <w:rFonts w:eastAsia="Times New Roman" w:cs="Times New Roman"/>
                <w:lang w:eastAsia="cs-CZ"/>
              </w:rPr>
              <w:t>Operační program Podnikání a inovace pro konkurenceschopnost</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D7CEBBC" w14:textId="77777777" w:rsidR="00CA2F73" w:rsidRPr="009A082E" w:rsidRDefault="00CA2F73" w:rsidP="00726785">
            <w:pPr>
              <w:spacing w:before="27" w:after="27"/>
              <w:jc w:val="right"/>
              <w:rPr>
                <w:rFonts w:eastAsia="Times New Roman" w:cs="Times New Roman"/>
                <w:lang w:eastAsia="cs-CZ"/>
              </w:rPr>
            </w:pPr>
            <w:r w:rsidRPr="009A082E">
              <w:rPr>
                <w:rFonts w:eastAsia="Times New Roman" w:cs="Times New Roman"/>
                <w:lang w:eastAsia="cs-CZ"/>
              </w:rPr>
              <w:t>292 721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C6C75EB" w14:textId="77777777" w:rsidR="00CA2F73" w:rsidRPr="009A082E" w:rsidRDefault="00CA2F73" w:rsidP="00726785">
            <w:pPr>
              <w:spacing w:before="27" w:after="27"/>
              <w:jc w:val="right"/>
              <w:rPr>
                <w:rFonts w:eastAsia="Times New Roman" w:cs="Times New Roman"/>
                <w:lang w:eastAsia="cs-CZ"/>
              </w:rPr>
            </w:pPr>
            <w:r w:rsidRPr="009A082E">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77F4A46A" w14:textId="77777777" w:rsidR="00CA2F73" w:rsidRPr="009A082E" w:rsidRDefault="00CA2F73" w:rsidP="00726785">
            <w:pPr>
              <w:spacing w:before="27" w:after="27"/>
              <w:jc w:val="right"/>
              <w:rPr>
                <w:rFonts w:eastAsia="Times New Roman" w:cs="Times New Roman"/>
                <w:b/>
                <w:lang w:eastAsia="cs-CZ"/>
              </w:rPr>
            </w:pPr>
            <w:r w:rsidRPr="009A082E">
              <w:rPr>
                <w:rFonts w:eastAsia="Times New Roman" w:cs="Times New Roman"/>
                <w:b/>
                <w:lang w:eastAsia="cs-CZ"/>
              </w:rPr>
              <w:t>292 721</w:t>
            </w:r>
          </w:p>
        </w:tc>
      </w:tr>
      <w:tr w:rsidR="00CA2F73" w:rsidRPr="009A082E" w14:paraId="762EBC9F" w14:textId="77777777" w:rsidTr="00726785">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65EDBAC7" w14:textId="77777777" w:rsidR="00CA2F73" w:rsidRPr="009A082E" w:rsidRDefault="00CA2F73" w:rsidP="00726785">
            <w:pPr>
              <w:spacing w:before="27" w:after="27"/>
              <w:rPr>
                <w:rFonts w:eastAsia="Times New Roman" w:cs="Times New Roman"/>
                <w:i/>
                <w:lang w:eastAsia="cs-CZ"/>
              </w:rPr>
            </w:pPr>
            <w:r w:rsidRPr="009A082E">
              <w:rPr>
                <w:rFonts w:eastAsia="Times New Roman" w:cs="Times New Roman"/>
                <w:i/>
                <w:lang w:eastAsia="cs-CZ"/>
              </w:rPr>
              <w:t xml:space="preserve">           v tom: program 127 06</w:t>
            </w:r>
            <w:r w:rsidRPr="009A082E">
              <w:rPr>
                <w:rFonts w:eastAsia="Times New Roman" w:cs="Times New Roman"/>
                <w:i/>
                <w:vertAlign w:val="superscript"/>
                <w:lang w:eastAsia="cs-CZ"/>
              </w:rPr>
              <w:footnoteReference w:id="2"/>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6C2347DF" w14:textId="77777777" w:rsidR="00CA2F73" w:rsidRPr="009A082E" w:rsidRDefault="00CA2F73" w:rsidP="00726785">
            <w:pPr>
              <w:spacing w:before="27" w:after="27"/>
              <w:jc w:val="right"/>
              <w:rPr>
                <w:rFonts w:eastAsia="Times New Roman" w:cs="Times New Roman"/>
                <w:lang w:eastAsia="cs-CZ"/>
              </w:rPr>
            </w:pPr>
            <w:r w:rsidRPr="009A082E">
              <w:rPr>
                <w:rFonts w:eastAsia="Times New Roman" w:cs="Times New Roman"/>
                <w:lang w:eastAsia="cs-CZ"/>
              </w:rPr>
              <w:t>292 721</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0891F37" w14:textId="77777777" w:rsidR="00CA2F73" w:rsidRPr="009A082E" w:rsidRDefault="00CA2F73" w:rsidP="00726785">
            <w:pPr>
              <w:spacing w:before="27" w:after="27"/>
              <w:jc w:val="right"/>
              <w:rPr>
                <w:rFonts w:eastAsia="Times New Roman" w:cs="Times New Roman"/>
                <w:lang w:eastAsia="cs-CZ"/>
              </w:rPr>
            </w:pPr>
            <w:r w:rsidRPr="009A082E">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477F355B" w14:textId="77777777" w:rsidR="00CA2F73" w:rsidRPr="009A082E" w:rsidRDefault="00CA2F73" w:rsidP="00726785">
            <w:pPr>
              <w:spacing w:before="27" w:after="27"/>
              <w:jc w:val="right"/>
              <w:rPr>
                <w:rFonts w:eastAsia="Times New Roman" w:cs="Times New Roman"/>
                <w:b/>
                <w:lang w:eastAsia="cs-CZ"/>
              </w:rPr>
            </w:pPr>
            <w:r w:rsidRPr="009A082E">
              <w:rPr>
                <w:rFonts w:eastAsia="Times New Roman" w:cs="Times New Roman"/>
                <w:b/>
                <w:lang w:eastAsia="cs-CZ"/>
              </w:rPr>
              <w:t>292 721</w:t>
            </w:r>
          </w:p>
        </w:tc>
      </w:tr>
    </w:tbl>
    <w:p w14:paraId="7A07146C" w14:textId="77777777" w:rsidR="00CA2F73" w:rsidRPr="00A426B0" w:rsidRDefault="00CA2F73" w:rsidP="00CA2F73">
      <w:pPr>
        <w:pStyle w:val="Nadpis3"/>
      </w:pPr>
      <w:bookmarkStart w:id="279" w:name="_Toc115788000"/>
      <w:r w:rsidRPr="00A426B0">
        <w:t>Operační program Doprava 2021 – 2027</w:t>
      </w:r>
      <w:bookmarkEnd w:id="279"/>
    </w:p>
    <w:p w14:paraId="7CA76C64" w14:textId="77777777" w:rsidR="00CA2F73" w:rsidRPr="00A426B0" w:rsidRDefault="00CA2F73" w:rsidP="00CA2F73">
      <w:pPr>
        <w:pStyle w:val="Styl1"/>
      </w:pPr>
      <w:r w:rsidRPr="00A426B0">
        <w:t>Operační program Doprava 2021-2027 (OPD 3) navazuje na Operační program Doprava 2014-2020 (OPD 2), jehož základní principy, ověřené postupy a implementační mechanismy přebírá, případně dále zlepšuje. Hlavním cílem podporovaných intervencí je přispět k zvýšení konkurenceschopnosti ČR prostřednictvím zlepšení dopravní dostupnosti. Doprava a dopravní obslužnost stále patří mezi nejvýznamnější problémové oblasti v ČR, kterým je potřeba věnovat pozornost.</w:t>
      </w:r>
    </w:p>
    <w:p w14:paraId="3DF62D97" w14:textId="77777777" w:rsidR="00CA2F73" w:rsidRPr="00A426B0" w:rsidRDefault="00CA2F73" w:rsidP="00CA2F73">
      <w:pPr>
        <w:pStyle w:val="Styl1"/>
      </w:pPr>
      <w:r w:rsidRPr="00A426B0">
        <w:t>Ministerstvo dopravy bylo na základě usnesení vlády č. 94 ze 4. února 2019 určeno subjektem zodpovědným za přípravu OPD 3 a na základě spolupráce s partnery z řad státní správy, samosprávy, nestátních neziskových organizací, sociálních a dalších partnerů připravuje intervence, které vycházejí ze všech relevantních strategických dokumentů na úrovni národní i evropské.</w:t>
      </w:r>
    </w:p>
    <w:p w14:paraId="283FDE09" w14:textId="77777777" w:rsidR="00CA2F73" w:rsidRPr="00A426B0" w:rsidRDefault="00CA2F73" w:rsidP="00CA2F73">
      <w:pPr>
        <w:pStyle w:val="Styl1"/>
      </w:pPr>
      <w:r w:rsidRPr="00A426B0">
        <w:t xml:space="preserve">Celková alokace OPD 3 činí přibližně 4,86 mld. EUR (příspěvek EU včetně tzv. částky </w:t>
      </w:r>
      <w:r w:rsidRPr="00A426B0">
        <w:br/>
        <w:t>na flexibilitu), což z něj činí největší operační program v ČR.</w:t>
      </w:r>
    </w:p>
    <w:p w14:paraId="3535D37D" w14:textId="77777777" w:rsidR="00CA2F73" w:rsidRPr="00A426B0" w:rsidRDefault="00CA2F73" w:rsidP="00CA2F73">
      <w:pPr>
        <w:pStyle w:val="Styl1"/>
      </w:pPr>
      <w:r w:rsidRPr="00A426B0">
        <w:t xml:space="preserve">OPD 3 je členěn do třech věcných priorit (doplněných o čtvrtou prioritu zaměřenou </w:t>
      </w:r>
      <w:r w:rsidRPr="00A426B0">
        <w:br/>
        <w:t>na technickou pomoc). První priorita obsahuje zejména </w:t>
      </w:r>
      <w:r w:rsidRPr="00A426B0">
        <w:rPr>
          <w:b/>
          <w:bCs/>
        </w:rPr>
        <w:t>intervence na železnici a na silniční síti TEN-T</w:t>
      </w:r>
      <w:r w:rsidRPr="00A426B0">
        <w:t> doplněné intervencemi v oblasti interoperability či inteligentních dopravních systémů (ITS). Druhá priorita poté cílí na </w:t>
      </w:r>
      <w:r w:rsidRPr="00A426B0">
        <w:rPr>
          <w:b/>
          <w:bCs/>
        </w:rPr>
        <w:t>silniční projekty mimo síť TEN-T</w:t>
      </w:r>
      <w:r w:rsidRPr="00A426B0">
        <w:t> a třetí priorita na </w:t>
      </w:r>
      <w:r w:rsidRPr="00A426B0">
        <w:rPr>
          <w:b/>
          <w:bCs/>
        </w:rPr>
        <w:t>projekty v oblasti městské dopravy</w:t>
      </w:r>
      <w:r w:rsidRPr="00A426B0">
        <w:t> (tramvajové a trolejbusové tratě) </w:t>
      </w:r>
      <w:r w:rsidRPr="00A426B0">
        <w:rPr>
          <w:b/>
          <w:bCs/>
        </w:rPr>
        <w:t>a infrastruktury alternativních paliv</w:t>
      </w:r>
      <w:r w:rsidRPr="00A426B0">
        <w:t xml:space="preserve">. </w:t>
      </w:r>
    </w:p>
    <w:p w14:paraId="6CFF428A" w14:textId="77777777" w:rsidR="00CA2F73" w:rsidRPr="00A426B0" w:rsidRDefault="00CA2F73" w:rsidP="00CA2F73">
      <w:pPr>
        <w:pStyle w:val="Styl1"/>
      </w:pPr>
      <w:r w:rsidRPr="00A426B0">
        <w:t xml:space="preserve">První dvě priority budou financovány v rámci cíle politiky 3 (Propojenější Evropa díky zvyšování mobility a regionálního propojení IKT), zatímco třetí priorita bude financována v rámci cíle politiky 2 (Zelenější, nízkouhlíková Evropa díky podpoře přechodu na čistou a spravedlivou energii, zelených a modrých investic, oběhového hospodářství, přizpůsobení </w:t>
      </w:r>
      <w:r w:rsidRPr="00A426B0">
        <w:br/>
        <w:t xml:space="preserve">se změnám klimatu a prevence řízení rizik). </w:t>
      </w:r>
    </w:p>
    <w:p w14:paraId="17A8AA10" w14:textId="77777777" w:rsidR="00CA2F73" w:rsidRPr="00A426B0" w:rsidRDefault="00CA2F73" w:rsidP="00CA2F73">
      <w:pPr>
        <w:pStyle w:val="Styl1"/>
      </w:pPr>
      <w:r w:rsidRPr="00A426B0">
        <w:t>OPD 3 bude financován z Fondu soudržnosti s výjimkou druhé priority, která musí být financována Evropským fondem pro regionální rozvoj.</w:t>
      </w:r>
    </w:p>
    <w:p w14:paraId="3C90DA17" w14:textId="77777777" w:rsidR="00CA2F73" w:rsidRPr="00A426B0" w:rsidRDefault="00CA2F73" w:rsidP="00CA2F73">
      <w:pPr>
        <w:spacing w:line="276" w:lineRule="auto"/>
        <w:rPr>
          <w:rFonts w:cs="Times New Roman"/>
          <w:b/>
          <w:i/>
          <w:szCs w:val="24"/>
        </w:rPr>
      </w:pPr>
      <w:r w:rsidRPr="00A426B0">
        <w:rPr>
          <w:rFonts w:cs="Times New Roman"/>
          <w:b/>
          <w:i/>
          <w:szCs w:val="24"/>
        </w:rPr>
        <w:t>Priorita 1 – Evropská, celostátní a regionální mobilita</w:t>
      </w:r>
    </w:p>
    <w:p w14:paraId="1C0B79A0" w14:textId="77777777" w:rsidR="00CA2F73" w:rsidRPr="00A426B0" w:rsidRDefault="00CA2F73" w:rsidP="00CA2F73">
      <w:pPr>
        <w:autoSpaceDE w:val="0"/>
        <w:autoSpaceDN w:val="0"/>
        <w:adjustRightInd w:val="0"/>
        <w:spacing w:before="240" w:after="240" w:line="276" w:lineRule="auto"/>
        <w:rPr>
          <w:rFonts w:cs="Times New Roman"/>
          <w:i/>
          <w:szCs w:val="24"/>
        </w:rPr>
      </w:pPr>
      <w:r w:rsidRPr="00A426B0">
        <w:rPr>
          <w:rFonts w:cs="Times New Roman"/>
          <w:i/>
          <w:szCs w:val="24"/>
        </w:rPr>
        <w:t xml:space="preserve">Těžištěm rozvoje železniční a silniční sítě TEN-T bude nadále budování chybějící infrastruktury dálnic a modernizace hlavních železničních tratí. Podpora však bude směřována také </w:t>
      </w:r>
      <w:r w:rsidRPr="00A426B0">
        <w:rPr>
          <w:rFonts w:cs="Times New Roman"/>
          <w:i/>
          <w:szCs w:val="24"/>
        </w:rPr>
        <w:br/>
        <w:t>na zavádění nových technologií k zajištění efektivnější, bezpečnější a udržitelnější dopravy (vč. digitalizace infrastruktury).</w:t>
      </w:r>
    </w:p>
    <w:p w14:paraId="7F45BDB9"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Opatření č. 1 – Železniční infrastruktura TEN-T – projekty zaměřené na modernizaci </w:t>
      </w:r>
      <w:r w:rsidRPr="00A426B0">
        <w:rPr>
          <w:rFonts w:cs="Times New Roman"/>
          <w:i/>
          <w:szCs w:val="24"/>
        </w:rPr>
        <w:br/>
        <w:t xml:space="preserve">a rekonstrukci železniční infrastruktury na hlavní i globální síti TEN-T: modernizace nebo rekonstrukce železničních stanic a zastávek, elektrizace tratí a modernizace trakční soustavy, včetně konverze na střídavou trakční soustavu 25 </w:t>
      </w:r>
      <w:proofErr w:type="spellStart"/>
      <w:r w:rsidRPr="00A426B0">
        <w:rPr>
          <w:rFonts w:cs="Times New Roman"/>
          <w:i/>
          <w:szCs w:val="24"/>
        </w:rPr>
        <w:t>kV</w:t>
      </w:r>
      <w:proofErr w:type="spellEnd"/>
      <w:r w:rsidRPr="00A426B0">
        <w:rPr>
          <w:rFonts w:cs="Times New Roman"/>
          <w:i/>
          <w:szCs w:val="24"/>
        </w:rPr>
        <w:t>/50 Hz, zavádění nových technologií pro řízení železničního provozu a zajišťování jeho bezpečnosti, včetně ERTMS, aj.</w:t>
      </w:r>
    </w:p>
    <w:p w14:paraId="318C50CD" w14:textId="77777777" w:rsidR="00CA2F73" w:rsidRPr="00A426B0" w:rsidRDefault="00CA2F73" w:rsidP="00CA2F73">
      <w:pPr>
        <w:spacing w:before="240" w:after="240" w:line="276" w:lineRule="auto"/>
        <w:rPr>
          <w:rFonts w:cs="Times New Roman"/>
          <w:i/>
          <w:szCs w:val="24"/>
        </w:rPr>
      </w:pPr>
      <w:r w:rsidRPr="00A426B0">
        <w:rPr>
          <w:rFonts w:cs="Times New Roman"/>
          <w:i/>
          <w:szCs w:val="24"/>
        </w:rPr>
        <w:t>Opatření č. 2 – Silniční infrastruktura TEN-T – projekty zaměřené zejména na dobudování páteřní silniční sítě, která je součástí TEN-T, a rozvoj inteligentních dopravních systémů (ITS) a digitalizace silniční infrastruktury.</w:t>
      </w:r>
    </w:p>
    <w:p w14:paraId="6F04A635" w14:textId="77777777" w:rsidR="00CA2F73" w:rsidRPr="00A426B0" w:rsidRDefault="00CA2F73" w:rsidP="00CA2F73">
      <w:pPr>
        <w:spacing w:before="240" w:after="240" w:line="276" w:lineRule="auto"/>
        <w:rPr>
          <w:rFonts w:cs="Times New Roman"/>
          <w:i/>
          <w:szCs w:val="24"/>
        </w:rPr>
      </w:pPr>
      <w:r w:rsidRPr="00A426B0">
        <w:rPr>
          <w:rFonts w:cs="Times New Roman"/>
          <w:i/>
          <w:szCs w:val="24"/>
        </w:rPr>
        <w:t>Opatření č. 3 – Infrastruktura pro multimodální dopravu TEN-T – projekty zaměřené na plné zprovoznění multimodální hlavní sítě TEN-T do roku 2030.</w:t>
      </w:r>
    </w:p>
    <w:p w14:paraId="20692203"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Opatření č. 4 – Interoperabilita v železniční dopravě – projekty zaměřené na rozvoj interoperability, tj. schopnosti umožnit bezpečný a nepřerušený pohyb drážního vozidla </w:t>
      </w:r>
      <w:r w:rsidRPr="00A426B0">
        <w:rPr>
          <w:rFonts w:cs="Times New Roman"/>
          <w:i/>
          <w:szCs w:val="24"/>
        </w:rPr>
        <w:br/>
        <w:t>na dráhách evropského železničního systému dané jednotlivými technickými specifikacemi interoperability (TSI).</w:t>
      </w:r>
    </w:p>
    <w:p w14:paraId="7C4A9026"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Opatření č. 5 – Železniční infrastruktura mimo TEN-T – projekty zajišťující zlepšení kvality železniční infrastruktury ohledně plynulosti, kapacity, bezpečnosti a lepší návaznosti dopravy z regionálních tratí. </w:t>
      </w:r>
    </w:p>
    <w:p w14:paraId="5388F172"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Opatření č. 6 – ITS - dopravní telematika – rozvoj systémů a služeb ITS, infrastruktur prostorových dat, sítí a služeb elektronických komunikací pro poskytování informací </w:t>
      </w:r>
      <w:r w:rsidRPr="00A426B0">
        <w:rPr>
          <w:rFonts w:cs="Times New Roman"/>
          <w:i/>
          <w:szCs w:val="24"/>
        </w:rPr>
        <w:br/>
        <w:t xml:space="preserve">o dopravním provozu a pro dynamické řízení dopravy, implementace dopravních detektorů, kamerových systémů pro ITS systémy a prostorových dat, včetně řešení přenosu dat, aj. </w:t>
      </w:r>
    </w:p>
    <w:p w14:paraId="47A39521" w14:textId="77777777" w:rsidR="00CA2F73" w:rsidRPr="00A426B0" w:rsidRDefault="00CA2F73" w:rsidP="00CA2F73">
      <w:pPr>
        <w:spacing w:line="276" w:lineRule="auto"/>
        <w:rPr>
          <w:rFonts w:cs="Times New Roman"/>
          <w:b/>
          <w:i/>
          <w:szCs w:val="24"/>
        </w:rPr>
      </w:pPr>
      <w:r w:rsidRPr="00A426B0">
        <w:rPr>
          <w:rFonts w:cs="Times New Roman"/>
          <w:b/>
          <w:i/>
          <w:szCs w:val="24"/>
        </w:rPr>
        <w:t>Priorita 2 – Celostátní silniční mobilita zajišťující konektivitu k síti TEN-T</w:t>
      </w:r>
    </w:p>
    <w:p w14:paraId="699CF059" w14:textId="77777777" w:rsidR="00CA2F73" w:rsidRPr="00A426B0" w:rsidRDefault="00CA2F73" w:rsidP="00CA2F73">
      <w:pPr>
        <w:spacing w:before="240" w:after="240" w:line="276" w:lineRule="auto"/>
        <w:rPr>
          <w:rFonts w:cs="Times New Roman"/>
          <w:b/>
          <w:i/>
          <w:szCs w:val="24"/>
        </w:rPr>
      </w:pPr>
      <w:r w:rsidRPr="00A426B0">
        <w:rPr>
          <w:rFonts w:cs="Times New Roman"/>
          <w:i/>
          <w:szCs w:val="24"/>
        </w:rPr>
        <w:t xml:space="preserve">Intervence jsou zaměřeny na napojování krajských a významných regionálních center na páteřní silniční síť. Projekty budou zahrnovat výstavbu a modernizaci dálnic a silnic I. třídy mimo síť TEN-T, tzn. silnic a dálnic celostátního významu ve vlastnictví státu. </w:t>
      </w:r>
    </w:p>
    <w:p w14:paraId="44BD6C9C"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Opatření č. 7 – Silniční infrastruktura (mimo TEN-T) – zaměření na napojování krajských </w:t>
      </w:r>
      <w:r w:rsidRPr="00A426B0">
        <w:rPr>
          <w:rFonts w:cs="Times New Roman"/>
          <w:i/>
          <w:szCs w:val="24"/>
        </w:rPr>
        <w:br/>
        <w:t xml:space="preserve">a významných regionálních center na páteřní silniční síť. Projekty budou zahrnovat výstavbu </w:t>
      </w:r>
      <w:r w:rsidRPr="00A426B0">
        <w:rPr>
          <w:rFonts w:cs="Times New Roman"/>
          <w:i/>
          <w:szCs w:val="24"/>
        </w:rPr>
        <w:br/>
        <w:t>a modernizaci dálnic a silnic I. třídy mimo síť TEN-T, tzn. silnic a dálnic celostátního významu ve vlastnictví státu, a budou také zaměřeny na vhodná opatření vedoucí ke stabilitě ekosystémů a zmírňování dopadů na životní prostředí (včetně potřebného monitoringu), např. budováním propustků zajišťující dostatečnou migrační propustnost nových dopravních staveb.</w:t>
      </w:r>
    </w:p>
    <w:p w14:paraId="31FC7430" w14:textId="77777777" w:rsidR="00CA2F73" w:rsidRPr="00A426B0" w:rsidRDefault="00CA2F73" w:rsidP="00CA2F73">
      <w:pPr>
        <w:spacing w:line="276" w:lineRule="auto"/>
        <w:rPr>
          <w:rFonts w:cs="Times New Roman"/>
          <w:b/>
          <w:i/>
          <w:szCs w:val="24"/>
        </w:rPr>
      </w:pPr>
      <w:r w:rsidRPr="00A426B0">
        <w:rPr>
          <w:rFonts w:cs="Times New Roman"/>
          <w:b/>
          <w:i/>
          <w:szCs w:val="24"/>
        </w:rPr>
        <w:t>Priorita 3 – Udržitelná městská mobilita (a alternativní paliva)</w:t>
      </w:r>
    </w:p>
    <w:p w14:paraId="3D023545"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Plánované intervence v oblasti </w:t>
      </w:r>
      <w:proofErr w:type="spellStart"/>
      <w:r w:rsidRPr="00A426B0">
        <w:rPr>
          <w:rFonts w:cs="Times New Roman"/>
          <w:i/>
          <w:szCs w:val="24"/>
        </w:rPr>
        <w:t>nízkoemisní</w:t>
      </w:r>
      <w:proofErr w:type="spellEnd"/>
      <w:r w:rsidRPr="00A426B0">
        <w:rPr>
          <w:rFonts w:cs="Times New Roman"/>
          <w:i/>
          <w:szCs w:val="24"/>
        </w:rPr>
        <w:t xml:space="preserve"> a bezemisní mobility v městských oblastech jsou zaměřeny především na rozvoj infrastruktury pro </w:t>
      </w:r>
      <w:proofErr w:type="spellStart"/>
      <w:r w:rsidRPr="00A426B0">
        <w:rPr>
          <w:rFonts w:cs="Times New Roman"/>
          <w:i/>
          <w:szCs w:val="24"/>
        </w:rPr>
        <w:t>elektromobilitu</w:t>
      </w:r>
      <w:proofErr w:type="spellEnd"/>
      <w:r w:rsidRPr="00A426B0">
        <w:rPr>
          <w:rFonts w:cs="Times New Roman"/>
          <w:i/>
          <w:szCs w:val="24"/>
        </w:rPr>
        <w:t xml:space="preserve"> a jiná alternativní paliva (vodík, LNG) a to zejména na infrastrukturu veřejně přístupných dobíjecích a plnících stanic. </w:t>
      </w:r>
    </w:p>
    <w:p w14:paraId="18C27E1F" w14:textId="77777777" w:rsidR="00CA2F73" w:rsidRPr="00A426B0" w:rsidRDefault="00CA2F73" w:rsidP="00CA2F73">
      <w:pPr>
        <w:spacing w:before="240" w:after="240" w:line="276" w:lineRule="auto"/>
        <w:rPr>
          <w:rFonts w:cs="Times New Roman"/>
          <w:i/>
          <w:szCs w:val="24"/>
        </w:rPr>
      </w:pPr>
      <w:r w:rsidRPr="00A426B0">
        <w:rPr>
          <w:rFonts w:cs="Times New Roman"/>
          <w:i/>
          <w:szCs w:val="24"/>
        </w:rPr>
        <w:t>Intervence v oblasti rozvoje městské a příměstské železniční dopravy jsou zaměřeny na posílení postavení železnice jakožto páteřní části udržitelného dopravního systému v daném městě (resp. v dané aglomeraci/metropolitní oblasti). Jedná se zejména o modernizace stávajících tratí (zvýšení kapacity nebo rychlosti, příp. elektrifikace), v některých městech (resp. aglomeracích/metropolitních oblastech) může být podpořena rovněž výstavba nových tratí.</w:t>
      </w:r>
    </w:p>
    <w:p w14:paraId="786D2DDF" w14:textId="77777777" w:rsidR="00CA2F73" w:rsidRPr="00A426B0" w:rsidRDefault="00CA2F73" w:rsidP="00CA2F73">
      <w:pPr>
        <w:spacing w:before="240" w:after="240" w:line="276" w:lineRule="auto"/>
        <w:rPr>
          <w:rFonts w:cs="Times New Roman"/>
          <w:i/>
          <w:szCs w:val="24"/>
        </w:rPr>
      </w:pPr>
      <w:r w:rsidRPr="00A426B0">
        <w:rPr>
          <w:rFonts w:cs="Times New Roman"/>
          <w:i/>
          <w:szCs w:val="24"/>
        </w:rPr>
        <w:t>Předmětem rozvoje tratí MHD je převedení nejzatíženějších autobusových linek do elektrické trakce a dokončení dlouhodobě připravovaných tratí do lokalit s vysokou hustotou osídlení.</w:t>
      </w:r>
    </w:p>
    <w:p w14:paraId="0F85B036"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Bude podpořena jak výstavba nových tramvajových a trolejbusových tratí (v hl. městě Praze </w:t>
      </w:r>
      <w:r w:rsidRPr="00A426B0">
        <w:rPr>
          <w:rFonts w:cs="Times New Roman"/>
          <w:i/>
          <w:szCs w:val="24"/>
        </w:rPr>
        <w:br/>
        <w:t>i metra), tak modernizace a rekonstrukce tratí stávajících. Podporováno bude rovněž technické zázemí městské drážní dopravy, tedy vozovny a měnírny. Všechny intervence budou směřovat k zvýšení využívání veřejné hromadné dopravy v elektrické trakci na úkor individuální automobilové dopravy.</w:t>
      </w:r>
    </w:p>
    <w:p w14:paraId="16C5C62F" w14:textId="77777777" w:rsidR="00CA2F73" w:rsidRPr="00A426B0" w:rsidRDefault="00CA2F73" w:rsidP="00CA2F73">
      <w:pPr>
        <w:spacing w:before="240" w:after="240" w:line="276" w:lineRule="auto"/>
        <w:rPr>
          <w:rFonts w:cs="Times New Roman"/>
          <w:i/>
          <w:szCs w:val="24"/>
        </w:rPr>
      </w:pPr>
      <w:r w:rsidRPr="00A426B0">
        <w:rPr>
          <w:rFonts w:cs="Times New Roman"/>
          <w:i/>
          <w:szCs w:val="24"/>
        </w:rPr>
        <w:t>Opatření č. 8 – Infrastruktura městské drážní dopravy – podporuje jak výstavbu nových tramvajových a trolejbusových tratí (v hl. městě Praze i metra), tak modernizaci a rekonstrukci tratí stávajících. Podporováno je rovněž technické zázemí městské drážní dopravy, tedy vozovny a měnírny.</w:t>
      </w:r>
    </w:p>
    <w:p w14:paraId="3C50C640" w14:textId="77777777" w:rsidR="00CA2F73" w:rsidRPr="00A426B0" w:rsidRDefault="00CA2F73" w:rsidP="00CA2F73">
      <w:pPr>
        <w:spacing w:before="240" w:after="240" w:line="276" w:lineRule="auto"/>
        <w:rPr>
          <w:rFonts w:cs="Times New Roman"/>
          <w:i/>
          <w:szCs w:val="24"/>
        </w:rPr>
      </w:pPr>
      <w:r w:rsidRPr="00A426B0">
        <w:rPr>
          <w:rFonts w:cs="Times New Roman"/>
          <w:i/>
          <w:szCs w:val="24"/>
        </w:rPr>
        <w:t xml:space="preserve">Opatření č. 9 – Infrastruktura pro alternativní paliva – intervence v oblasti čisté mobility budou zaměřeny především na rozvoj infrastruktury pro </w:t>
      </w:r>
      <w:proofErr w:type="spellStart"/>
      <w:r w:rsidRPr="00A426B0">
        <w:rPr>
          <w:rFonts w:cs="Times New Roman"/>
          <w:i/>
          <w:szCs w:val="24"/>
        </w:rPr>
        <w:t>elektromobilitu</w:t>
      </w:r>
      <w:proofErr w:type="spellEnd"/>
      <w:r w:rsidRPr="00A426B0">
        <w:rPr>
          <w:rFonts w:cs="Times New Roman"/>
          <w:i/>
          <w:szCs w:val="24"/>
        </w:rPr>
        <w:t xml:space="preserve"> a jiná alternativní paliva (vodík, LNG, </w:t>
      </w:r>
      <w:proofErr w:type="spellStart"/>
      <w:r w:rsidRPr="00A426B0">
        <w:rPr>
          <w:rFonts w:cs="Times New Roman"/>
          <w:i/>
          <w:szCs w:val="24"/>
        </w:rPr>
        <w:t>biometan</w:t>
      </w:r>
      <w:proofErr w:type="spellEnd"/>
      <w:r w:rsidRPr="00A426B0">
        <w:rPr>
          <w:rFonts w:cs="Times New Roman"/>
          <w:i/>
          <w:szCs w:val="24"/>
        </w:rPr>
        <w:t>/</w:t>
      </w:r>
      <w:proofErr w:type="spellStart"/>
      <w:r w:rsidRPr="00A426B0">
        <w:rPr>
          <w:rFonts w:cs="Times New Roman"/>
          <w:i/>
          <w:szCs w:val="24"/>
        </w:rPr>
        <w:t>bioCNG</w:t>
      </w:r>
      <w:proofErr w:type="spellEnd"/>
      <w:r w:rsidRPr="00A426B0">
        <w:rPr>
          <w:rFonts w:cs="Times New Roman"/>
          <w:i/>
          <w:szCs w:val="24"/>
        </w:rPr>
        <w:t>) a to zejména na infrastrukturu veřejně přístupných dobíjecích a plnících stanic.</w:t>
      </w:r>
    </w:p>
    <w:p w14:paraId="01D2628A" w14:textId="77777777" w:rsidR="00CA2F73" w:rsidRPr="00A426B0" w:rsidRDefault="00CA2F73" w:rsidP="00CA2F73">
      <w:pPr>
        <w:spacing w:before="240" w:after="240" w:line="276" w:lineRule="auto"/>
        <w:rPr>
          <w:rFonts w:cs="Times New Roman"/>
          <w:i/>
          <w:szCs w:val="24"/>
        </w:rPr>
      </w:pPr>
      <w:r w:rsidRPr="00A426B0">
        <w:rPr>
          <w:rFonts w:cs="Times New Roman"/>
          <w:i/>
          <w:szCs w:val="24"/>
        </w:rPr>
        <w:t>Opatření č. 10 – Příměstská železniční infrastruktura – Cílovým územím jsou nejvýznamnější města (resp. aglomerace/metropolitní oblasti) v ČR, tedy města se systémy drážní dopravy v elektrické trakci.</w:t>
      </w:r>
    </w:p>
    <w:p w14:paraId="7F1B0113" w14:textId="77777777" w:rsidR="00CA2F73" w:rsidRPr="00A426B0" w:rsidRDefault="00CA2F73" w:rsidP="00CA2F73">
      <w:pPr>
        <w:spacing w:line="276" w:lineRule="auto"/>
        <w:rPr>
          <w:rFonts w:cs="Times New Roman"/>
          <w:b/>
          <w:i/>
          <w:szCs w:val="24"/>
        </w:rPr>
      </w:pPr>
      <w:r w:rsidRPr="00A426B0">
        <w:rPr>
          <w:rFonts w:cs="Times New Roman"/>
          <w:b/>
          <w:i/>
          <w:szCs w:val="24"/>
        </w:rPr>
        <w:t xml:space="preserve">Priorita 4 – Technická pomoc </w:t>
      </w:r>
    </w:p>
    <w:p w14:paraId="4A0537E8" w14:textId="77777777" w:rsidR="00CA2F73" w:rsidRPr="00A426B0" w:rsidRDefault="00CA2F73" w:rsidP="00CA2F73">
      <w:pPr>
        <w:spacing w:line="276" w:lineRule="auto"/>
        <w:rPr>
          <w:rFonts w:cs="Times New Roman"/>
          <w:i/>
          <w:szCs w:val="24"/>
        </w:rPr>
      </w:pPr>
      <w:r w:rsidRPr="00A426B0">
        <w:rPr>
          <w:rFonts w:cs="Times New Roman"/>
          <w:i/>
          <w:szCs w:val="24"/>
        </w:rPr>
        <w:t xml:space="preserve">Je zaměřena na podporu a zajištění implementace OP Doprava. V rámci prioritní osy Technická pomoc může být dle čl. 29 obecného nařízení financována příprava, řízení, monitorování, kontrola, audit, hodnocení, komunikace včetně komunikační činnosti týkající </w:t>
      </w:r>
      <w:r w:rsidRPr="00A426B0">
        <w:rPr>
          <w:rFonts w:cs="Times New Roman"/>
          <w:i/>
          <w:szCs w:val="24"/>
        </w:rPr>
        <w:br/>
        <w:t xml:space="preserve">se politických priorit Unie, viditelnost a veškerá správní a technická pomoc, případně </w:t>
      </w:r>
      <w:r w:rsidRPr="00A426B0">
        <w:rPr>
          <w:rFonts w:cs="Times New Roman"/>
          <w:i/>
          <w:szCs w:val="24"/>
        </w:rPr>
        <w:br/>
        <w:t>i ve spolupráci se třetími zeměmi.</w:t>
      </w:r>
    </w:p>
    <w:p w14:paraId="453E8F61" w14:textId="77777777" w:rsidR="00CA2F73" w:rsidRPr="00A426B0" w:rsidRDefault="00CA2F73" w:rsidP="00CA2F73">
      <w:pPr>
        <w:spacing w:before="240" w:after="80"/>
        <w:rPr>
          <w:rFonts w:eastAsia="Times New Roman" w:cs="Times New Roman"/>
          <w:szCs w:val="24"/>
          <w:u w:val="single"/>
          <w:lang w:eastAsia="cs-CZ"/>
        </w:rPr>
      </w:pPr>
      <w:r w:rsidRPr="00A426B0">
        <w:rPr>
          <w:rFonts w:eastAsia="Times New Roman" w:cs="Times New Roman"/>
          <w:szCs w:val="24"/>
          <w:u w:val="single"/>
          <w:lang w:eastAsia="cs-CZ"/>
        </w:rPr>
        <w:t>Rozdělení prostředků fondů EU a SR pro Operační program Doprava 2021–2027 na rok 2023</w:t>
      </w:r>
    </w:p>
    <w:p w14:paraId="0C0F5CC0" w14:textId="0690D9A1" w:rsidR="00CA2F73" w:rsidRPr="00A426B0" w:rsidRDefault="00CA2F73" w:rsidP="00CA2F73">
      <w:pPr>
        <w:keepNext/>
        <w:spacing w:before="120" w:after="120" w:line="240" w:lineRule="auto"/>
        <w:rPr>
          <w:rFonts w:eastAsia="Times New Roman" w:cs="Times New Roman"/>
          <w:b/>
          <w:bCs/>
          <w:sz w:val="20"/>
          <w:szCs w:val="20"/>
          <w:lang w:eastAsia="cs-CZ"/>
        </w:rPr>
      </w:pPr>
      <w:r w:rsidRPr="00A426B0">
        <w:rPr>
          <w:rFonts w:eastAsia="Times New Roman" w:cs="Times New Roman"/>
          <w:b/>
          <w:bCs/>
          <w:sz w:val="20"/>
          <w:szCs w:val="20"/>
          <w:lang w:eastAsia="cs-CZ"/>
        </w:rPr>
        <w:t xml:space="preserve">Tabulka č. </w:t>
      </w:r>
      <w:r w:rsidRPr="00A426B0">
        <w:rPr>
          <w:rFonts w:eastAsia="Times New Roman" w:cs="Times New Roman"/>
          <w:b/>
          <w:bCs/>
          <w:noProof/>
          <w:sz w:val="20"/>
          <w:szCs w:val="20"/>
          <w:lang w:eastAsia="cs-CZ"/>
        </w:rPr>
        <w:fldChar w:fldCharType="begin"/>
      </w:r>
      <w:r w:rsidRPr="00A426B0">
        <w:rPr>
          <w:rFonts w:eastAsia="Times New Roman" w:cs="Times New Roman"/>
          <w:b/>
          <w:bCs/>
          <w:noProof/>
          <w:sz w:val="20"/>
          <w:szCs w:val="20"/>
          <w:lang w:eastAsia="cs-CZ"/>
        </w:rPr>
        <w:instrText xml:space="preserve"> SEQ Tabulka \* ARABIC </w:instrText>
      </w:r>
      <w:r w:rsidRPr="00A426B0">
        <w:rPr>
          <w:rFonts w:eastAsia="Times New Roman" w:cs="Times New Roman"/>
          <w:b/>
          <w:bCs/>
          <w:noProof/>
          <w:sz w:val="20"/>
          <w:szCs w:val="20"/>
          <w:lang w:eastAsia="cs-CZ"/>
        </w:rPr>
        <w:fldChar w:fldCharType="separate"/>
      </w:r>
      <w:r w:rsidR="00F80947">
        <w:rPr>
          <w:rFonts w:eastAsia="Times New Roman" w:cs="Times New Roman"/>
          <w:b/>
          <w:bCs/>
          <w:noProof/>
          <w:sz w:val="20"/>
          <w:szCs w:val="20"/>
          <w:lang w:eastAsia="cs-CZ"/>
        </w:rPr>
        <w:t>46</w:t>
      </w:r>
      <w:r w:rsidRPr="00A426B0">
        <w:rPr>
          <w:rFonts w:eastAsia="Times New Roman" w:cs="Times New Roman"/>
          <w:b/>
          <w:bCs/>
          <w:noProof/>
          <w:sz w:val="20"/>
          <w:szCs w:val="20"/>
          <w:lang w:eastAsia="cs-CZ"/>
        </w:rPr>
        <w:fldChar w:fldCharType="end"/>
      </w:r>
      <w:r w:rsidR="00C625C2">
        <w:rPr>
          <w:rFonts w:eastAsia="Times New Roman" w:cs="Times New Roman"/>
          <w:b/>
          <w:bCs/>
          <w:noProof/>
          <w:sz w:val="20"/>
          <w:szCs w:val="20"/>
          <w:lang w:eastAsia="cs-CZ"/>
        </w:rPr>
        <w:t>4</w:t>
      </w:r>
      <w:r w:rsidRPr="00A426B0">
        <w:rPr>
          <w:rFonts w:eastAsia="Times New Roman" w:cs="Times New Roman"/>
          <w:b/>
          <w:bCs/>
          <w:noProof/>
          <w:sz w:val="20"/>
          <w:szCs w:val="20"/>
          <w:lang w:eastAsia="cs-CZ"/>
        </w:rPr>
        <w:t xml:space="preserve"> Členění Operačního programu Doprava 2021–2027 (v tis. Kč)</w:t>
      </w:r>
    </w:p>
    <w:tbl>
      <w:tblPr>
        <w:tblW w:w="5006" w:type="pct"/>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1E0" w:firstRow="1" w:lastRow="1" w:firstColumn="1" w:lastColumn="1" w:noHBand="0" w:noVBand="0"/>
      </w:tblPr>
      <w:tblGrid>
        <w:gridCol w:w="5086"/>
        <w:gridCol w:w="1388"/>
        <w:gridCol w:w="1174"/>
        <w:gridCol w:w="1414"/>
      </w:tblGrid>
      <w:tr w:rsidR="00CA2F73" w:rsidRPr="00E8518E" w14:paraId="0BEA9832" w14:textId="77777777" w:rsidTr="00726785">
        <w:trPr>
          <w:trHeight w:val="467"/>
        </w:trPr>
        <w:tc>
          <w:tcPr>
            <w:tcW w:w="280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4465E36D" w14:textId="77777777" w:rsidR="00CA2F73" w:rsidRPr="00A426B0" w:rsidRDefault="00CA2F73" w:rsidP="00726785">
            <w:pPr>
              <w:spacing w:before="81"/>
              <w:rPr>
                <w:rFonts w:eastAsia="Times New Roman" w:cs="Times New Roman"/>
                <w:b/>
                <w:lang w:eastAsia="cs-CZ"/>
              </w:rPr>
            </w:pPr>
            <w:r w:rsidRPr="00A426B0">
              <w:rPr>
                <w:rFonts w:eastAsia="Times New Roman" w:cs="Times New Roman"/>
                <w:b/>
                <w:lang w:eastAsia="cs-CZ"/>
              </w:rPr>
              <w:t xml:space="preserve">Číslo (Fond) a název priority </w:t>
            </w:r>
          </w:p>
        </w:tc>
        <w:tc>
          <w:tcPr>
            <w:tcW w:w="766"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3D2B6D9" w14:textId="77777777" w:rsidR="00CA2F73" w:rsidRPr="00E72CFF" w:rsidRDefault="00CA2F73" w:rsidP="00726785">
            <w:pPr>
              <w:spacing w:before="81"/>
              <w:jc w:val="center"/>
              <w:rPr>
                <w:rFonts w:eastAsia="Times New Roman" w:cs="Times New Roman"/>
                <w:b/>
                <w:lang w:eastAsia="cs-CZ"/>
              </w:rPr>
            </w:pPr>
            <w:r w:rsidRPr="00E72CFF">
              <w:rPr>
                <w:rFonts w:eastAsia="Times New Roman" w:cs="Times New Roman"/>
                <w:b/>
                <w:lang w:eastAsia="cs-CZ"/>
              </w:rPr>
              <w:t>EU</w:t>
            </w:r>
          </w:p>
        </w:tc>
        <w:tc>
          <w:tcPr>
            <w:tcW w:w="64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5BD6C0A" w14:textId="77777777" w:rsidR="00CA2F73" w:rsidRPr="00E72CFF" w:rsidRDefault="00CA2F73" w:rsidP="00726785">
            <w:pPr>
              <w:spacing w:before="81"/>
              <w:jc w:val="center"/>
              <w:rPr>
                <w:rFonts w:eastAsia="Times New Roman" w:cs="Times New Roman"/>
                <w:b/>
                <w:lang w:eastAsia="cs-CZ"/>
              </w:rPr>
            </w:pPr>
            <w:r w:rsidRPr="00E72CFF">
              <w:rPr>
                <w:rFonts w:eastAsia="Times New Roman" w:cs="Times New Roman"/>
                <w:b/>
                <w:lang w:eastAsia="cs-CZ"/>
              </w:rPr>
              <w:t>SR</w:t>
            </w:r>
          </w:p>
        </w:tc>
        <w:tc>
          <w:tcPr>
            <w:tcW w:w="78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tcPr>
          <w:p w14:paraId="1EE680DE" w14:textId="77777777" w:rsidR="00CA2F73" w:rsidRPr="00E72CFF" w:rsidRDefault="00CA2F73" w:rsidP="00726785">
            <w:pPr>
              <w:spacing w:before="81"/>
              <w:jc w:val="center"/>
              <w:rPr>
                <w:rFonts w:eastAsia="Times New Roman" w:cs="Times New Roman"/>
                <w:b/>
                <w:lang w:eastAsia="cs-CZ"/>
              </w:rPr>
            </w:pPr>
            <w:r w:rsidRPr="00E72CFF">
              <w:rPr>
                <w:rFonts w:eastAsia="Times New Roman" w:cs="Times New Roman"/>
                <w:b/>
                <w:lang w:eastAsia="cs-CZ"/>
              </w:rPr>
              <w:t>Celkem</w:t>
            </w:r>
          </w:p>
        </w:tc>
      </w:tr>
      <w:tr w:rsidR="00CA2F73" w:rsidRPr="00E8518E" w14:paraId="665C8696" w14:textId="77777777" w:rsidTr="00726785">
        <w:trPr>
          <w:trHeight w:val="661"/>
        </w:trPr>
        <w:tc>
          <w:tcPr>
            <w:tcW w:w="2806" w:type="pct"/>
            <w:tcBorders>
              <w:top w:val="single" w:sz="4" w:space="0" w:color="7F7F7F" w:themeColor="text1" w:themeTint="80"/>
            </w:tcBorders>
            <w:shd w:val="clear" w:color="auto" w:fill="auto"/>
          </w:tcPr>
          <w:p w14:paraId="41DD7DF2" w14:textId="77777777" w:rsidR="00CA2F73" w:rsidRPr="00A426B0" w:rsidRDefault="00CA2F73" w:rsidP="00726785">
            <w:pPr>
              <w:rPr>
                <w:rFonts w:eastAsia="Times New Roman" w:cs="Times New Roman"/>
                <w:lang w:eastAsia="cs-CZ"/>
              </w:rPr>
            </w:pPr>
            <w:r w:rsidRPr="00A426B0">
              <w:rPr>
                <w:rFonts w:eastAsia="Times New Roman" w:cs="Times New Roman"/>
                <w:b/>
                <w:lang w:eastAsia="cs-CZ"/>
              </w:rPr>
              <w:t xml:space="preserve">1 (CF) – Evropská, celostátní a regionální mobilita (v Kč)  </w:t>
            </w:r>
            <w:r w:rsidRPr="00A426B0">
              <w:rPr>
                <w:rFonts w:eastAsia="Times New Roman" w:cs="Times New Roman"/>
                <w:lang w:eastAsia="cs-CZ"/>
              </w:rPr>
              <w:t>v tom:</w:t>
            </w:r>
          </w:p>
        </w:tc>
        <w:tc>
          <w:tcPr>
            <w:tcW w:w="766" w:type="pct"/>
            <w:tcBorders>
              <w:top w:val="single" w:sz="4" w:space="0" w:color="7F7F7F" w:themeColor="text1" w:themeTint="80"/>
            </w:tcBorders>
            <w:shd w:val="clear" w:color="auto" w:fill="auto"/>
          </w:tcPr>
          <w:p w14:paraId="69358733" w14:textId="77777777" w:rsidR="00CA2F73" w:rsidRPr="00E72CFF" w:rsidRDefault="00CA2F73" w:rsidP="00726785">
            <w:pPr>
              <w:spacing w:before="81"/>
              <w:jc w:val="right"/>
              <w:rPr>
                <w:rFonts w:eastAsia="Times New Roman" w:cs="Times New Roman"/>
                <w:b/>
                <w:lang w:eastAsia="cs-CZ"/>
              </w:rPr>
            </w:pPr>
            <w:r w:rsidRPr="00E72CFF">
              <w:rPr>
                <w:rFonts w:eastAsia="Times New Roman" w:cs="Times New Roman"/>
                <w:b/>
                <w:lang w:eastAsia="cs-CZ"/>
              </w:rPr>
              <w:t>13 661 370</w:t>
            </w:r>
          </w:p>
        </w:tc>
        <w:tc>
          <w:tcPr>
            <w:tcW w:w="648" w:type="pct"/>
            <w:tcBorders>
              <w:top w:val="single" w:sz="4" w:space="0" w:color="7F7F7F" w:themeColor="text1" w:themeTint="80"/>
            </w:tcBorders>
            <w:shd w:val="clear" w:color="auto" w:fill="auto"/>
          </w:tcPr>
          <w:p w14:paraId="4590AB02" w14:textId="77777777" w:rsidR="00CA2F73" w:rsidRPr="00E72CFF" w:rsidRDefault="00CA2F73" w:rsidP="00726785">
            <w:pPr>
              <w:spacing w:before="81"/>
              <w:jc w:val="right"/>
              <w:rPr>
                <w:rFonts w:eastAsia="Times New Roman" w:cs="Times New Roman"/>
                <w:b/>
                <w:lang w:eastAsia="cs-CZ"/>
              </w:rPr>
            </w:pPr>
            <w:r w:rsidRPr="00E72CFF">
              <w:rPr>
                <w:rFonts w:eastAsia="Times New Roman" w:cs="Times New Roman"/>
                <w:b/>
                <w:lang w:eastAsia="cs-CZ"/>
              </w:rPr>
              <w:t>0</w:t>
            </w:r>
          </w:p>
        </w:tc>
        <w:tc>
          <w:tcPr>
            <w:tcW w:w="780" w:type="pct"/>
            <w:tcBorders>
              <w:top w:val="single" w:sz="4" w:space="0" w:color="7F7F7F" w:themeColor="text1" w:themeTint="80"/>
            </w:tcBorders>
            <w:shd w:val="clear" w:color="auto" w:fill="auto"/>
          </w:tcPr>
          <w:p w14:paraId="59FD52C0" w14:textId="77777777" w:rsidR="00CA2F73" w:rsidRPr="00E72CFF" w:rsidRDefault="00CA2F73" w:rsidP="00726785">
            <w:pPr>
              <w:spacing w:before="81"/>
              <w:jc w:val="right"/>
              <w:rPr>
                <w:rFonts w:eastAsia="Times New Roman" w:cs="Times New Roman"/>
                <w:b/>
                <w:lang w:eastAsia="cs-CZ"/>
              </w:rPr>
            </w:pPr>
            <w:r w:rsidRPr="00E72CFF">
              <w:rPr>
                <w:rFonts w:eastAsia="Times New Roman" w:cs="Times New Roman"/>
                <w:b/>
                <w:lang w:eastAsia="cs-CZ"/>
              </w:rPr>
              <w:t>13 661 370</w:t>
            </w:r>
          </w:p>
        </w:tc>
      </w:tr>
      <w:tr w:rsidR="00CA2F73" w:rsidRPr="00E8518E" w14:paraId="0CADBE98" w14:textId="77777777" w:rsidTr="00726785">
        <w:trPr>
          <w:trHeight w:val="112"/>
        </w:trPr>
        <w:tc>
          <w:tcPr>
            <w:tcW w:w="2806" w:type="pct"/>
            <w:tcBorders>
              <w:bottom w:val="nil"/>
            </w:tcBorders>
            <w:shd w:val="clear" w:color="auto" w:fill="auto"/>
          </w:tcPr>
          <w:p w14:paraId="06A4057B" w14:textId="77777777" w:rsidR="00CA2F73" w:rsidRPr="00A426B0" w:rsidRDefault="00CA2F73" w:rsidP="00726785">
            <w:pPr>
              <w:rPr>
                <w:rFonts w:eastAsia="Times New Roman" w:cs="Times New Roman"/>
                <w:i/>
                <w:lang w:eastAsia="cs-CZ"/>
              </w:rPr>
            </w:pPr>
            <w:r w:rsidRPr="00A426B0">
              <w:rPr>
                <w:rFonts w:eastAsia="Times New Roman" w:cs="Times New Roman"/>
                <w:i/>
                <w:lang w:eastAsia="cs-CZ"/>
              </w:rPr>
              <w:t>Státní fond dopravní infrastruktury</w:t>
            </w:r>
          </w:p>
        </w:tc>
        <w:tc>
          <w:tcPr>
            <w:tcW w:w="766" w:type="pct"/>
            <w:tcBorders>
              <w:bottom w:val="nil"/>
            </w:tcBorders>
            <w:shd w:val="clear" w:color="auto" w:fill="auto"/>
          </w:tcPr>
          <w:p w14:paraId="5D73031E" w14:textId="77777777" w:rsidR="00CA2F73" w:rsidRPr="00E72CFF" w:rsidRDefault="00CA2F73" w:rsidP="00726785">
            <w:pPr>
              <w:jc w:val="right"/>
              <w:rPr>
                <w:rFonts w:eastAsia="Times New Roman" w:cs="Times New Roman"/>
                <w:i/>
                <w:lang w:eastAsia="cs-CZ"/>
              </w:rPr>
            </w:pPr>
            <w:r w:rsidRPr="00E72CFF">
              <w:rPr>
                <w:rFonts w:eastAsia="Times New Roman" w:cs="Times New Roman"/>
                <w:i/>
                <w:lang w:eastAsia="cs-CZ"/>
              </w:rPr>
              <w:t>13 651 370</w:t>
            </w:r>
          </w:p>
        </w:tc>
        <w:tc>
          <w:tcPr>
            <w:tcW w:w="648" w:type="pct"/>
            <w:tcBorders>
              <w:bottom w:val="nil"/>
            </w:tcBorders>
            <w:shd w:val="clear" w:color="auto" w:fill="auto"/>
          </w:tcPr>
          <w:p w14:paraId="204B8206" w14:textId="77777777" w:rsidR="00CA2F73" w:rsidRPr="00E72CFF" w:rsidRDefault="00CA2F73" w:rsidP="00726785">
            <w:pPr>
              <w:jc w:val="right"/>
              <w:rPr>
                <w:rFonts w:eastAsia="Times New Roman" w:cs="Times New Roman"/>
                <w:i/>
                <w:lang w:eastAsia="cs-CZ"/>
              </w:rPr>
            </w:pPr>
            <w:r w:rsidRPr="00E72CFF">
              <w:rPr>
                <w:rFonts w:eastAsia="Times New Roman" w:cs="Times New Roman"/>
                <w:i/>
                <w:lang w:eastAsia="cs-CZ"/>
              </w:rPr>
              <w:t>0</w:t>
            </w:r>
          </w:p>
        </w:tc>
        <w:tc>
          <w:tcPr>
            <w:tcW w:w="780" w:type="pct"/>
            <w:tcBorders>
              <w:bottom w:val="nil"/>
            </w:tcBorders>
            <w:shd w:val="clear" w:color="auto" w:fill="auto"/>
          </w:tcPr>
          <w:p w14:paraId="0BC7D7C8" w14:textId="77777777" w:rsidR="00CA2F73" w:rsidRPr="00E72CFF" w:rsidRDefault="00CA2F73" w:rsidP="00726785">
            <w:pPr>
              <w:jc w:val="right"/>
              <w:rPr>
                <w:rFonts w:eastAsia="Times New Roman" w:cs="Times New Roman"/>
                <w:i/>
                <w:lang w:eastAsia="cs-CZ"/>
              </w:rPr>
            </w:pPr>
            <w:r w:rsidRPr="00E72CFF">
              <w:rPr>
                <w:rFonts w:eastAsia="Times New Roman" w:cs="Times New Roman"/>
                <w:i/>
                <w:lang w:eastAsia="cs-CZ"/>
              </w:rPr>
              <w:t>13 651 370</w:t>
            </w:r>
          </w:p>
        </w:tc>
      </w:tr>
      <w:tr w:rsidR="00CA2F73" w:rsidRPr="00E8518E" w14:paraId="77C4485B" w14:textId="77777777" w:rsidTr="00726785">
        <w:trPr>
          <w:trHeight w:val="112"/>
        </w:trPr>
        <w:tc>
          <w:tcPr>
            <w:tcW w:w="2806" w:type="pct"/>
            <w:tcBorders>
              <w:bottom w:val="nil"/>
            </w:tcBorders>
            <w:shd w:val="clear" w:color="auto" w:fill="auto"/>
          </w:tcPr>
          <w:p w14:paraId="007583C5" w14:textId="77777777" w:rsidR="00CA2F73" w:rsidRPr="00A426B0" w:rsidRDefault="00CA2F73" w:rsidP="00726785">
            <w:pPr>
              <w:rPr>
                <w:rFonts w:eastAsia="Times New Roman" w:cs="Times New Roman"/>
                <w:i/>
                <w:lang w:eastAsia="cs-CZ"/>
              </w:rPr>
            </w:pPr>
            <w:r>
              <w:rPr>
                <w:rFonts w:eastAsia="Times New Roman" w:cs="Times New Roman"/>
                <w:i/>
                <w:lang w:eastAsia="cs-CZ"/>
              </w:rPr>
              <w:t>Podnikatelské subjekty</w:t>
            </w:r>
          </w:p>
        </w:tc>
        <w:tc>
          <w:tcPr>
            <w:tcW w:w="766" w:type="pct"/>
            <w:tcBorders>
              <w:bottom w:val="nil"/>
            </w:tcBorders>
            <w:shd w:val="clear" w:color="auto" w:fill="auto"/>
          </w:tcPr>
          <w:p w14:paraId="374CD909" w14:textId="77777777" w:rsidR="00CA2F73" w:rsidRPr="00E72CFF" w:rsidRDefault="00CA2F73" w:rsidP="00726785">
            <w:pPr>
              <w:jc w:val="right"/>
              <w:rPr>
                <w:rFonts w:eastAsia="Times New Roman" w:cs="Times New Roman"/>
                <w:i/>
                <w:lang w:eastAsia="cs-CZ"/>
              </w:rPr>
            </w:pPr>
            <w:r w:rsidRPr="00E72CFF">
              <w:rPr>
                <w:rFonts w:eastAsia="Times New Roman" w:cs="Times New Roman"/>
                <w:i/>
                <w:lang w:eastAsia="cs-CZ"/>
              </w:rPr>
              <w:t>10 000</w:t>
            </w:r>
          </w:p>
        </w:tc>
        <w:tc>
          <w:tcPr>
            <w:tcW w:w="648" w:type="pct"/>
            <w:tcBorders>
              <w:bottom w:val="nil"/>
            </w:tcBorders>
            <w:shd w:val="clear" w:color="auto" w:fill="auto"/>
          </w:tcPr>
          <w:p w14:paraId="1A2EF827" w14:textId="77777777" w:rsidR="00CA2F73" w:rsidRPr="00E72CFF" w:rsidRDefault="00CA2F73" w:rsidP="00726785">
            <w:pPr>
              <w:jc w:val="right"/>
              <w:rPr>
                <w:rFonts w:eastAsia="Times New Roman" w:cs="Times New Roman"/>
                <w:i/>
                <w:lang w:eastAsia="cs-CZ"/>
              </w:rPr>
            </w:pPr>
            <w:r w:rsidRPr="00E72CFF">
              <w:rPr>
                <w:rFonts w:eastAsia="Times New Roman" w:cs="Times New Roman"/>
                <w:i/>
                <w:lang w:eastAsia="cs-CZ"/>
              </w:rPr>
              <w:t>0</w:t>
            </w:r>
          </w:p>
        </w:tc>
        <w:tc>
          <w:tcPr>
            <w:tcW w:w="780" w:type="pct"/>
            <w:tcBorders>
              <w:bottom w:val="nil"/>
            </w:tcBorders>
            <w:shd w:val="clear" w:color="auto" w:fill="auto"/>
          </w:tcPr>
          <w:p w14:paraId="16F2B2DB" w14:textId="77777777" w:rsidR="00CA2F73" w:rsidRPr="00E72CFF" w:rsidRDefault="00CA2F73" w:rsidP="00726785">
            <w:pPr>
              <w:jc w:val="right"/>
              <w:rPr>
                <w:rFonts w:eastAsia="Times New Roman" w:cs="Times New Roman"/>
                <w:i/>
                <w:lang w:eastAsia="cs-CZ"/>
              </w:rPr>
            </w:pPr>
            <w:r w:rsidRPr="00E72CFF">
              <w:rPr>
                <w:rFonts w:eastAsia="Times New Roman" w:cs="Times New Roman"/>
                <w:i/>
                <w:lang w:eastAsia="cs-CZ"/>
              </w:rPr>
              <w:t>10 000</w:t>
            </w:r>
          </w:p>
        </w:tc>
      </w:tr>
      <w:tr w:rsidR="00CA2F73" w:rsidRPr="00E8518E" w14:paraId="28A872CA" w14:textId="77777777" w:rsidTr="00726785">
        <w:tc>
          <w:tcPr>
            <w:tcW w:w="2806" w:type="pct"/>
            <w:tcBorders>
              <w:top w:val="single" w:sz="4" w:space="0" w:color="7F7F7F" w:themeColor="text1" w:themeTint="80"/>
            </w:tcBorders>
            <w:shd w:val="clear" w:color="auto" w:fill="auto"/>
          </w:tcPr>
          <w:p w14:paraId="4018D23B" w14:textId="77777777" w:rsidR="00CA2F73" w:rsidRPr="00A426B0" w:rsidRDefault="00CA2F73" w:rsidP="00726785">
            <w:pPr>
              <w:rPr>
                <w:rFonts w:eastAsia="Times New Roman" w:cs="Times New Roman"/>
                <w:lang w:eastAsia="cs-CZ"/>
              </w:rPr>
            </w:pPr>
            <w:r w:rsidRPr="00A426B0">
              <w:rPr>
                <w:rFonts w:eastAsia="Times New Roman" w:cs="Times New Roman"/>
                <w:b/>
                <w:lang w:eastAsia="cs-CZ"/>
              </w:rPr>
              <w:t xml:space="preserve">2 (ERDF) – Celostátní silniční mobilita zajišťující konektivitu k síti TEN-T </w:t>
            </w:r>
            <w:r w:rsidRPr="00A426B0">
              <w:rPr>
                <w:rFonts w:eastAsia="Times New Roman" w:cs="Times New Roman"/>
                <w:lang w:eastAsia="cs-CZ"/>
              </w:rPr>
              <w:t>v tom:</w:t>
            </w:r>
          </w:p>
        </w:tc>
        <w:tc>
          <w:tcPr>
            <w:tcW w:w="766" w:type="pct"/>
            <w:tcBorders>
              <w:top w:val="single" w:sz="4" w:space="0" w:color="7F7F7F" w:themeColor="text1" w:themeTint="80"/>
            </w:tcBorders>
            <w:shd w:val="clear" w:color="auto" w:fill="auto"/>
          </w:tcPr>
          <w:p w14:paraId="1345EEFD" w14:textId="77777777" w:rsidR="00CA2F73" w:rsidRPr="00A426B0" w:rsidRDefault="00CA2F73" w:rsidP="00726785">
            <w:pPr>
              <w:spacing w:before="163"/>
              <w:jc w:val="right"/>
              <w:rPr>
                <w:rFonts w:eastAsia="Times New Roman" w:cs="Times New Roman"/>
                <w:b/>
                <w:lang w:eastAsia="cs-CZ"/>
              </w:rPr>
            </w:pPr>
            <w:r w:rsidRPr="00A426B0">
              <w:rPr>
                <w:rFonts w:eastAsia="Times New Roman" w:cs="Times New Roman"/>
                <w:b/>
                <w:lang w:eastAsia="cs-CZ"/>
              </w:rPr>
              <w:t>537 118</w:t>
            </w:r>
          </w:p>
        </w:tc>
        <w:tc>
          <w:tcPr>
            <w:tcW w:w="648" w:type="pct"/>
            <w:tcBorders>
              <w:top w:val="single" w:sz="4" w:space="0" w:color="7F7F7F" w:themeColor="text1" w:themeTint="80"/>
            </w:tcBorders>
            <w:shd w:val="clear" w:color="auto" w:fill="auto"/>
          </w:tcPr>
          <w:p w14:paraId="7CEE134F" w14:textId="77777777" w:rsidR="00CA2F73" w:rsidRPr="00A426B0" w:rsidRDefault="00CA2F73" w:rsidP="00726785">
            <w:pPr>
              <w:spacing w:before="163"/>
              <w:jc w:val="right"/>
              <w:rPr>
                <w:rFonts w:eastAsia="Times New Roman" w:cs="Times New Roman"/>
                <w:b/>
                <w:lang w:eastAsia="cs-CZ"/>
              </w:rPr>
            </w:pPr>
            <w:r w:rsidRPr="00A426B0">
              <w:rPr>
                <w:rFonts w:eastAsia="Times New Roman" w:cs="Times New Roman"/>
                <w:b/>
                <w:lang w:eastAsia="cs-CZ"/>
              </w:rPr>
              <w:t>0</w:t>
            </w:r>
          </w:p>
        </w:tc>
        <w:tc>
          <w:tcPr>
            <w:tcW w:w="780" w:type="pct"/>
            <w:tcBorders>
              <w:top w:val="single" w:sz="4" w:space="0" w:color="7F7F7F" w:themeColor="text1" w:themeTint="80"/>
            </w:tcBorders>
            <w:shd w:val="clear" w:color="auto" w:fill="auto"/>
          </w:tcPr>
          <w:p w14:paraId="5467AEC4" w14:textId="77777777" w:rsidR="00CA2F73" w:rsidRPr="00A426B0" w:rsidRDefault="00CA2F73" w:rsidP="00726785">
            <w:pPr>
              <w:spacing w:before="163"/>
              <w:jc w:val="right"/>
              <w:rPr>
                <w:rFonts w:eastAsia="Times New Roman" w:cs="Times New Roman"/>
                <w:b/>
                <w:lang w:eastAsia="cs-CZ"/>
              </w:rPr>
            </w:pPr>
            <w:r w:rsidRPr="00A426B0">
              <w:rPr>
                <w:rFonts w:eastAsia="Times New Roman" w:cs="Times New Roman"/>
                <w:b/>
                <w:lang w:eastAsia="cs-CZ"/>
              </w:rPr>
              <w:t>537 118</w:t>
            </w:r>
          </w:p>
        </w:tc>
      </w:tr>
      <w:tr w:rsidR="00CA2F73" w:rsidRPr="00E8518E" w14:paraId="1B49E783" w14:textId="77777777" w:rsidTr="00726785">
        <w:tc>
          <w:tcPr>
            <w:tcW w:w="2806" w:type="pct"/>
            <w:tcBorders>
              <w:bottom w:val="nil"/>
            </w:tcBorders>
            <w:shd w:val="clear" w:color="auto" w:fill="auto"/>
          </w:tcPr>
          <w:p w14:paraId="61488433" w14:textId="77777777" w:rsidR="00CA2F73" w:rsidRPr="00A426B0" w:rsidRDefault="00CA2F73" w:rsidP="00726785">
            <w:pPr>
              <w:rPr>
                <w:rFonts w:eastAsia="Times New Roman" w:cs="Times New Roman"/>
                <w:i/>
                <w:lang w:eastAsia="cs-CZ"/>
              </w:rPr>
            </w:pPr>
            <w:r w:rsidRPr="00A426B0">
              <w:rPr>
                <w:rFonts w:eastAsia="Times New Roman" w:cs="Times New Roman"/>
                <w:i/>
                <w:lang w:eastAsia="cs-CZ"/>
              </w:rPr>
              <w:t>Státní fond dopravní infrastruktury</w:t>
            </w:r>
          </w:p>
        </w:tc>
        <w:tc>
          <w:tcPr>
            <w:tcW w:w="766" w:type="pct"/>
            <w:tcBorders>
              <w:bottom w:val="nil"/>
            </w:tcBorders>
            <w:shd w:val="clear" w:color="auto" w:fill="auto"/>
          </w:tcPr>
          <w:p w14:paraId="36048A0B" w14:textId="77777777" w:rsidR="00CA2F73" w:rsidRPr="00A426B0" w:rsidRDefault="00CA2F73" w:rsidP="00726785">
            <w:pPr>
              <w:jc w:val="right"/>
              <w:rPr>
                <w:rFonts w:eastAsia="Times New Roman" w:cs="Times New Roman"/>
                <w:i/>
                <w:lang w:eastAsia="cs-CZ"/>
              </w:rPr>
            </w:pPr>
            <w:r w:rsidRPr="00A426B0">
              <w:rPr>
                <w:rFonts w:eastAsia="Times New Roman" w:cs="Times New Roman"/>
                <w:i/>
                <w:lang w:eastAsia="cs-CZ"/>
              </w:rPr>
              <w:t>537 118</w:t>
            </w:r>
          </w:p>
        </w:tc>
        <w:tc>
          <w:tcPr>
            <w:tcW w:w="648" w:type="pct"/>
            <w:tcBorders>
              <w:bottom w:val="nil"/>
            </w:tcBorders>
            <w:shd w:val="clear" w:color="auto" w:fill="auto"/>
          </w:tcPr>
          <w:p w14:paraId="6730A8F4" w14:textId="77777777" w:rsidR="00CA2F73" w:rsidRPr="00A426B0" w:rsidRDefault="00CA2F73" w:rsidP="00726785">
            <w:pPr>
              <w:jc w:val="right"/>
              <w:rPr>
                <w:rFonts w:eastAsia="Times New Roman" w:cs="Times New Roman"/>
                <w:i/>
                <w:lang w:eastAsia="cs-CZ"/>
              </w:rPr>
            </w:pPr>
            <w:r w:rsidRPr="00A426B0">
              <w:rPr>
                <w:rFonts w:eastAsia="Times New Roman" w:cs="Times New Roman"/>
                <w:i/>
                <w:lang w:eastAsia="cs-CZ"/>
              </w:rPr>
              <w:t>0</w:t>
            </w:r>
          </w:p>
        </w:tc>
        <w:tc>
          <w:tcPr>
            <w:tcW w:w="780" w:type="pct"/>
            <w:tcBorders>
              <w:bottom w:val="nil"/>
            </w:tcBorders>
            <w:shd w:val="clear" w:color="auto" w:fill="auto"/>
          </w:tcPr>
          <w:p w14:paraId="50CE7421" w14:textId="77777777" w:rsidR="00CA2F73" w:rsidRPr="00A426B0" w:rsidRDefault="00CA2F73" w:rsidP="00726785">
            <w:pPr>
              <w:jc w:val="right"/>
              <w:rPr>
                <w:rFonts w:eastAsia="Times New Roman" w:cs="Times New Roman"/>
                <w:i/>
                <w:lang w:eastAsia="cs-CZ"/>
              </w:rPr>
            </w:pPr>
            <w:r w:rsidRPr="00A426B0">
              <w:rPr>
                <w:rFonts w:eastAsia="Times New Roman" w:cs="Times New Roman"/>
                <w:i/>
                <w:lang w:eastAsia="cs-CZ"/>
              </w:rPr>
              <w:t>537 118</w:t>
            </w:r>
          </w:p>
        </w:tc>
      </w:tr>
      <w:tr w:rsidR="00CA2F73" w:rsidRPr="00E8518E" w14:paraId="3B3C7D70" w14:textId="77777777" w:rsidTr="00726785">
        <w:tc>
          <w:tcPr>
            <w:tcW w:w="2806" w:type="pct"/>
            <w:tcBorders>
              <w:top w:val="single" w:sz="4" w:space="0" w:color="7F7F7F" w:themeColor="text1" w:themeTint="80"/>
            </w:tcBorders>
            <w:shd w:val="clear" w:color="auto" w:fill="auto"/>
          </w:tcPr>
          <w:p w14:paraId="7D43580A" w14:textId="77777777" w:rsidR="00CA2F73" w:rsidRPr="00A426B0" w:rsidRDefault="00CA2F73" w:rsidP="00726785">
            <w:pPr>
              <w:rPr>
                <w:rFonts w:eastAsia="Times New Roman" w:cs="Times New Roman"/>
                <w:lang w:eastAsia="cs-CZ"/>
              </w:rPr>
            </w:pPr>
            <w:r w:rsidRPr="00A426B0">
              <w:rPr>
                <w:rFonts w:eastAsia="Times New Roman" w:cs="Times New Roman"/>
                <w:b/>
                <w:lang w:eastAsia="cs-CZ"/>
              </w:rPr>
              <w:t>3 (CF) – Udržitelná městská mobilita</w:t>
            </w:r>
            <w:r>
              <w:rPr>
                <w:rFonts w:eastAsia="Times New Roman" w:cs="Times New Roman"/>
                <w:b/>
                <w:lang w:eastAsia="cs-CZ"/>
              </w:rPr>
              <w:t xml:space="preserve">                      </w:t>
            </w:r>
            <w:r w:rsidRPr="00A426B0">
              <w:rPr>
                <w:rFonts w:eastAsia="Times New Roman" w:cs="Times New Roman"/>
                <w:b/>
                <w:lang w:eastAsia="cs-CZ"/>
              </w:rPr>
              <w:t xml:space="preserve"> (a alternativní paliva) </w:t>
            </w:r>
            <w:r w:rsidRPr="00A426B0">
              <w:rPr>
                <w:rFonts w:eastAsia="Times New Roman" w:cs="Times New Roman"/>
                <w:lang w:eastAsia="cs-CZ"/>
              </w:rPr>
              <w:t>v tom:</w:t>
            </w:r>
          </w:p>
        </w:tc>
        <w:tc>
          <w:tcPr>
            <w:tcW w:w="766" w:type="pct"/>
            <w:tcBorders>
              <w:top w:val="single" w:sz="4" w:space="0" w:color="7F7F7F" w:themeColor="text1" w:themeTint="80"/>
            </w:tcBorders>
            <w:shd w:val="clear" w:color="auto" w:fill="auto"/>
            <w:vAlign w:val="center"/>
          </w:tcPr>
          <w:p w14:paraId="1B957477" w14:textId="77777777" w:rsidR="00CA2F73" w:rsidRPr="0050293E" w:rsidRDefault="00CA2F73" w:rsidP="00726785">
            <w:pPr>
              <w:jc w:val="right"/>
              <w:rPr>
                <w:rFonts w:eastAsia="Times New Roman" w:cs="Times New Roman"/>
                <w:b/>
                <w:lang w:eastAsia="cs-CZ"/>
              </w:rPr>
            </w:pPr>
            <w:r w:rsidRPr="0050293E">
              <w:rPr>
                <w:rFonts w:eastAsia="Times New Roman" w:cs="Times New Roman"/>
                <w:b/>
                <w:lang w:eastAsia="cs-CZ"/>
              </w:rPr>
              <w:t>1 300 000</w:t>
            </w:r>
          </w:p>
        </w:tc>
        <w:tc>
          <w:tcPr>
            <w:tcW w:w="648" w:type="pct"/>
            <w:tcBorders>
              <w:top w:val="single" w:sz="4" w:space="0" w:color="7F7F7F" w:themeColor="text1" w:themeTint="80"/>
            </w:tcBorders>
            <w:shd w:val="clear" w:color="auto" w:fill="auto"/>
            <w:vAlign w:val="center"/>
          </w:tcPr>
          <w:p w14:paraId="4FA1C462" w14:textId="77777777" w:rsidR="00CA2F73" w:rsidRPr="0050293E" w:rsidRDefault="00CA2F73" w:rsidP="00726785">
            <w:pPr>
              <w:jc w:val="right"/>
              <w:rPr>
                <w:rFonts w:eastAsia="Times New Roman" w:cs="Times New Roman"/>
                <w:b/>
                <w:lang w:eastAsia="cs-CZ"/>
              </w:rPr>
            </w:pPr>
            <w:r w:rsidRPr="0050293E">
              <w:rPr>
                <w:rFonts w:eastAsia="Times New Roman" w:cs="Times New Roman"/>
                <w:b/>
                <w:lang w:eastAsia="cs-CZ"/>
              </w:rPr>
              <w:t>0</w:t>
            </w:r>
          </w:p>
        </w:tc>
        <w:tc>
          <w:tcPr>
            <w:tcW w:w="780" w:type="pct"/>
            <w:tcBorders>
              <w:top w:val="single" w:sz="4" w:space="0" w:color="7F7F7F" w:themeColor="text1" w:themeTint="80"/>
            </w:tcBorders>
            <w:shd w:val="clear" w:color="auto" w:fill="auto"/>
            <w:vAlign w:val="center"/>
          </w:tcPr>
          <w:p w14:paraId="0BF7C490" w14:textId="77777777" w:rsidR="00CA2F73" w:rsidRPr="0050293E" w:rsidRDefault="00CA2F73" w:rsidP="00726785">
            <w:pPr>
              <w:jc w:val="right"/>
              <w:rPr>
                <w:rFonts w:eastAsia="Times New Roman" w:cs="Times New Roman"/>
                <w:b/>
                <w:lang w:eastAsia="cs-CZ"/>
              </w:rPr>
            </w:pPr>
            <w:r w:rsidRPr="0050293E">
              <w:rPr>
                <w:rFonts w:eastAsia="Times New Roman" w:cs="Times New Roman"/>
                <w:b/>
                <w:lang w:eastAsia="cs-CZ"/>
              </w:rPr>
              <w:t>1 300 000</w:t>
            </w:r>
          </w:p>
        </w:tc>
      </w:tr>
      <w:tr w:rsidR="00CA2F73" w:rsidRPr="00E8518E" w14:paraId="4558A6F4" w14:textId="77777777" w:rsidTr="00726785">
        <w:tc>
          <w:tcPr>
            <w:tcW w:w="2806" w:type="pct"/>
            <w:tcBorders>
              <w:bottom w:val="nil"/>
            </w:tcBorders>
            <w:shd w:val="clear" w:color="auto" w:fill="auto"/>
          </w:tcPr>
          <w:p w14:paraId="1AA50336" w14:textId="77777777" w:rsidR="00CA2F73" w:rsidRPr="00A426B0" w:rsidRDefault="00CA2F73" w:rsidP="00726785">
            <w:pPr>
              <w:rPr>
                <w:rFonts w:eastAsia="Times New Roman" w:cs="Times New Roman"/>
                <w:i/>
                <w:lang w:eastAsia="cs-CZ"/>
              </w:rPr>
            </w:pPr>
            <w:r w:rsidRPr="00A426B0">
              <w:rPr>
                <w:rFonts w:eastAsia="Times New Roman" w:cs="Times New Roman"/>
                <w:i/>
                <w:lang w:eastAsia="cs-CZ"/>
              </w:rPr>
              <w:t xml:space="preserve">Státní fond dopravní infrastruktury </w:t>
            </w:r>
          </w:p>
        </w:tc>
        <w:tc>
          <w:tcPr>
            <w:tcW w:w="766" w:type="pct"/>
            <w:tcBorders>
              <w:bottom w:val="nil"/>
            </w:tcBorders>
            <w:shd w:val="clear" w:color="auto" w:fill="auto"/>
          </w:tcPr>
          <w:p w14:paraId="4778FA12"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1 000 000</w:t>
            </w:r>
          </w:p>
        </w:tc>
        <w:tc>
          <w:tcPr>
            <w:tcW w:w="648" w:type="pct"/>
            <w:tcBorders>
              <w:bottom w:val="nil"/>
            </w:tcBorders>
            <w:shd w:val="clear" w:color="auto" w:fill="auto"/>
          </w:tcPr>
          <w:p w14:paraId="071E5B03"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0</w:t>
            </w:r>
          </w:p>
        </w:tc>
        <w:tc>
          <w:tcPr>
            <w:tcW w:w="780" w:type="pct"/>
            <w:tcBorders>
              <w:bottom w:val="nil"/>
            </w:tcBorders>
            <w:shd w:val="clear" w:color="auto" w:fill="auto"/>
          </w:tcPr>
          <w:p w14:paraId="329626BB"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1 000 000</w:t>
            </w:r>
          </w:p>
        </w:tc>
      </w:tr>
      <w:tr w:rsidR="00CA2F73" w:rsidRPr="00E8518E" w14:paraId="32D9489B" w14:textId="77777777" w:rsidTr="00726785">
        <w:tc>
          <w:tcPr>
            <w:tcW w:w="2806" w:type="pct"/>
            <w:tcBorders>
              <w:bottom w:val="nil"/>
            </w:tcBorders>
            <w:shd w:val="clear" w:color="auto" w:fill="auto"/>
          </w:tcPr>
          <w:p w14:paraId="7509C25E" w14:textId="77777777" w:rsidR="00CA2F73" w:rsidRPr="00A426B0" w:rsidRDefault="00CA2F73" w:rsidP="00726785">
            <w:pPr>
              <w:rPr>
                <w:rFonts w:eastAsia="Times New Roman" w:cs="Times New Roman"/>
                <w:i/>
                <w:lang w:eastAsia="cs-CZ"/>
              </w:rPr>
            </w:pPr>
            <w:r>
              <w:rPr>
                <w:rFonts w:eastAsia="Times New Roman" w:cs="Times New Roman"/>
                <w:i/>
                <w:lang w:eastAsia="cs-CZ"/>
              </w:rPr>
              <w:t>Podnikatelské subjekty</w:t>
            </w:r>
          </w:p>
        </w:tc>
        <w:tc>
          <w:tcPr>
            <w:tcW w:w="766" w:type="pct"/>
            <w:tcBorders>
              <w:bottom w:val="nil"/>
            </w:tcBorders>
            <w:shd w:val="clear" w:color="auto" w:fill="auto"/>
          </w:tcPr>
          <w:p w14:paraId="1272874A"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300 000</w:t>
            </w:r>
          </w:p>
        </w:tc>
        <w:tc>
          <w:tcPr>
            <w:tcW w:w="648" w:type="pct"/>
            <w:tcBorders>
              <w:bottom w:val="nil"/>
            </w:tcBorders>
            <w:shd w:val="clear" w:color="auto" w:fill="auto"/>
          </w:tcPr>
          <w:p w14:paraId="4EBCCE2A"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0</w:t>
            </w:r>
          </w:p>
        </w:tc>
        <w:tc>
          <w:tcPr>
            <w:tcW w:w="780" w:type="pct"/>
            <w:tcBorders>
              <w:bottom w:val="nil"/>
            </w:tcBorders>
            <w:shd w:val="clear" w:color="auto" w:fill="auto"/>
          </w:tcPr>
          <w:p w14:paraId="3C3E0882"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300 000</w:t>
            </w:r>
          </w:p>
        </w:tc>
      </w:tr>
      <w:tr w:rsidR="00CA2F73" w:rsidRPr="00E8518E" w14:paraId="59643955" w14:textId="77777777" w:rsidTr="00726785">
        <w:tc>
          <w:tcPr>
            <w:tcW w:w="2806" w:type="pct"/>
            <w:tcBorders>
              <w:top w:val="single" w:sz="4" w:space="0" w:color="7F7F7F" w:themeColor="text1" w:themeTint="80"/>
            </w:tcBorders>
            <w:shd w:val="clear" w:color="auto" w:fill="auto"/>
          </w:tcPr>
          <w:p w14:paraId="54C332EE" w14:textId="77777777" w:rsidR="00CA2F73" w:rsidRPr="00A426B0" w:rsidRDefault="00CA2F73" w:rsidP="00726785">
            <w:pPr>
              <w:rPr>
                <w:rFonts w:eastAsia="Times New Roman" w:cs="Times New Roman"/>
                <w:lang w:eastAsia="cs-CZ"/>
              </w:rPr>
            </w:pPr>
            <w:r w:rsidRPr="00A426B0">
              <w:rPr>
                <w:rFonts w:eastAsia="Times New Roman" w:cs="Times New Roman"/>
                <w:b/>
                <w:lang w:eastAsia="cs-CZ"/>
              </w:rPr>
              <w:t xml:space="preserve">4 (CF) – Technická pomoc </w:t>
            </w:r>
          </w:p>
        </w:tc>
        <w:tc>
          <w:tcPr>
            <w:tcW w:w="766" w:type="pct"/>
            <w:tcBorders>
              <w:top w:val="single" w:sz="4" w:space="0" w:color="7F7F7F" w:themeColor="text1" w:themeTint="80"/>
            </w:tcBorders>
            <w:shd w:val="clear" w:color="auto" w:fill="auto"/>
          </w:tcPr>
          <w:p w14:paraId="5F85BF62" w14:textId="77777777" w:rsidR="00CA2F73" w:rsidRPr="00390837" w:rsidRDefault="00CA2F73" w:rsidP="00726785">
            <w:pPr>
              <w:jc w:val="right"/>
              <w:rPr>
                <w:rFonts w:eastAsia="Times New Roman" w:cs="Times New Roman"/>
                <w:b/>
                <w:lang w:eastAsia="cs-CZ"/>
              </w:rPr>
            </w:pPr>
            <w:r w:rsidRPr="00390837">
              <w:rPr>
                <w:rFonts w:eastAsia="Times New Roman" w:cs="Times New Roman"/>
                <w:b/>
                <w:lang w:eastAsia="cs-CZ"/>
              </w:rPr>
              <w:t>57 580</w:t>
            </w:r>
          </w:p>
        </w:tc>
        <w:tc>
          <w:tcPr>
            <w:tcW w:w="648" w:type="pct"/>
            <w:tcBorders>
              <w:top w:val="single" w:sz="4" w:space="0" w:color="7F7F7F" w:themeColor="text1" w:themeTint="80"/>
            </w:tcBorders>
            <w:shd w:val="clear" w:color="auto" w:fill="auto"/>
          </w:tcPr>
          <w:p w14:paraId="290BF429" w14:textId="77777777" w:rsidR="00CA2F73" w:rsidRPr="00390837" w:rsidRDefault="00CA2F73" w:rsidP="00726785">
            <w:pPr>
              <w:jc w:val="right"/>
              <w:rPr>
                <w:rFonts w:eastAsia="Times New Roman" w:cs="Times New Roman"/>
                <w:b/>
                <w:lang w:eastAsia="cs-CZ"/>
              </w:rPr>
            </w:pPr>
            <w:r w:rsidRPr="00390837">
              <w:rPr>
                <w:rFonts w:eastAsia="Times New Roman" w:cs="Times New Roman"/>
                <w:b/>
                <w:lang w:eastAsia="cs-CZ"/>
              </w:rPr>
              <w:t>10 161</w:t>
            </w:r>
          </w:p>
        </w:tc>
        <w:tc>
          <w:tcPr>
            <w:tcW w:w="780" w:type="pct"/>
            <w:tcBorders>
              <w:top w:val="single" w:sz="4" w:space="0" w:color="7F7F7F" w:themeColor="text1" w:themeTint="80"/>
            </w:tcBorders>
            <w:shd w:val="clear" w:color="auto" w:fill="auto"/>
          </w:tcPr>
          <w:p w14:paraId="4AA28F67" w14:textId="77777777" w:rsidR="00CA2F73" w:rsidRPr="00390837" w:rsidRDefault="00CA2F73" w:rsidP="00726785">
            <w:pPr>
              <w:jc w:val="right"/>
              <w:rPr>
                <w:rFonts w:eastAsia="Times New Roman" w:cs="Times New Roman"/>
                <w:b/>
                <w:lang w:eastAsia="cs-CZ"/>
              </w:rPr>
            </w:pPr>
            <w:r w:rsidRPr="00390837">
              <w:rPr>
                <w:rFonts w:eastAsia="Times New Roman" w:cs="Times New Roman"/>
                <w:b/>
                <w:lang w:eastAsia="cs-CZ"/>
              </w:rPr>
              <w:t>67 741</w:t>
            </w:r>
          </w:p>
        </w:tc>
      </w:tr>
      <w:tr w:rsidR="00CA2F73" w:rsidRPr="00E8518E" w14:paraId="473FB868" w14:textId="77777777" w:rsidTr="00726785">
        <w:tc>
          <w:tcPr>
            <w:tcW w:w="2806" w:type="pct"/>
            <w:tcBorders>
              <w:top w:val="single" w:sz="4" w:space="0" w:color="7F7F7F" w:themeColor="text1" w:themeTint="80"/>
            </w:tcBorders>
            <w:shd w:val="clear" w:color="auto" w:fill="auto"/>
          </w:tcPr>
          <w:p w14:paraId="74F866B0" w14:textId="77777777" w:rsidR="00CA2F73" w:rsidRPr="00A426B0" w:rsidRDefault="00CA2F73" w:rsidP="00726785">
            <w:pPr>
              <w:rPr>
                <w:rFonts w:eastAsia="Times New Roman" w:cs="Times New Roman"/>
                <w:i/>
                <w:lang w:eastAsia="cs-CZ"/>
              </w:rPr>
            </w:pPr>
            <w:r w:rsidRPr="00A426B0">
              <w:rPr>
                <w:rFonts w:eastAsia="Times New Roman" w:cs="Times New Roman"/>
                <w:i/>
                <w:lang w:eastAsia="cs-CZ"/>
              </w:rPr>
              <w:t xml:space="preserve">Státní fond dopravní infrastruktury </w:t>
            </w:r>
          </w:p>
        </w:tc>
        <w:tc>
          <w:tcPr>
            <w:tcW w:w="766" w:type="pct"/>
            <w:tcBorders>
              <w:top w:val="single" w:sz="4" w:space="0" w:color="7F7F7F" w:themeColor="text1" w:themeTint="80"/>
            </w:tcBorders>
            <w:shd w:val="clear" w:color="auto" w:fill="auto"/>
          </w:tcPr>
          <w:p w14:paraId="788874F5" w14:textId="77777777" w:rsidR="00CA2F73" w:rsidRPr="0050293E" w:rsidRDefault="00CA2F73" w:rsidP="00726785">
            <w:pPr>
              <w:jc w:val="right"/>
              <w:rPr>
                <w:rFonts w:eastAsia="Times New Roman" w:cs="Times New Roman"/>
                <w:i/>
                <w:lang w:eastAsia="cs-CZ"/>
              </w:rPr>
            </w:pPr>
            <w:r>
              <w:rPr>
                <w:rFonts w:eastAsia="Times New Roman" w:cs="Times New Roman"/>
                <w:i/>
                <w:lang w:eastAsia="cs-CZ"/>
              </w:rPr>
              <w:t>0</w:t>
            </w:r>
          </w:p>
        </w:tc>
        <w:tc>
          <w:tcPr>
            <w:tcW w:w="648" w:type="pct"/>
            <w:tcBorders>
              <w:top w:val="single" w:sz="4" w:space="0" w:color="7F7F7F" w:themeColor="text1" w:themeTint="80"/>
            </w:tcBorders>
            <w:shd w:val="clear" w:color="auto" w:fill="auto"/>
          </w:tcPr>
          <w:p w14:paraId="25FBC122"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0</w:t>
            </w:r>
          </w:p>
        </w:tc>
        <w:tc>
          <w:tcPr>
            <w:tcW w:w="780" w:type="pct"/>
            <w:tcBorders>
              <w:top w:val="single" w:sz="4" w:space="0" w:color="7F7F7F" w:themeColor="text1" w:themeTint="80"/>
            </w:tcBorders>
            <w:shd w:val="clear" w:color="auto" w:fill="auto"/>
          </w:tcPr>
          <w:p w14:paraId="462CFF02" w14:textId="77777777" w:rsidR="00CA2F73" w:rsidRPr="0050293E" w:rsidRDefault="00CA2F73" w:rsidP="00726785">
            <w:pPr>
              <w:jc w:val="right"/>
              <w:rPr>
                <w:rFonts w:eastAsia="Times New Roman" w:cs="Times New Roman"/>
                <w:i/>
                <w:lang w:eastAsia="cs-CZ"/>
              </w:rPr>
            </w:pPr>
            <w:r w:rsidRPr="0050293E">
              <w:rPr>
                <w:rFonts w:eastAsia="Times New Roman" w:cs="Times New Roman"/>
                <w:i/>
                <w:lang w:eastAsia="cs-CZ"/>
              </w:rPr>
              <w:t>0</w:t>
            </w:r>
          </w:p>
        </w:tc>
      </w:tr>
      <w:tr w:rsidR="00CA2F73" w:rsidRPr="00E8518E" w14:paraId="3987128A" w14:textId="77777777" w:rsidTr="00726785">
        <w:tc>
          <w:tcPr>
            <w:tcW w:w="2806" w:type="pct"/>
            <w:tcBorders>
              <w:top w:val="single" w:sz="4" w:space="0" w:color="7F7F7F" w:themeColor="text1" w:themeTint="80"/>
            </w:tcBorders>
            <w:shd w:val="clear" w:color="auto" w:fill="auto"/>
          </w:tcPr>
          <w:p w14:paraId="72924EF6" w14:textId="77777777" w:rsidR="00CA2F73" w:rsidRPr="00A426B0" w:rsidRDefault="00CA2F73" w:rsidP="00726785">
            <w:pPr>
              <w:rPr>
                <w:rFonts w:eastAsia="Times New Roman" w:cs="Times New Roman"/>
                <w:i/>
                <w:lang w:eastAsia="cs-CZ"/>
              </w:rPr>
            </w:pPr>
            <w:r>
              <w:rPr>
                <w:rFonts w:eastAsia="Times New Roman" w:cs="Times New Roman"/>
                <w:i/>
                <w:lang w:eastAsia="cs-CZ"/>
              </w:rPr>
              <w:t>Ústřední orgán MD</w:t>
            </w:r>
          </w:p>
        </w:tc>
        <w:tc>
          <w:tcPr>
            <w:tcW w:w="766" w:type="pct"/>
            <w:tcBorders>
              <w:top w:val="single" w:sz="4" w:space="0" w:color="7F7F7F" w:themeColor="text1" w:themeTint="80"/>
            </w:tcBorders>
            <w:shd w:val="clear" w:color="auto" w:fill="auto"/>
          </w:tcPr>
          <w:p w14:paraId="71EC23C2" w14:textId="77777777" w:rsidR="00CA2F73" w:rsidRPr="0050293E" w:rsidRDefault="00CA2F73" w:rsidP="00726785">
            <w:pPr>
              <w:jc w:val="right"/>
              <w:rPr>
                <w:rFonts w:eastAsia="Times New Roman" w:cs="Times New Roman"/>
                <w:i/>
                <w:lang w:eastAsia="cs-CZ"/>
              </w:rPr>
            </w:pPr>
            <w:r>
              <w:rPr>
                <w:rFonts w:eastAsia="Times New Roman" w:cs="Times New Roman"/>
                <w:i/>
                <w:lang w:eastAsia="cs-CZ"/>
              </w:rPr>
              <w:t>57 580</w:t>
            </w:r>
          </w:p>
        </w:tc>
        <w:tc>
          <w:tcPr>
            <w:tcW w:w="648" w:type="pct"/>
            <w:tcBorders>
              <w:top w:val="single" w:sz="4" w:space="0" w:color="7F7F7F" w:themeColor="text1" w:themeTint="80"/>
            </w:tcBorders>
            <w:shd w:val="clear" w:color="auto" w:fill="auto"/>
          </w:tcPr>
          <w:p w14:paraId="0B24B501" w14:textId="77777777" w:rsidR="00CA2F73" w:rsidRPr="0050293E" w:rsidRDefault="00CA2F73" w:rsidP="00726785">
            <w:pPr>
              <w:jc w:val="right"/>
              <w:rPr>
                <w:rFonts w:eastAsia="Times New Roman" w:cs="Times New Roman"/>
                <w:i/>
                <w:lang w:eastAsia="cs-CZ"/>
              </w:rPr>
            </w:pPr>
            <w:r>
              <w:rPr>
                <w:rFonts w:eastAsia="Times New Roman" w:cs="Times New Roman"/>
                <w:i/>
                <w:lang w:eastAsia="cs-CZ"/>
              </w:rPr>
              <w:t>10 161</w:t>
            </w:r>
          </w:p>
        </w:tc>
        <w:tc>
          <w:tcPr>
            <w:tcW w:w="780" w:type="pct"/>
            <w:tcBorders>
              <w:top w:val="single" w:sz="4" w:space="0" w:color="7F7F7F" w:themeColor="text1" w:themeTint="80"/>
            </w:tcBorders>
            <w:shd w:val="clear" w:color="auto" w:fill="auto"/>
          </w:tcPr>
          <w:p w14:paraId="1A408DA7" w14:textId="77777777" w:rsidR="00CA2F73" w:rsidRPr="0050293E" w:rsidRDefault="00CA2F73" w:rsidP="00726785">
            <w:pPr>
              <w:jc w:val="right"/>
              <w:rPr>
                <w:rFonts w:eastAsia="Times New Roman" w:cs="Times New Roman"/>
                <w:i/>
                <w:lang w:eastAsia="cs-CZ"/>
              </w:rPr>
            </w:pPr>
            <w:r>
              <w:rPr>
                <w:rFonts w:eastAsia="Times New Roman" w:cs="Times New Roman"/>
                <w:i/>
                <w:lang w:eastAsia="cs-CZ"/>
              </w:rPr>
              <w:t>67 741</w:t>
            </w:r>
          </w:p>
        </w:tc>
      </w:tr>
      <w:tr w:rsidR="00CA2F73" w:rsidRPr="00E8518E" w14:paraId="615FBC35" w14:textId="77777777" w:rsidTr="00726785">
        <w:trPr>
          <w:trHeight w:val="402"/>
        </w:trPr>
        <w:tc>
          <w:tcPr>
            <w:tcW w:w="2806" w:type="pct"/>
            <w:tcBorders>
              <w:top w:val="single" w:sz="8" w:space="0" w:color="7F7F7F" w:themeColor="text1" w:themeTint="80"/>
              <w:bottom w:val="single" w:sz="8" w:space="0" w:color="7F7F7F" w:themeColor="text1" w:themeTint="80"/>
            </w:tcBorders>
            <w:shd w:val="clear" w:color="auto" w:fill="auto"/>
          </w:tcPr>
          <w:p w14:paraId="0DDF0DEE" w14:textId="77777777" w:rsidR="00CA2F73" w:rsidRPr="00A426B0" w:rsidRDefault="00CA2F73" w:rsidP="00726785">
            <w:pPr>
              <w:spacing w:before="81"/>
              <w:rPr>
                <w:rFonts w:eastAsia="Times New Roman" w:cs="Times New Roman"/>
                <w:b/>
                <w:szCs w:val="24"/>
                <w:lang w:eastAsia="cs-CZ"/>
              </w:rPr>
            </w:pPr>
            <w:r w:rsidRPr="00A426B0">
              <w:rPr>
                <w:rFonts w:eastAsia="Times New Roman" w:cs="Times New Roman"/>
                <w:b/>
                <w:szCs w:val="24"/>
                <w:lang w:eastAsia="cs-CZ"/>
              </w:rPr>
              <w:t>Celkem</w:t>
            </w:r>
          </w:p>
        </w:tc>
        <w:tc>
          <w:tcPr>
            <w:tcW w:w="766" w:type="pct"/>
            <w:tcBorders>
              <w:top w:val="single" w:sz="8" w:space="0" w:color="7F7F7F" w:themeColor="text1" w:themeTint="80"/>
              <w:bottom w:val="single" w:sz="8" w:space="0" w:color="7F7F7F" w:themeColor="text1" w:themeTint="80"/>
            </w:tcBorders>
            <w:shd w:val="clear" w:color="auto" w:fill="auto"/>
          </w:tcPr>
          <w:p w14:paraId="4126161D" w14:textId="77777777" w:rsidR="00CA2F73" w:rsidRPr="00E8518E" w:rsidRDefault="00CA2F73" w:rsidP="00726785">
            <w:pPr>
              <w:spacing w:before="81"/>
              <w:jc w:val="right"/>
              <w:rPr>
                <w:rFonts w:eastAsia="Times New Roman" w:cs="Times New Roman"/>
                <w:b/>
                <w:color w:val="FF0000"/>
                <w:szCs w:val="24"/>
                <w:lang w:eastAsia="cs-CZ"/>
              </w:rPr>
            </w:pPr>
            <w:r w:rsidRPr="00A426B0">
              <w:rPr>
                <w:rFonts w:eastAsia="Times New Roman" w:cs="Times New Roman"/>
                <w:b/>
                <w:szCs w:val="24"/>
                <w:lang w:eastAsia="cs-CZ"/>
              </w:rPr>
              <w:t>15 556 068</w:t>
            </w:r>
          </w:p>
        </w:tc>
        <w:tc>
          <w:tcPr>
            <w:tcW w:w="648" w:type="pct"/>
            <w:tcBorders>
              <w:top w:val="single" w:sz="8" w:space="0" w:color="7F7F7F" w:themeColor="text1" w:themeTint="80"/>
              <w:bottom w:val="single" w:sz="8" w:space="0" w:color="7F7F7F" w:themeColor="text1" w:themeTint="80"/>
            </w:tcBorders>
            <w:shd w:val="clear" w:color="auto" w:fill="auto"/>
          </w:tcPr>
          <w:p w14:paraId="6D2B2848" w14:textId="77777777" w:rsidR="00CA2F73" w:rsidRPr="00390837" w:rsidRDefault="00CA2F73" w:rsidP="00726785">
            <w:pPr>
              <w:spacing w:before="81"/>
              <w:jc w:val="right"/>
              <w:rPr>
                <w:rFonts w:eastAsia="Times New Roman" w:cs="Times New Roman"/>
                <w:b/>
                <w:szCs w:val="24"/>
                <w:lang w:eastAsia="cs-CZ"/>
              </w:rPr>
            </w:pPr>
            <w:r w:rsidRPr="00390837">
              <w:rPr>
                <w:rFonts w:eastAsia="Times New Roman" w:cs="Times New Roman"/>
                <w:b/>
                <w:szCs w:val="24"/>
                <w:lang w:eastAsia="cs-CZ"/>
              </w:rPr>
              <w:t>10 161</w:t>
            </w:r>
          </w:p>
        </w:tc>
        <w:tc>
          <w:tcPr>
            <w:tcW w:w="780" w:type="pct"/>
            <w:tcBorders>
              <w:top w:val="single" w:sz="8" w:space="0" w:color="7F7F7F" w:themeColor="text1" w:themeTint="80"/>
              <w:bottom w:val="single" w:sz="8" w:space="0" w:color="7F7F7F" w:themeColor="text1" w:themeTint="80"/>
            </w:tcBorders>
            <w:shd w:val="clear" w:color="auto" w:fill="auto"/>
          </w:tcPr>
          <w:p w14:paraId="2BB53284" w14:textId="77777777" w:rsidR="00CA2F73" w:rsidRPr="00390837" w:rsidRDefault="00CA2F73" w:rsidP="00726785">
            <w:pPr>
              <w:spacing w:before="81"/>
              <w:jc w:val="right"/>
              <w:rPr>
                <w:rFonts w:eastAsia="Times New Roman" w:cs="Times New Roman"/>
                <w:b/>
                <w:szCs w:val="24"/>
                <w:lang w:eastAsia="cs-CZ"/>
              </w:rPr>
            </w:pPr>
            <w:r w:rsidRPr="00390837">
              <w:rPr>
                <w:rFonts w:eastAsia="Times New Roman" w:cs="Times New Roman"/>
                <w:b/>
                <w:szCs w:val="24"/>
                <w:lang w:eastAsia="cs-CZ"/>
              </w:rPr>
              <w:t>15 566 229</w:t>
            </w:r>
          </w:p>
        </w:tc>
      </w:tr>
    </w:tbl>
    <w:p w14:paraId="30C41752" w14:textId="77777777" w:rsidR="00CA2F73" w:rsidRPr="001E1104" w:rsidRDefault="00CA2F73" w:rsidP="00CA2F73">
      <w:pPr>
        <w:pStyle w:val="Nadpis3"/>
      </w:pPr>
      <w:bookmarkStart w:id="280" w:name="_Toc115788001"/>
      <w:r w:rsidRPr="001E1104">
        <w:t>Komunitární programy – programové období 2021 – 2027</w:t>
      </w:r>
      <w:bookmarkEnd w:id="280"/>
    </w:p>
    <w:p w14:paraId="6DBF6500" w14:textId="20693F2D" w:rsidR="00CA2F73" w:rsidRPr="001E1104" w:rsidRDefault="00CA2F73" w:rsidP="00CA2F73">
      <w:pPr>
        <w:pStyle w:val="Titulek"/>
        <w:rPr>
          <w:noProof/>
        </w:rPr>
      </w:pPr>
      <w:r w:rsidRPr="001E1104">
        <w:t xml:space="preserve">Tabulka č. </w:t>
      </w:r>
      <w:r w:rsidRPr="001E1104">
        <w:rPr>
          <w:noProof/>
        </w:rPr>
        <w:fldChar w:fldCharType="begin"/>
      </w:r>
      <w:r w:rsidRPr="001E1104">
        <w:rPr>
          <w:noProof/>
        </w:rPr>
        <w:instrText xml:space="preserve"> SEQ Tabulka \* ARABIC </w:instrText>
      </w:r>
      <w:r w:rsidRPr="001E1104">
        <w:rPr>
          <w:noProof/>
        </w:rPr>
        <w:fldChar w:fldCharType="separate"/>
      </w:r>
      <w:r w:rsidR="00F80947">
        <w:rPr>
          <w:noProof/>
        </w:rPr>
        <w:t>47</w:t>
      </w:r>
      <w:r w:rsidRPr="001E1104">
        <w:rPr>
          <w:noProof/>
        </w:rPr>
        <w:fldChar w:fldCharType="end"/>
      </w:r>
      <w:r w:rsidR="00C625C2">
        <w:rPr>
          <w:noProof/>
        </w:rPr>
        <w:t>5</w:t>
      </w:r>
      <w:r w:rsidRPr="001E1104">
        <w:rPr>
          <w:noProof/>
        </w:rPr>
        <w:t xml:space="preserve"> Členění komunitárních programů 2021+ (v tis. Kč)</w:t>
      </w:r>
    </w:p>
    <w:tbl>
      <w:tblPr>
        <w:tblW w:w="4983"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ook w:val="00A0" w:firstRow="1" w:lastRow="0" w:firstColumn="1" w:lastColumn="0" w:noHBand="0" w:noVBand="0"/>
      </w:tblPr>
      <w:tblGrid>
        <w:gridCol w:w="4511"/>
        <w:gridCol w:w="1658"/>
        <w:gridCol w:w="1393"/>
        <w:gridCol w:w="1458"/>
      </w:tblGrid>
      <w:tr w:rsidR="00CA2F73" w:rsidRPr="00E8518E" w14:paraId="52730A0D" w14:textId="77777777" w:rsidTr="00726785">
        <w:trPr>
          <w:trHeight w:val="560"/>
          <w:tblHeader/>
          <w:jc w:val="center"/>
        </w:trPr>
        <w:tc>
          <w:tcPr>
            <w:tcW w:w="2501"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92A463" w14:textId="77777777" w:rsidR="00CA2F73" w:rsidRPr="00C67D5C" w:rsidRDefault="00CA2F73" w:rsidP="00726785">
            <w:pPr>
              <w:rPr>
                <w:rFonts w:eastAsia="Times New Roman" w:cs="Times New Roman"/>
                <w:b/>
                <w:lang w:eastAsia="cs-CZ"/>
              </w:rPr>
            </w:pPr>
            <w:r w:rsidRPr="00C67D5C">
              <w:rPr>
                <w:rFonts w:eastAsia="Times New Roman" w:cs="Times New Roman"/>
                <w:b/>
                <w:lang w:eastAsia="cs-CZ"/>
              </w:rPr>
              <w:t>Název programu (projektu)</w:t>
            </w:r>
          </w:p>
        </w:tc>
        <w:tc>
          <w:tcPr>
            <w:tcW w:w="91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EB95FAE" w14:textId="77777777" w:rsidR="00CA2F73" w:rsidRPr="00C67D5C" w:rsidRDefault="00CA2F73" w:rsidP="00726785">
            <w:pPr>
              <w:jc w:val="center"/>
              <w:rPr>
                <w:rFonts w:eastAsia="Times New Roman" w:cs="Times New Roman"/>
                <w:b/>
                <w:lang w:eastAsia="cs-CZ"/>
              </w:rPr>
            </w:pPr>
            <w:r w:rsidRPr="00C67D5C">
              <w:rPr>
                <w:rFonts w:eastAsia="Times New Roman" w:cs="Times New Roman"/>
                <w:b/>
                <w:lang w:eastAsia="cs-CZ"/>
              </w:rPr>
              <w:t>EU</w:t>
            </w:r>
          </w:p>
        </w:tc>
        <w:tc>
          <w:tcPr>
            <w:tcW w:w="77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8985767" w14:textId="77777777" w:rsidR="00CA2F73" w:rsidRPr="00C67D5C" w:rsidRDefault="00CA2F73" w:rsidP="00726785">
            <w:pPr>
              <w:jc w:val="center"/>
              <w:rPr>
                <w:rFonts w:eastAsia="Times New Roman" w:cs="Times New Roman"/>
                <w:b/>
                <w:lang w:eastAsia="cs-CZ"/>
              </w:rPr>
            </w:pPr>
            <w:r w:rsidRPr="00C67D5C">
              <w:rPr>
                <w:rFonts w:eastAsia="Times New Roman" w:cs="Times New Roman"/>
                <w:b/>
                <w:lang w:eastAsia="cs-CZ"/>
              </w:rPr>
              <w:t>SR</w:t>
            </w:r>
          </w:p>
        </w:tc>
        <w:tc>
          <w:tcPr>
            <w:tcW w:w="80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75DBEF2" w14:textId="77777777" w:rsidR="00CA2F73" w:rsidRPr="00C67D5C" w:rsidRDefault="00CA2F73" w:rsidP="00726785">
            <w:pPr>
              <w:jc w:val="center"/>
              <w:rPr>
                <w:rFonts w:eastAsia="Times New Roman" w:cs="Times New Roman"/>
                <w:b/>
                <w:lang w:eastAsia="cs-CZ"/>
              </w:rPr>
            </w:pPr>
            <w:r w:rsidRPr="00C67D5C">
              <w:rPr>
                <w:rFonts w:eastAsia="Times New Roman" w:cs="Times New Roman"/>
                <w:b/>
                <w:lang w:eastAsia="cs-CZ"/>
              </w:rPr>
              <w:t>Celkem</w:t>
            </w:r>
          </w:p>
        </w:tc>
      </w:tr>
      <w:tr w:rsidR="00CA2F73" w:rsidRPr="00E8518E" w14:paraId="0D6025C6" w14:textId="77777777" w:rsidTr="00726785">
        <w:trPr>
          <w:tblHeader/>
          <w:jc w:val="center"/>
        </w:trPr>
        <w:tc>
          <w:tcPr>
            <w:tcW w:w="2501" w:type="pct"/>
            <w:tcBorders>
              <w:top w:val="single" w:sz="4" w:space="0" w:color="7F7F7F" w:themeColor="text1" w:themeTint="80"/>
            </w:tcBorders>
            <w:shd w:val="clear" w:color="auto" w:fill="auto"/>
          </w:tcPr>
          <w:p w14:paraId="22558125" w14:textId="77777777" w:rsidR="00CA2F73" w:rsidRPr="00E8518E" w:rsidRDefault="00CA2F73" w:rsidP="00726785">
            <w:pPr>
              <w:spacing w:before="27" w:after="27"/>
              <w:rPr>
                <w:rFonts w:eastAsia="Times New Roman" w:cs="Times New Roman"/>
                <w:color w:val="FF0000"/>
                <w:lang w:eastAsia="cs-CZ"/>
              </w:rPr>
            </w:pPr>
            <w:r w:rsidRPr="00C67D5C">
              <w:rPr>
                <w:rFonts w:eastAsia="Times New Roman" w:cs="Times New Roman"/>
                <w:b/>
                <w:lang w:eastAsia="cs-CZ"/>
              </w:rPr>
              <w:t xml:space="preserve">Nástroj pro propojení Evropy 2021+ </w:t>
            </w:r>
            <w:r w:rsidRPr="00C67D5C">
              <w:rPr>
                <w:rFonts w:eastAsia="Times New Roman" w:cs="Times New Roman"/>
                <w:lang w:eastAsia="cs-CZ"/>
              </w:rPr>
              <w:t>v tom:</w:t>
            </w:r>
          </w:p>
        </w:tc>
        <w:tc>
          <w:tcPr>
            <w:tcW w:w="919" w:type="pct"/>
            <w:tcBorders>
              <w:top w:val="single" w:sz="4" w:space="0" w:color="7F7F7F" w:themeColor="text1" w:themeTint="80"/>
            </w:tcBorders>
            <w:shd w:val="clear" w:color="auto" w:fill="auto"/>
            <w:vAlign w:val="center"/>
          </w:tcPr>
          <w:p w14:paraId="45483BE9" w14:textId="77777777" w:rsidR="00CA2F73" w:rsidRPr="00C67D5C" w:rsidRDefault="00CA2F73" w:rsidP="00726785">
            <w:pPr>
              <w:spacing w:before="27" w:after="27"/>
              <w:jc w:val="right"/>
              <w:rPr>
                <w:rFonts w:eastAsia="Times New Roman" w:cs="Times New Roman"/>
                <w:b/>
                <w:lang w:eastAsia="cs-CZ"/>
              </w:rPr>
            </w:pPr>
            <w:r w:rsidRPr="00C67D5C">
              <w:rPr>
                <w:rFonts w:eastAsia="Times New Roman" w:cs="Times New Roman"/>
                <w:b/>
                <w:lang w:eastAsia="cs-CZ"/>
              </w:rPr>
              <w:t>5 11</w:t>
            </w:r>
            <w:r>
              <w:rPr>
                <w:rFonts w:eastAsia="Times New Roman" w:cs="Times New Roman"/>
                <w:b/>
                <w:lang w:eastAsia="cs-CZ"/>
              </w:rPr>
              <w:t>9</w:t>
            </w:r>
            <w:r w:rsidRPr="00C67D5C">
              <w:rPr>
                <w:rFonts w:eastAsia="Times New Roman" w:cs="Times New Roman"/>
                <w:b/>
                <w:lang w:eastAsia="cs-CZ"/>
              </w:rPr>
              <w:t xml:space="preserve"> 818</w:t>
            </w:r>
          </w:p>
        </w:tc>
        <w:tc>
          <w:tcPr>
            <w:tcW w:w="772" w:type="pct"/>
            <w:tcBorders>
              <w:top w:val="single" w:sz="4" w:space="0" w:color="7F7F7F" w:themeColor="text1" w:themeTint="80"/>
            </w:tcBorders>
            <w:shd w:val="clear" w:color="auto" w:fill="auto"/>
            <w:vAlign w:val="center"/>
          </w:tcPr>
          <w:p w14:paraId="7F2F40D1" w14:textId="77777777" w:rsidR="00CA2F73" w:rsidRPr="00C67D5C" w:rsidRDefault="00CA2F73" w:rsidP="00726785">
            <w:pPr>
              <w:spacing w:before="27" w:after="27"/>
              <w:jc w:val="right"/>
              <w:rPr>
                <w:rFonts w:eastAsia="Times New Roman" w:cs="Times New Roman"/>
                <w:b/>
                <w:lang w:eastAsia="cs-CZ"/>
              </w:rPr>
            </w:pPr>
            <w:r w:rsidRPr="00C67D5C">
              <w:rPr>
                <w:rFonts w:eastAsia="Times New Roman" w:cs="Times New Roman"/>
                <w:b/>
                <w:lang w:eastAsia="cs-CZ"/>
              </w:rPr>
              <w:t>1 319</w:t>
            </w:r>
          </w:p>
        </w:tc>
        <w:tc>
          <w:tcPr>
            <w:tcW w:w="808" w:type="pct"/>
            <w:tcBorders>
              <w:top w:val="single" w:sz="4" w:space="0" w:color="7F7F7F" w:themeColor="text1" w:themeTint="80"/>
            </w:tcBorders>
            <w:shd w:val="clear" w:color="auto" w:fill="auto"/>
            <w:vAlign w:val="center"/>
          </w:tcPr>
          <w:p w14:paraId="52D696B3" w14:textId="77777777" w:rsidR="00CA2F73" w:rsidRPr="00C67D5C" w:rsidRDefault="00CA2F73" w:rsidP="00726785">
            <w:pPr>
              <w:spacing w:before="27" w:after="27"/>
              <w:jc w:val="right"/>
              <w:rPr>
                <w:rFonts w:eastAsia="Times New Roman" w:cs="Times New Roman"/>
                <w:b/>
                <w:lang w:eastAsia="cs-CZ"/>
              </w:rPr>
            </w:pPr>
            <w:r w:rsidRPr="00C67D5C">
              <w:rPr>
                <w:rFonts w:eastAsia="Times New Roman" w:cs="Times New Roman"/>
                <w:b/>
                <w:lang w:eastAsia="cs-CZ"/>
              </w:rPr>
              <w:t>5 </w:t>
            </w:r>
            <w:r>
              <w:rPr>
                <w:rFonts w:eastAsia="Times New Roman" w:cs="Times New Roman"/>
                <w:b/>
                <w:lang w:eastAsia="cs-CZ"/>
              </w:rPr>
              <w:t>121</w:t>
            </w:r>
            <w:r w:rsidRPr="00C67D5C">
              <w:rPr>
                <w:rFonts w:eastAsia="Times New Roman" w:cs="Times New Roman"/>
                <w:b/>
                <w:lang w:eastAsia="cs-CZ"/>
              </w:rPr>
              <w:t xml:space="preserve"> 137</w:t>
            </w:r>
          </w:p>
        </w:tc>
      </w:tr>
      <w:tr w:rsidR="00CA2F73" w:rsidRPr="00E8518E" w14:paraId="2498E6E4" w14:textId="77777777" w:rsidTr="00726785">
        <w:trPr>
          <w:tblHeader/>
          <w:jc w:val="center"/>
        </w:trPr>
        <w:tc>
          <w:tcPr>
            <w:tcW w:w="2501" w:type="pct"/>
            <w:tcBorders>
              <w:top w:val="single" w:sz="4" w:space="0" w:color="7F7F7F" w:themeColor="text1" w:themeTint="80"/>
            </w:tcBorders>
            <w:shd w:val="clear" w:color="auto" w:fill="auto"/>
          </w:tcPr>
          <w:p w14:paraId="3C95E11D" w14:textId="77777777" w:rsidR="00CA2F73" w:rsidRPr="00C67D5C" w:rsidRDefault="00CA2F73" w:rsidP="00726785">
            <w:pPr>
              <w:spacing w:before="27" w:after="27"/>
              <w:rPr>
                <w:rFonts w:eastAsia="Times New Roman" w:cs="Times New Roman"/>
                <w:lang w:eastAsia="cs-CZ"/>
              </w:rPr>
            </w:pPr>
            <w:r w:rsidRPr="00C67D5C">
              <w:rPr>
                <w:rFonts w:eastAsia="Times New Roman" w:cs="Times New Roman"/>
                <w:lang w:eastAsia="cs-CZ"/>
              </w:rPr>
              <w:t>CEF 2021+ (SFDI)</w:t>
            </w:r>
          </w:p>
        </w:tc>
        <w:tc>
          <w:tcPr>
            <w:tcW w:w="919" w:type="pct"/>
            <w:tcBorders>
              <w:top w:val="single" w:sz="4" w:space="0" w:color="7F7F7F" w:themeColor="text1" w:themeTint="80"/>
            </w:tcBorders>
            <w:shd w:val="clear" w:color="auto" w:fill="auto"/>
            <w:vAlign w:val="center"/>
          </w:tcPr>
          <w:p w14:paraId="5CE9FA9D" w14:textId="77777777" w:rsidR="00CA2F73" w:rsidRPr="00C67D5C" w:rsidRDefault="00CA2F73" w:rsidP="00726785">
            <w:pPr>
              <w:spacing w:before="27" w:after="27"/>
              <w:jc w:val="right"/>
              <w:rPr>
                <w:rFonts w:eastAsia="Times New Roman" w:cs="Times New Roman"/>
                <w:lang w:eastAsia="cs-CZ"/>
              </w:rPr>
            </w:pPr>
            <w:r w:rsidRPr="00C67D5C">
              <w:rPr>
                <w:rFonts w:eastAsia="Times New Roman" w:cs="Times New Roman"/>
                <w:lang w:eastAsia="cs-CZ"/>
              </w:rPr>
              <w:t>5 101 746</w:t>
            </w:r>
          </w:p>
        </w:tc>
        <w:tc>
          <w:tcPr>
            <w:tcW w:w="772" w:type="pct"/>
            <w:tcBorders>
              <w:top w:val="single" w:sz="4" w:space="0" w:color="7F7F7F" w:themeColor="text1" w:themeTint="80"/>
            </w:tcBorders>
            <w:shd w:val="clear" w:color="auto" w:fill="auto"/>
            <w:vAlign w:val="center"/>
          </w:tcPr>
          <w:p w14:paraId="17403427" w14:textId="77777777" w:rsidR="00CA2F73" w:rsidRPr="00C67D5C" w:rsidRDefault="00CA2F73" w:rsidP="00726785">
            <w:pPr>
              <w:spacing w:before="27" w:after="27"/>
              <w:jc w:val="right"/>
              <w:rPr>
                <w:rFonts w:eastAsia="Times New Roman" w:cs="Times New Roman"/>
                <w:lang w:eastAsia="cs-CZ"/>
              </w:rPr>
            </w:pPr>
            <w:r w:rsidRPr="00C67D5C">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14:paraId="151D6ADA" w14:textId="77777777" w:rsidR="00CA2F73" w:rsidRPr="00C67D5C" w:rsidRDefault="00CA2F73" w:rsidP="00726785">
            <w:pPr>
              <w:spacing w:before="27" w:after="27"/>
              <w:jc w:val="right"/>
              <w:rPr>
                <w:rFonts w:eastAsia="Times New Roman" w:cs="Times New Roman"/>
                <w:lang w:eastAsia="cs-CZ"/>
              </w:rPr>
            </w:pPr>
            <w:r w:rsidRPr="00C67D5C">
              <w:rPr>
                <w:rFonts w:eastAsia="Times New Roman" w:cs="Times New Roman"/>
                <w:lang w:eastAsia="cs-CZ"/>
              </w:rPr>
              <w:t>5 101 746</w:t>
            </w:r>
          </w:p>
        </w:tc>
      </w:tr>
      <w:tr w:rsidR="00CA2F73" w:rsidRPr="00E8518E" w14:paraId="5DF1F579" w14:textId="77777777" w:rsidTr="00726785">
        <w:trPr>
          <w:tblHeader/>
          <w:jc w:val="center"/>
        </w:trPr>
        <w:tc>
          <w:tcPr>
            <w:tcW w:w="2501" w:type="pct"/>
            <w:tcBorders>
              <w:top w:val="single" w:sz="4" w:space="0" w:color="7F7F7F" w:themeColor="text1" w:themeTint="80"/>
            </w:tcBorders>
            <w:shd w:val="clear" w:color="auto" w:fill="auto"/>
          </w:tcPr>
          <w:p w14:paraId="18DE8D6D" w14:textId="77777777" w:rsidR="00CA2F73" w:rsidRPr="00C67D5C" w:rsidRDefault="00CA2F73" w:rsidP="00726785">
            <w:pPr>
              <w:spacing w:before="27" w:after="27"/>
              <w:rPr>
                <w:rFonts w:eastAsia="Times New Roman" w:cs="Times New Roman"/>
                <w:lang w:eastAsia="cs-CZ"/>
              </w:rPr>
            </w:pPr>
            <w:r w:rsidRPr="00C67D5C">
              <w:rPr>
                <w:rFonts w:eastAsia="Times New Roman" w:cs="Times New Roman"/>
                <w:lang w:eastAsia="cs-CZ"/>
              </w:rPr>
              <w:t>CEF - Technická pomoc (ÚO MD)</w:t>
            </w:r>
          </w:p>
        </w:tc>
        <w:tc>
          <w:tcPr>
            <w:tcW w:w="919" w:type="pct"/>
            <w:tcBorders>
              <w:top w:val="single" w:sz="4" w:space="0" w:color="7F7F7F" w:themeColor="text1" w:themeTint="80"/>
            </w:tcBorders>
            <w:shd w:val="clear" w:color="auto" w:fill="auto"/>
            <w:vAlign w:val="center"/>
          </w:tcPr>
          <w:p w14:paraId="2CE444D9" w14:textId="77777777" w:rsidR="00CA2F73" w:rsidRPr="00C67D5C" w:rsidRDefault="00CA2F73" w:rsidP="00726785">
            <w:pPr>
              <w:spacing w:before="27" w:after="27"/>
              <w:jc w:val="right"/>
              <w:rPr>
                <w:rFonts w:eastAsia="Times New Roman" w:cs="Times New Roman"/>
                <w:lang w:eastAsia="cs-CZ"/>
              </w:rPr>
            </w:pPr>
            <w:r>
              <w:rPr>
                <w:rFonts w:eastAsia="Times New Roman" w:cs="Times New Roman"/>
                <w:lang w:eastAsia="cs-CZ"/>
              </w:rPr>
              <w:t>16</w:t>
            </w:r>
            <w:r w:rsidRPr="00C67D5C">
              <w:rPr>
                <w:rFonts w:eastAsia="Times New Roman" w:cs="Times New Roman"/>
                <w:lang w:eastAsia="cs-CZ"/>
              </w:rPr>
              <w:t xml:space="preserve"> 753</w:t>
            </w:r>
          </w:p>
        </w:tc>
        <w:tc>
          <w:tcPr>
            <w:tcW w:w="772" w:type="pct"/>
            <w:tcBorders>
              <w:top w:val="single" w:sz="4" w:space="0" w:color="7F7F7F" w:themeColor="text1" w:themeTint="80"/>
            </w:tcBorders>
            <w:shd w:val="clear" w:color="auto" w:fill="auto"/>
            <w:vAlign w:val="center"/>
          </w:tcPr>
          <w:p w14:paraId="4C31FFCA" w14:textId="77777777" w:rsidR="00CA2F73" w:rsidRPr="00C67D5C" w:rsidRDefault="00CA2F73" w:rsidP="00726785">
            <w:pPr>
              <w:spacing w:before="27" w:after="27"/>
              <w:jc w:val="right"/>
              <w:rPr>
                <w:rFonts w:eastAsia="Times New Roman" w:cs="Times New Roman"/>
                <w:lang w:eastAsia="cs-CZ"/>
              </w:rPr>
            </w:pPr>
            <w:r w:rsidRPr="00C67D5C">
              <w:rPr>
                <w:rFonts w:eastAsia="Times New Roman" w:cs="Times New Roman"/>
                <w:lang w:eastAsia="cs-CZ"/>
              </w:rPr>
              <w:t>0</w:t>
            </w:r>
          </w:p>
        </w:tc>
        <w:tc>
          <w:tcPr>
            <w:tcW w:w="808" w:type="pct"/>
            <w:tcBorders>
              <w:top w:val="single" w:sz="4" w:space="0" w:color="7F7F7F" w:themeColor="text1" w:themeTint="80"/>
            </w:tcBorders>
            <w:shd w:val="clear" w:color="auto" w:fill="auto"/>
            <w:vAlign w:val="center"/>
          </w:tcPr>
          <w:p w14:paraId="352EC2BF" w14:textId="77777777" w:rsidR="00CA2F73" w:rsidRPr="00C67D5C" w:rsidRDefault="00CA2F73" w:rsidP="00726785">
            <w:pPr>
              <w:spacing w:before="27" w:after="27"/>
              <w:jc w:val="right"/>
              <w:rPr>
                <w:rFonts w:eastAsia="Times New Roman" w:cs="Times New Roman"/>
                <w:lang w:eastAsia="cs-CZ"/>
              </w:rPr>
            </w:pPr>
            <w:r>
              <w:rPr>
                <w:rFonts w:eastAsia="Times New Roman" w:cs="Times New Roman"/>
                <w:lang w:eastAsia="cs-CZ"/>
              </w:rPr>
              <w:t>16</w:t>
            </w:r>
            <w:r w:rsidRPr="00C67D5C">
              <w:rPr>
                <w:rFonts w:eastAsia="Times New Roman" w:cs="Times New Roman"/>
                <w:lang w:eastAsia="cs-CZ"/>
              </w:rPr>
              <w:t xml:space="preserve"> 753</w:t>
            </w:r>
          </w:p>
        </w:tc>
      </w:tr>
      <w:tr w:rsidR="00CA2F73" w:rsidRPr="00E8518E" w14:paraId="0C6090E6" w14:textId="77777777" w:rsidTr="00726785">
        <w:trPr>
          <w:tblHeader/>
          <w:jc w:val="center"/>
        </w:trPr>
        <w:tc>
          <w:tcPr>
            <w:tcW w:w="2501" w:type="pct"/>
            <w:tcBorders>
              <w:top w:val="single" w:sz="4" w:space="0" w:color="7F7F7F" w:themeColor="text1" w:themeTint="80"/>
            </w:tcBorders>
            <w:shd w:val="clear" w:color="auto" w:fill="auto"/>
          </w:tcPr>
          <w:p w14:paraId="266305DD" w14:textId="77777777" w:rsidR="00CA2F73" w:rsidRPr="00C67D5C" w:rsidRDefault="00CA2F73" w:rsidP="00726785">
            <w:pPr>
              <w:spacing w:before="27" w:after="27"/>
              <w:rPr>
                <w:rFonts w:eastAsia="Times New Roman" w:cs="Times New Roman"/>
                <w:lang w:eastAsia="cs-CZ"/>
              </w:rPr>
            </w:pPr>
            <w:r w:rsidRPr="00C67D5C">
              <w:rPr>
                <w:rFonts w:eastAsia="Times New Roman" w:cs="Times New Roman"/>
                <w:lang w:eastAsia="cs-CZ"/>
              </w:rPr>
              <w:t>X4ITS</w:t>
            </w:r>
            <w:r>
              <w:rPr>
                <w:rFonts w:eastAsia="Times New Roman" w:cs="Times New Roman"/>
                <w:lang w:eastAsia="cs-CZ"/>
              </w:rPr>
              <w:t xml:space="preserve"> (ÚO MD)</w:t>
            </w:r>
          </w:p>
        </w:tc>
        <w:tc>
          <w:tcPr>
            <w:tcW w:w="919" w:type="pct"/>
            <w:tcBorders>
              <w:top w:val="single" w:sz="4" w:space="0" w:color="7F7F7F" w:themeColor="text1" w:themeTint="80"/>
            </w:tcBorders>
            <w:shd w:val="clear" w:color="auto" w:fill="auto"/>
            <w:vAlign w:val="center"/>
          </w:tcPr>
          <w:p w14:paraId="3FE4C022" w14:textId="77777777" w:rsidR="00CA2F73" w:rsidRPr="00C67D5C" w:rsidRDefault="00CA2F73" w:rsidP="00726785">
            <w:pPr>
              <w:spacing w:before="27" w:after="27"/>
              <w:jc w:val="right"/>
              <w:rPr>
                <w:rFonts w:eastAsia="Times New Roman" w:cs="Times New Roman"/>
                <w:lang w:eastAsia="cs-CZ"/>
              </w:rPr>
            </w:pPr>
            <w:r w:rsidRPr="00C67D5C">
              <w:rPr>
                <w:rFonts w:eastAsia="Times New Roman" w:cs="Times New Roman"/>
                <w:lang w:eastAsia="cs-CZ"/>
              </w:rPr>
              <w:t>1 319</w:t>
            </w:r>
          </w:p>
        </w:tc>
        <w:tc>
          <w:tcPr>
            <w:tcW w:w="772" w:type="pct"/>
            <w:tcBorders>
              <w:top w:val="single" w:sz="4" w:space="0" w:color="7F7F7F" w:themeColor="text1" w:themeTint="80"/>
            </w:tcBorders>
            <w:shd w:val="clear" w:color="auto" w:fill="auto"/>
            <w:vAlign w:val="center"/>
          </w:tcPr>
          <w:p w14:paraId="45ABB1D1" w14:textId="77777777" w:rsidR="00CA2F73" w:rsidRPr="00C67D5C" w:rsidRDefault="00CA2F73" w:rsidP="00726785">
            <w:pPr>
              <w:spacing w:before="27" w:after="27"/>
              <w:jc w:val="right"/>
              <w:rPr>
                <w:rFonts w:eastAsia="Times New Roman" w:cs="Times New Roman"/>
                <w:lang w:eastAsia="cs-CZ"/>
              </w:rPr>
            </w:pPr>
            <w:r w:rsidRPr="00C67D5C">
              <w:rPr>
                <w:rFonts w:eastAsia="Times New Roman" w:cs="Times New Roman"/>
                <w:lang w:eastAsia="cs-CZ"/>
              </w:rPr>
              <w:t>1 319</w:t>
            </w:r>
          </w:p>
        </w:tc>
        <w:tc>
          <w:tcPr>
            <w:tcW w:w="808" w:type="pct"/>
            <w:tcBorders>
              <w:top w:val="single" w:sz="4" w:space="0" w:color="7F7F7F" w:themeColor="text1" w:themeTint="80"/>
            </w:tcBorders>
            <w:shd w:val="clear" w:color="auto" w:fill="auto"/>
            <w:vAlign w:val="center"/>
          </w:tcPr>
          <w:p w14:paraId="66D1741E" w14:textId="77777777" w:rsidR="00CA2F73" w:rsidRPr="00C67D5C" w:rsidRDefault="00CA2F73" w:rsidP="00726785">
            <w:pPr>
              <w:spacing w:before="27" w:after="27"/>
              <w:jc w:val="right"/>
              <w:rPr>
                <w:rFonts w:eastAsia="Times New Roman" w:cs="Times New Roman"/>
                <w:lang w:eastAsia="cs-CZ"/>
              </w:rPr>
            </w:pPr>
            <w:r w:rsidRPr="00C67D5C">
              <w:rPr>
                <w:rFonts w:eastAsia="Times New Roman" w:cs="Times New Roman"/>
                <w:lang w:eastAsia="cs-CZ"/>
              </w:rPr>
              <w:t>2 638</w:t>
            </w:r>
          </w:p>
        </w:tc>
      </w:tr>
      <w:tr w:rsidR="00CA2F73" w:rsidRPr="00E8518E" w14:paraId="63C43D76" w14:textId="77777777" w:rsidTr="00726785">
        <w:trPr>
          <w:trHeight w:val="283"/>
          <w:tblHeader/>
          <w:jc w:val="center"/>
        </w:trPr>
        <w:tc>
          <w:tcPr>
            <w:tcW w:w="2501" w:type="pct"/>
            <w:tcBorders>
              <w:bottom w:val="nil"/>
            </w:tcBorders>
            <w:shd w:val="clear" w:color="auto" w:fill="auto"/>
          </w:tcPr>
          <w:p w14:paraId="6FA36D8A" w14:textId="6F0DF756" w:rsidR="00CA2F73" w:rsidRPr="00C67D5C" w:rsidRDefault="00CA2F73" w:rsidP="00E87263">
            <w:pPr>
              <w:spacing w:before="40" w:after="40"/>
              <w:rPr>
                <w:rFonts w:eastAsia="Times New Roman" w:cs="Times New Roman"/>
                <w:b/>
                <w:lang w:eastAsia="cs-CZ"/>
              </w:rPr>
            </w:pPr>
            <w:r w:rsidRPr="00C67D5C">
              <w:rPr>
                <w:rFonts w:eastAsia="Times New Roman" w:cs="Times New Roman"/>
                <w:b/>
                <w:lang w:eastAsia="cs-CZ"/>
              </w:rPr>
              <w:t>Horizont E</w:t>
            </w:r>
            <w:r w:rsidR="00E87263">
              <w:rPr>
                <w:rFonts w:eastAsia="Times New Roman" w:cs="Times New Roman"/>
                <w:b/>
                <w:lang w:eastAsia="cs-CZ"/>
              </w:rPr>
              <w:t>vropa</w:t>
            </w:r>
            <w:r>
              <w:rPr>
                <w:rFonts w:eastAsia="Times New Roman" w:cs="Times New Roman"/>
                <w:b/>
                <w:lang w:eastAsia="cs-CZ"/>
              </w:rPr>
              <w:t xml:space="preserve"> - FAME</w:t>
            </w:r>
            <w:r w:rsidRPr="00C67D5C">
              <w:rPr>
                <w:rFonts w:eastAsia="Times New Roman" w:cs="Times New Roman"/>
                <w:b/>
                <w:lang w:eastAsia="cs-CZ"/>
              </w:rPr>
              <w:t xml:space="preserve"> (ÚO MD)</w:t>
            </w:r>
          </w:p>
        </w:tc>
        <w:tc>
          <w:tcPr>
            <w:tcW w:w="919" w:type="pct"/>
            <w:tcBorders>
              <w:bottom w:val="nil"/>
            </w:tcBorders>
            <w:shd w:val="clear" w:color="auto" w:fill="auto"/>
            <w:vAlign w:val="center"/>
          </w:tcPr>
          <w:p w14:paraId="6BAE4ADB" w14:textId="77777777" w:rsidR="00CA2F73" w:rsidRPr="00C67D5C" w:rsidRDefault="00CA2F73" w:rsidP="00726785">
            <w:pPr>
              <w:spacing w:before="40" w:after="40"/>
              <w:jc w:val="right"/>
              <w:rPr>
                <w:rFonts w:eastAsia="Times New Roman" w:cs="Times New Roman"/>
                <w:b/>
                <w:lang w:eastAsia="cs-CZ"/>
              </w:rPr>
            </w:pPr>
            <w:r w:rsidRPr="00C67D5C">
              <w:rPr>
                <w:rFonts w:eastAsia="Times New Roman" w:cs="Times New Roman"/>
                <w:b/>
                <w:lang w:eastAsia="cs-CZ"/>
              </w:rPr>
              <w:t xml:space="preserve">385 </w:t>
            </w:r>
          </w:p>
        </w:tc>
        <w:tc>
          <w:tcPr>
            <w:tcW w:w="772" w:type="pct"/>
            <w:tcBorders>
              <w:bottom w:val="nil"/>
            </w:tcBorders>
            <w:shd w:val="clear" w:color="auto" w:fill="auto"/>
            <w:vAlign w:val="center"/>
          </w:tcPr>
          <w:p w14:paraId="187A99FD" w14:textId="77777777" w:rsidR="00CA2F73" w:rsidRPr="00C67D5C" w:rsidRDefault="00CA2F73" w:rsidP="00726785">
            <w:pPr>
              <w:spacing w:before="40" w:after="40"/>
              <w:ind w:firstLine="366"/>
              <w:jc w:val="right"/>
              <w:rPr>
                <w:rFonts w:eastAsia="Times New Roman" w:cs="Times New Roman"/>
                <w:b/>
                <w:lang w:eastAsia="cs-CZ"/>
              </w:rPr>
            </w:pPr>
            <w:r w:rsidRPr="00C67D5C">
              <w:rPr>
                <w:rFonts w:eastAsia="Times New Roman" w:cs="Times New Roman"/>
                <w:b/>
                <w:lang w:eastAsia="cs-CZ"/>
              </w:rPr>
              <w:t>0</w:t>
            </w:r>
          </w:p>
        </w:tc>
        <w:tc>
          <w:tcPr>
            <w:tcW w:w="808" w:type="pct"/>
            <w:tcBorders>
              <w:bottom w:val="nil"/>
            </w:tcBorders>
            <w:shd w:val="clear" w:color="auto" w:fill="auto"/>
            <w:vAlign w:val="center"/>
          </w:tcPr>
          <w:p w14:paraId="32723E13" w14:textId="77777777" w:rsidR="00CA2F73" w:rsidRPr="00C67D5C" w:rsidRDefault="00CA2F73" w:rsidP="00726785">
            <w:pPr>
              <w:spacing w:before="40" w:after="40"/>
              <w:jc w:val="right"/>
              <w:rPr>
                <w:rFonts w:eastAsia="Times New Roman" w:cs="Times New Roman"/>
                <w:b/>
                <w:lang w:eastAsia="cs-CZ"/>
              </w:rPr>
            </w:pPr>
            <w:r w:rsidRPr="00C67D5C">
              <w:rPr>
                <w:rFonts w:eastAsia="Times New Roman" w:cs="Times New Roman"/>
                <w:b/>
                <w:lang w:eastAsia="cs-CZ"/>
              </w:rPr>
              <w:t>385</w:t>
            </w:r>
          </w:p>
        </w:tc>
      </w:tr>
      <w:tr w:rsidR="00CA2F73" w:rsidRPr="00E8518E" w14:paraId="73FE7C02" w14:textId="77777777" w:rsidTr="00726785">
        <w:trPr>
          <w:trHeight w:val="283"/>
          <w:tblHeader/>
          <w:jc w:val="center"/>
        </w:trPr>
        <w:tc>
          <w:tcPr>
            <w:tcW w:w="2501" w:type="pct"/>
            <w:tcBorders>
              <w:bottom w:val="single" w:sz="4" w:space="0" w:color="7F7F7F" w:themeColor="text1" w:themeTint="80"/>
            </w:tcBorders>
            <w:shd w:val="clear" w:color="auto" w:fill="auto"/>
          </w:tcPr>
          <w:p w14:paraId="7A76BA8B" w14:textId="77777777" w:rsidR="00CA2F73" w:rsidRPr="00C67D5C" w:rsidRDefault="00CA2F73" w:rsidP="00726785">
            <w:pPr>
              <w:spacing w:before="40" w:after="40"/>
              <w:rPr>
                <w:rFonts w:eastAsia="Times New Roman" w:cs="Times New Roman"/>
                <w:b/>
                <w:lang w:eastAsia="cs-CZ"/>
              </w:rPr>
            </w:pPr>
            <w:r w:rsidRPr="00C67D5C">
              <w:rPr>
                <w:rFonts w:eastAsia="Times New Roman" w:cs="Times New Roman"/>
                <w:b/>
                <w:lang w:eastAsia="cs-CZ"/>
              </w:rPr>
              <w:t xml:space="preserve">Kosmický program unie – EU SST </w:t>
            </w:r>
            <w:proofErr w:type="spellStart"/>
            <w:r w:rsidRPr="00C67D5C">
              <w:rPr>
                <w:rFonts w:eastAsia="Times New Roman" w:cs="Times New Roman"/>
                <w:b/>
                <w:lang w:eastAsia="cs-CZ"/>
              </w:rPr>
              <w:t>Partnership</w:t>
            </w:r>
            <w:proofErr w:type="spellEnd"/>
            <w:r w:rsidRPr="00C67D5C">
              <w:rPr>
                <w:rFonts w:eastAsia="Times New Roman" w:cs="Times New Roman"/>
                <w:b/>
                <w:lang w:eastAsia="cs-CZ"/>
              </w:rPr>
              <w:t xml:space="preserve"> (ÚO MD)</w:t>
            </w:r>
          </w:p>
        </w:tc>
        <w:tc>
          <w:tcPr>
            <w:tcW w:w="919" w:type="pct"/>
            <w:tcBorders>
              <w:bottom w:val="single" w:sz="4" w:space="0" w:color="7F7F7F" w:themeColor="text1" w:themeTint="80"/>
            </w:tcBorders>
            <w:shd w:val="clear" w:color="auto" w:fill="auto"/>
            <w:vAlign w:val="center"/>
          </w:tcPr>
          <w:p w14:paraId="37DF6F2B" w14:textId="77777777" w:rsidR="00CA2F73" w:rsidRPr="00C67D5C" w:rsidRDefault="00CA2F73" w:rsidP="00726785">
            <w:pPr>
              <w:spacing w:before="40" w:after="40"/>
              <w:jc w:val="right"/>
              <w:rPr>
                <w:rFonts w:eastAsia="Times New Roman" w:cs="Times New Roman"/>
                <w:b/>
                <w:lang w:eastAsia="cs-CZ"/>
              </w:rPr>
            </w:pPr>
            <w:r>
              <w:rPr>
                <w:rFonts w:eastAsia="Times New Roman" w:cs="Times New Roman"/>
                <w:b/>
                <w:lang w:eastAsia="cs-CZ"/>
              </w:rPr>
              <w:t>76</w:t>
            </w:r>
            <w:r w:rsidRPr="00C67D5C">
              <w:rPr>
                <w:rFonts w:eastAsia="Times New Roman" w:cs="Times New Roman"/>
                <w:b/>
                <w:lang w:eastAsia="cs-CZ"/>
              </w:rPr>
              <w:t>0</w:t>
            </w:r>
          </w:p>
        </w:tc>
        <w:tc>
          <w:tcPr>
            <w:tcW w:w="772" w:type="pct"/>
            <w:tcBorders>
              <w:bottom w:val="single" w:sz="4" w:space="0" w:color="7F7F7F" w:themeColor="text1" w:themeTint="80"/>
            </w:tcBorders>
            <w:shd w:val="clear" w:color="auto" w:fill="auto"/>
            <w:vAlign w:val="center"/>
          </w:tcPr>
          <w:p w14:paraId="11B88417" w14:textId="77777777" w:rsidR="00CA2F73" w:rsidRPr="00C67D5C" w:rsidRDefault="00CA2F73" w:rsidP="00726785">
            <w:pPr>
              <w:spacing w:before="40" w:after="40"/>
              <w:ind w:firstLine="366"/>
              <w:jc w:val="right"/>
              <w:rPr>
                <w:rFonts w:eastAsia="Times New Roman" w:cs="Times New Roman"/>
                <w:b/>
                <w:lang w:eastAsia="cs-CZ"/>
              </w:rPr>
            </w:pPr>
            <w:r>
              <w:rPr>
                <w:rFonts w:eastAsia="Times New Roman" w:cs="Times New Roman"/>
                <w:b/>
                <w:lang w:eastAsia="cs-CZ"/>
              </w:rPr>
              <w:t>190</w:t>
            </w:r>
          </w:p>
        </w:tc>
        <w:tc>
          <w:tcPr>
            <w:tcW w:w="808" w:type="pct"/>
            <w:tcBorders>
              <w:bottom w:val="single" w:sz="4" w:space="0" w:color="7F7F7F" w:themeColor="text1" w:themeTint="80"/>
            </w:tcBorders>
            <w:shd w:val="clear" w:color="auto" w:fill="auto"/>
            <w:vAlign w:val="center"/>
          </w:tcPr>
          <w:p w14:paraId="6EB0140F" w14:textId="77777777" w:rsidR="00CA2F73" w:rsidRPr="00C67D5C" w:rsidRDefault="00CA2F73" w:rsidP="00726785">
            <w:pPr>
              <w:spacing w:before="40" w:after="40"/>
              <w:jc w:val="right"/>
              <w:rPr>
                <w:rFonts w:eastAsia="Times New Roman" w:cs="Times New Roman"/>
                <w:b/>
                <w:lang w:eastAsia="cs-CZ"/>
              </w:rPr>
            </w:pPr>
            <w:r w:rsidRPr="00C67D5C">
              <w:rPr>
                <w:rFonts w:eastAsia="Times New Roman" w:cs="Times New Roman"/>
                <w:b/>
                <w:lang w:eastAsia="cs-CZ"/>
              </w:rPr>
              <w:t>950</w:t>
            </w:r>
          </w:p>
        </w:tc>
      </w:tr>
      <w:tr w:rsidR="00CA2F73" w:rsidRPr="00E8518E" w14:paraId="3C5AF9BA" w14:textId="77777777" w:rsidTr="00726785">
        <w:trPr>
          <w:trHeight w:val="283"/>
          <w:tblHeader/>
          <w:jc w:val="center"/>
        </w:trPr>
        <w:tc>
          <w:tcPr>
            <w:tcW w:w="2501" w:type="pct"/>
            <w:tcBorders>
              <w:top w:val="single" w:sz="4" w:space="0" w:color="7F7F7F" w:themeColor="text1" w:themeTint="80"/>
              <w:bottom w:val="single" w:sz="4" w:space="0" w:color="auto"/>
            </w:tcBorders>
            <w:shd w:val="clear" w:color="auto" w:fill="auto"/>
            <w:vAlign w:val="center"/>
          </w:tcPr>
          <w:p w14:paraId="04E83C9C" w14:textId="77777777" w:rsidR="00CA2F73" w:rsidRPr="00D03A20" w:rsidRDefault="00CA2F73" w:rsidP="00726785">
            <w:pPr>
              <w:spacing w:before="40" w:after="40"/>
              <w:rPr>
                <w:rFonts w:eastAsia="Times New Roman" w:cs="Times New Roman"/>
                <w:b/>
                <w:lang w:eastAsia="cs-CZ"/>
              </w:rPr>
            </w:pPr>
            <w:r w:rsidRPr="00D03A20">
              <w:rPr>
                <w:rFonts w:eastAsia="Times New Roman" w:cs="Times New Roman"/>
                <w:b/>
                <w:lang w:eastAsia="cs-CZ"/>
              </w:rPr>
              <w:t>Celkem</w:t>
            </w:r>
          </w:p>
        </w:tc>
        <w:tc>
          <w:tcPr>
            <w:tcW w:w="919" w:type="pct"/>
            <w:tcBorders>
              <w:top w:val="single" w:sz="4" w:space="0" w:color="7F7F7F" w:themeColor="text1" w:themeTint="80"/>
              <w:bottom w:val="single" w:sz="4" w:space="0" w:color="auto"/>
            </w:tcBorders>
            <w:shd w:val="clear" w:color="auto" w:fill="auto"/>
            <w:vAlign w:val="center"/>
          </w:tcPr>
          <w:p w14:paraId="5C69E517" w14:textId="77777777" w:rsidR="00CA2F73" w:rsidRPr="00D03A20" w:rsidRDefault="00CA2F73" w:rsidP="00726785">
            <w:pPr>
              <w:spacing w:before="40" w:after="40"/>
              <w:jc w:val="right"/>
              <w:rPr>
                <w:rFonts w:eastAsia="Times New Roman" w:cs="Times New Roman"/>
                <w:b/>
                <w:lang w:eastAsia="cs-CZ"/>
              </w:rPr>
            </w:pPr>
            <w:r w:rsidRPr="00D03A20">
              <w:rPr>
                <w:rFonts w:eastAsia="Times New Roman" w:cs="Times New Roman"/>
                <w:b/>
                <w:lang w:eastAsia="cs-CZ"/>
              </w:rPr>
              <w:t>5 120 963</w:t>
            </w:r>
          </w:p>
        </w:tc>
        <w:tc>
          <w:tcPr>
            <w:tcW w:w="772" w:type="pct"/>
            <w:tcBorders>
              <w:top w:val="single" w:sz="4" w:space="0" w:color="7F7F7F" w:themeColor="text1" w:themeTint="80"/>
              <w:bottom w:val="single" w:sz="4" w:space="0" w:color="auto"/>
            </w:tcBorders>
            <w:shd w:val="clear" w:color="auto" w:fill="auto"/>
            <w:vAlign w:val="center"/>
          </w:tcPr>
          <w:p w14:paraId="65869AF0" w14:textId="77777777" w:rsidR="00CA2F73" w:rsidRPr="00D03A20" w:rsidRDefault="00CA2F73" w:rsidP="00726785">
            <w:pPr>
              <w:spacing w:before="40" w:after="40"/>
              <w:ind w:firstLine="366"/>
              <w:jc w:val="right"/>
              <w:rPr>
                <w:rFonts w:eastAsia="Times New Roman" w:cs="Times New Roman"/>
                <w:b/>
                <w:lang w:eastAsia="cs-CZ"/>
              </w:rPr>
            </w:pPr>
            <w:r w:rsidRPr="00D03A20">
              <w:rPr>
                <w:rFonts w:eastAsia="Times New Roman" w:cs="Times New Roman"/>
                <w:b/>
                <w:lang w:eastAsia="cs-CZ"/>
              </w:rPr>
              <w:t>1 509</w:t>
            </w:r>
          </w:p>
        </w:tc>
        <w:tc>
          <w:tcPr>
            <w:tcW w:w="808" w:type="pct"/>
            <w:tcBorders>
              <w:top w:val="single" w:sz="4" w:space="0" w:color="7F7F7F" w:themeColor="text1" w:themeTint="80"/>
              <w:bottom w:val="single" w:sz="4" w:space="0" w:color="auto"/>
            </w:tcBorders>
            <w:shd w:val="clear" w:color="auto" w:fill="auto"/>
            <w:vAlign w:val="center"/>
          </w:tcPr>
          <w:p w14:paraId="77F2E57E" w14:textId="77777777" w:rsidR="00CA2F73" w:rsidRPr="00D03A20" w:rsidRDefault="00CA2F73" w:rsidP="00726785">
            <w:pPr>
              <w:spacing w:before="40" w:after="40"/>
              <w:jc w:val="right"/>
              <w:rPr>
                <w:rFonts w:eastAsia="Times New Roman" w:cs="Times New Roman"/>
                <w:b/>
                <w:lang w:eastAsia="cs-CZ"/>
              </w:rPr>
            </w:pPr>
            <w:r w:rsidRPr="00D03A20">
              <w:rPr>
                <w:rFonts w:eastAsia="Times New Roman" w:cs="Times New Roman"/>
                <w:b/>
                <w:lang w:eastAsia="cs-CZ"/>
              </w:rPr>
              <w:t>5 122 472</w:t>
            </w:r>
          </w:p>
        </w:tc>
      </w:tr>
    </w:tbl>
    <w:p w14:paraId="092B1E3A" w14:textId="77777777" w:rsidR="00CA2F73" w:rsidRPr="0016097C" w:rsidRDefault="00CA2F73" w:rsidP="00CA2F73">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sidRPr="0016097C">
        <w:rPr>
          <w:rFonts w:eastAsia="Times New Roman" w:cs="Times New Roman"/>
          <w:b/>
          <w:szCs w:val="20"/>
          <w:u w:val="single"/>
          <w:lang w:eastAsia="cs-CZ"/>
        </w:rPr>
        <w:t>CEF 2021+ (SFDI)</w:t>
      </w:r>
    </w:p>
    <w:p w14:paraId="56335FC0" w14:textId="77777777" w:rsidR="00CA2F73" w:rsidRPr="0016097C" w:rsidRDefault="00CA2F73" w:rsidP="00CA2F73">
      <w:pPr>
        <w:pStyle w:val="Styl1"/>
      </w:pPr>
      <w:r w:rsidRPr="0016097C">
        <w:t xml:space="preserve">Nástroj pro propojení Evropy pro období 2021 – 2027 (CEF2) bude zaměřen na budování </w:t>
      </w:r>
      <w:r w:rsidRPr="0016097C">
        <w:br/>
        <w:t xml:space="preserve">a modernizace transevropské dopravní sítě (TEN-T), prostředky budou využité zejména </w:t>
      </w:r>
      <w:r w:rsidRPr="0016097C">
        <w:br/>
        <w:t>na financování železničních projektů, včetně zavádění zabezpečovacího systému ETCS. V omezené míře budou podporovány silniční projekty a projekty ve vodní dopravě, dále inteligentní dopravní systémy a další telematika. Projekty budou realizovány zejména Správou železnic, případně Ředitelstvím silnic a dálnic nebo Ředitelstvím vodních cest.</w:t>
      </w:r>
    </w:p>
    <w:p w14:paraId="0BED29EF" w14:textId="7B8EB7DD" w:rsidR="00CA2F73" w:rsidRPr="0016097C" w:rsidRDefault="00CA2F73" w:rsidP="00CA2F73">
      <w:pPr>
        <w:pStyle w:val="Titulek"/>
      </w:pPr>
      <w:r w:rsidRPr="0016097C">
        <w:t xml:space="preserve">Tabulka č. </w:t>
      </w:r>
      <w:r w:rsidRPr="0016097C">
        <w:rPr>
          <w:noProof/>
        </w:rPr>
        <w:fldChar w:fldCharType="begin"/>
      </w:r>
      <w:r w:rsidRPr="0016097C">
        <w:rPr>
          <w:noProof/>
        </w:rPr>
        <w:instrText xml:space="preserve"> SEQ Tabulka \* ARABIC </w:instrText>
      </w:r>
      <w:r w:rsidRPr="0016097C">
        <w:rPr>
          <w:noProof/>
        </w:rPr>
        <w:fldChar w:fldCharType="separate"/>
      </w:r>
      <w:r w:rsidR="00F80947">
        <w:rPr>
          <w:noProof/>
        </w:rPr>
        <w:t>48</w:t>
      </w:r>
      <w:r w:rsidRPr="0016097C">
        <w:rPr>
          <w:noProof/>
        </w:rPr>
        <w:fldChar w:fldCharType="end"/>
      </w:r>
      <w:r w:rsidR="00C625C2">
        <w:rPr>
          <w:noProof/>
        </w:rPr>
        <w:t>6</w:t>
      </w:r>
      <w:r w:rsidRPr="0016097C">
        <w:rPr>
          <w:noProof/>
        </w:rPr>
        <w:t xml:space="preserve"> Komunitární projekt CEF 2021+ (SFDI)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16097C" w14:paraId="1E137BA2" w14:textId="77777777" w:rsidTr="00726785">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46E7FDB" w14:textId="77777777" w:rsidR="00CA2F73" w:rsidRPr="0016097C" w:rsidRDefault="00CA2F73" w:rsidP="00726785">
            <w:pPr>
              <w:spacing w:before="27" w:after="27"/>
              <w:rPr>
                <w:rFonts w:eastAsia="Times New Roman" w:cs="Times New Roman"/>
                <w:b/>
                <w:lang w:eastAsia="cs-CZ"/>
              </w:rPr>
            </w:pPr>
            <w:r w:rsidRPr="0016097C">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E2BB9B8" w14:textId="77777777" w:rsidR="00CA2F73" w:rsidRPr="0016097C" w:rsidRDefault="00CA2F73" w:rsidP="00726785">
            <w:pPr>
              <w:spacing w:before="27" w:after="27"/>
              <w:ind w:firstLine="366"/>
              <w:rPr>
                <w:rFonts w:eastAsia="Times New Roman" w:cs="Times New Roman"/>
                <w:b/>
                <w:lang w:eastAsia="cs-CZ"/>
              </w:rPr>
            </w:pPr>
            <w:r w:rsidRPr="0016097C">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E80946C" w14:textId="77777777" w:rsidR="00CA2F73" w:rsidRPr="0016097C" w:rsidRDefault="00CA2F73" w:rsidP="00726785">
            <w:pPr>
              <w:spacing w:before="27" w:after="27"/>
              <w:ind w:firstLine="366"/>
              <w:rPr>
                <w:rFonts w:eastAsia="Times New Roman" w:cs="Times New Roman"/>
                <w:b/>
                <w:lang w:eastAsia="cs-CZ"/>
              </w:rPr>
            </w:pPr>
            <w:r w:rsidRPr="0016097C">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5CABF24" w14:textId="77777777" w:rsidR="00CA2F73" w:rsidRPr="0016097C" w:rsidRDefault="00CA2F73" w:rsidP="00726785">
            <w:pPr>
              <w:spacing w:before="27" w:after="27"/>
              <w:jc w:val="center"/>
              <w:rPr>
                <w:rFonts w:eastAsia="Times New Roman" w:cs="Times New Roman"/>
                <w:b/>
                <w:lang w:eastAsia="cs-CZ"/>
              </w:rPr>
            </w:pPr>
            <w:r w:rsidRPr="0016097C">
              <w:rPr>
                <w:rFonts w:eastAsia="Times New Roman" w:cs="Times New Roman"/>
                <w:b/>
                <w:lang w:eastAsia="cs-CZ"/>
              </w:rPr>
              <w:t>Celkem</w:t>
            </w:r>
          </w:p>
        </w:tc>
      </w:tr>
      <w:tr w:rsidR="00CA2F73" w:rsidRPr="0016097C" w14:paraId="3198B628" w14:textId="77777777" w:rsidTr="00726785">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6C7AA820" w14:textId="77777777" w:rsidR="00CA2F73" w:rsidRPr="0016097C" w:rsidRDefault="00CA2F73" w:rsidP="00726785">
            <w:pPr>
              <w:spacing w:before="27" w:after="27"/>
              <w:rPr>
                <w:rFonts w:eastAsia="Times New Roman" w:cs="Times New Roman"/>
                <w:lang w:eastAsia="cs-CZ"/>
              </w:rPr>
            </w:pPr>
            <w:r w:rsidRPr="0016097C">
              <w:rPr>
                <w:rFonts w:eastAsia="Times New Roman" w:cs="Times New Roman"/>
                <w:lang w:eastAsia="cs-CZ"/>
              </w:rPr>
              <w:t>CEF 2021+ (SFDI)</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890CF42" w14:textId="77777777" w:rsidR="00CA2F73" w:rsidRPr="0016097C" w:rsidRDefault="00CA2F73" w:rsidP="00726785">
            <w:pPr>
              <w:spacing w:before="27" w:after="27"/>
              <w:jc w:val="right"/>
              <w:rPr>
                <w:rFonts w:eastAsia="Times New Roman" w:cs="Times New Roman"/>
                <w:lang w:eastAsia="cs-CZ"/>
              </w:rPr>
            </w:pPr>
            <w:r w:rsidRPr="0016097C">
              <w:rPr>
                <w:rFonts w:eastAsia="Times New Roman" w:cs="Times New Roman"/>
                <w:lang w:eastAsia="cs-CZ"/>
              </w:rPr>
              <w:t>5 101 746</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66BE5BA" w14:textId="77777777" w:rsidR="00CA2F73" w:rsidRPr="0016097C" w:rsidRDefault="00CA2F73" w:rsidP="00726785">
            <w:pPr>
              <w:spacing w:before="27" w:after="27"/>
              <w:jc w:val="right"/>
              <w:rPr>
                <w:rFonts w:eastAsia="Times New Roman" w:cs="Times New Roman"/>
                <w:lang w:eastAsia="cs-CZ"/>
              </w:rPr>
            </w:pPr>
            <w:r w:rsidRPr="0016097C">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1458E6BE" w14:textId="77777777" w:rsidR="00CA2F73" w:rsidRPr="0016097C" w:rsidRDefault="00CA2F73" w:rsidP="00726785">
            <w:pPr>
              <w:spacing w:before="27" w:after="27"/>
              <w:jc w:val="right"/>
              <w:rPr>
                <w:rFonts w:eastAsia="Times New Roman" w:cs="Times New Roman"/>
                <w:b/>
                <w:lang w:eastAsia="cs-CZ"/>
              </w:rPr>
            </w:pPr>
            <w:r w:rsidRPr="0016097C">
              <w:rPr>
                <w:rFonts w:eastAsia="Times New Roman" w:cs="Times New Roman"/>
                <w:b/>
                <w:lang w:eastAsia="cs-CZ"/>
              </w:rPr>
              <w:t>5 101 746</w:t>
            </w:r>
          </w:p>
        </w:tc>
      </w:tr>
    </w:tbl>
    <w:p w14:paraId="4A90D9AC" w14:textId="77777777" w:rsidR="00CA2F73" w:rsidRPr="0016097C" w:rsidRDefault="00CA2F73" w:rsidP="00CA2F73">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sidRPr="0016097C">
        <w:rPr>
          <w:rFonts w:eastAsia="Times New Roman" w:cs="Times New Roman"/>
          <w:b/>
          <w:szCs w:val="20"/>
          <w:u w:val="single"/>
          <w:lang w:eastAsia="cs-CZ"/>
        </w:rPr>
        <w:t>CEF TP (ÚO MD)</w:t>
      </w:r>
    </w:p>
    <w:p w14:paraId="31FB7DB7" w14:textId="77777777" w:rsidR="00CA2F73" w:rsidRPr="0016097C" w:rsidRDefault="00CA2F73" w:rsidP="00CA2F73">
      <w:pPr>
        <w:pStyle w:val="Styl1"/>
      </w:pPr>
      <w:r w:rsidRPr="0016097C">
        <w:t xml:space="preserve">V období 2021 – 2027 Ministerstvo dopravy v rámci jediného projektu technické pomoci </w:t>
      </w:r>
      <w:r w:rsidRPr="0016097C">
        <w:br/>
        <w:t>z Nástroje pro propojení Evropy (CEF2) obdrží prostředky na tyto tzv. pracovní balíčky:</w:t>
      </w:r>
    </w:p>
    <w:p w14:paraId="1812B458" w14:textId="77777777" w:rsidR="00CA2F73" w:rsidRPr="0016097C" w:rsidRDefault="00CA2F73" w:rsidP="00CA2F73">
      <w:pPr>
        <w:keepNext/>
        <w:spacing w:before="120" w:after="120" w:line="240" w:lineRule="auto"/>
        <w:rPr>
          <w:rFonts w:eastAsia="Times New Roman" w:cs="Times New Roman"/>
          <w:iCs/>
          <w:szCs w:val="24"/>
          <w:lang w:eastAsia="cs-CZ"/>
        </w:rPr>
      </w:pPr>
      <w:r w:rsidRPr="0016097C">
        <w:rPr>
          <w:rFonts w:eastAsia="Times New Roman" w:cs="Times New Roman"/>
          <w:iCs/>
          <w:szCs w:val="24"/>
          <w:lang w:eastAsia="cs-CZ"/>
        </w:rPr>
        <w:t>-</w:t>
      </w:r>
      <w:r w:rsidRPr="0016097C">
        <w:rPr>
          <w:rFonts w:eastAsia="Times New Roman" w:cs="Times New Roman"/>
          <w:iCs/>
          <w:szCs w:val="24"/>
          <w:lang w:eastAsia="cs-CZ"/>
        </w:rPr>
        <w:tab/>
        <w:t>informování žadatelů, hodnocení a monitoring projektů CEF2</w:t>
      </w:r>
    </w:p>
    <w:p w14:paraId="209D45CC" w14:textId="77777777" w:rsidR="00CA2F73" w:rsidRPr="0016097C" w:rsidRDefault="00CA2F73" w:rsidP="00CA2F73">
      <w:pPr>
        <w:keepNext/>
        <w:spacing w:before="120" w:after="120" w:line="240" w:lineRule="auto"/>
        <w:rPr>
          <w:rFonts w:eastAsia="Times New Roman" w:cs="Times New Roman"/>
          <w:iCs/>
          <w:szCs w:val="24"/>
          <w:lang w:eastAsia="cs-CZ"/>
        </w:rPr>
      </w:pPr>
      <w:r w:rsidRPr="0016097C">
        <w:rPr>
          <w:rFonts w:eastAsia="Times New Roman" w:cs="Times New Roman"/>
          <w:iCs/>
          <w:szCs w:val="24"/>
          <w:lang w:eastAsia="cs-CZ"/>
        </w:rPr>
        <w:t>-</w:t>
      </w:r>
      <w:r w:rsidRPr="0016097C">
        <w:rPr>
          <w:rFonts w:eastAsia="Times New Roman" w:cs="Times New Roman"/>
          <w:iCs/>
          <w:szCs w:val="24"/>
          <w:lang w:eastAsia="cs-CZ"/>
        </w:rPr>
        <w:tab/>
        <w:t>monitoring projektů CEF 2014 – 2020</w:t>
      </w:r>
    </w:p>
    <w:p w14:paraId="4C8B74EE" w14:textId="77777777" w:rsidR="00CA2F73" w:rsidRPr="0016097C" w:rsidRDefault="00CA2F73" w:rsidP="00CA2F73">
      <w:pPr>
        <w:keepNext/>
        <w:spacing w:before="120" w:after="120" w:line="240" w:lineRule="auto"/>
        <w:rPr>
          <w:rFonts w:eastAsia="Times New Roman" w:cs="Times New Roman"/>
          <w:iCs/>
          <w:szCs w:val="24"/>
          <w:lang w:eastAsia="cs-CZ"/>
        </w:rPr>
      </w:pPr>
      <w:r w:rsidRPr="0016097C">
        <w:rPr>
          <w:rFonts w:eastAsia="Times New Roman" w:cs="Times New Roman"/>
          <w:iCs/>
          <w:szCs w:val="24"/>
          <w:lang w:eastAsia="cs-CZ"/>
        </w:rPr>
        <w:t>-</w:t>
      </w:r>
      <w:r w:rsidRPr="0016097C">
        <w:rPr>
          <w:rFonts w:eastAsia="Times New Roman" w:cs="Times New Roman"/>
          <w:iCs/>
          <w:szCs w:val="24"/>
          <w:lang w:eastAsia="cs-CZ"/>
        </w:rPr>
        <w:tab/>
        <w:t>spolupráce v rámci koridorů hlavní sítě TEN-T</w:t>
      </w:r>
    </w:p>
    <w:p w14:paraId="1D11B5CA" w14:textId="77777777" w:rsidR="00CA2F73" w:rsidRPr="0016097C" w:rsidRDefault="00CA2F73" w:rsidP="00CA2F73">
      <w:pPr>
        <w:keepNext/>
        <w:spacing w:before="120" w:after="120" w:line="240" w:lineRule="auto"/>
        <w:rPr>
          <w:rFonts w:eastAsia="Times New Roman" w:cs="Times New Roman"/>
          <w:iCs/>
          <w:szCs w:val="24"/>
          <w:lang w:eastAsia="cs-CZ"/>
        </w:rPr>
      </w:pPr>
      <w:r w:rsidRPr="0016097C">
        <w:rPr>
          <w:rFonts w:eastAsia="Times New Roman" w:cs="Times New Roman"/>
          <w:iCs/>
          <w:szCs w:val="24"/>
          <w:lang w:eastAsia="cs-CZ"/>
        </w:rPr>
        <w:t>-</w:t>
      </w:r>
      <w:r w:rsidRPr="0016097C">
        <w:rPr>
          <w:rFonts w:eastAsia="Times New Roman" w:cs="Times New Roman"/>
          <w:iCs/>
          <w:szCs w:val="24"/>
          <w:lang w:eastAsia="cs-CZ"/>
        </w:rPr>
        <w:tab/>
        <w:t>spolupráce v rámci koridorů nákladní železniční dopravy</w:t>
      </w:r>
    </w:p>
    <w:p w14:paraId="4B77CC5E" w14:textId="77777777" w:rsidR="00CA2F73" w:rsidRPr="0016097C" w:rsidRDefault="00CA2F73" w:rsidP="00CA2F73">
      <w:pPr>
        <w:keepNext/>
        <w:spacing w:before="120" w:after="120" w:line="240" w:lineRule="auto"/>
        <w:rPr>
          <w:rFonts w:eastAsia="Times New Roman" w:cs="Times New Roman"/>
          <w:iCs/>
          <w:szCs w:val="24"/>
          <w:lang w:eastAsia="cs-CZ"/>
        </w:rPr>
      </w:pPr>
      <w:r w:rsidRPr="0016097C">
        <w:rPr>
          <w:rFonts w:eastAsia="Times New Roman" w:cs="Times New Roman"/>
          <w:iCs/>
          <w:szCs w:val="24"/>
          <w:lang w:eastAsia="cs-CZ"/>
        </w:rPr>
        <w:t>-</w:t>
      </w:r>
      <w:r w:rsidRPr="0016097C">
        <w:rPr>
          <w:rFonts w:eastAsia="Times New Roman" w:cs="Times New Roman"/>
          <w:iCs/>
          <w:szCs w:val="24"/>
          <w:lang w:eastAsia="cs-CZ"/>
        </w:rPr>
        <w:tab/>
        <w:t xml:space="preserve">aktualizace a reporting dat o síti TEN-T prostřednictvím informačního systému </w:t>
      </w:r>
      <w:proofErr w:type="spellStart"/>
      <w:r w:rsidRPr="0016097C">
        <w:rPr>
          <w:rFonts w:eastAsia="Times New Roman" w:cs="Times New Roman"/>
          <w:iCs/>
          <w:szCs w:val="24"/>
          <w:lang w:eastAsia="cs-CZ"/>
        </w:rPr>
        <w:t>TENTec</w:t>
      </w:r>
      <w:proofErr w:type="spellEnd"/>
    </w:p>
    <w:p w14:paraId="4DE7FEA6" w14:textId="77777777" w:rsidR="00CA2F73" w:rsidRPr="0016097C" w:rsidRDefault="00CA2F73" w:rsidP="00CA2F73">
      <w:pPr>
        <w:keepNext/>
        <w:spacing w:before="120" w:after="120" w:line="240" w:lineRule="auto"/>
        <w:rPr>
          <w:rFonts w:eastAsia="Times New Roman" w:cs="Times New Roman"/>
          <w:iCs/>
          <w:szCs w:val="24"/>
          <w:lang w:eastAsia="cs-CZ"/>
        </w:rPr>
      </w:pPr>
      <w:r w:rsidRPr="0016097C">
        <w:rPr>
          <w:rFonts w:eastAsia="Times New Roman" w:cs="Times New Roman"/>
          <w:iCs/>
          <w:szCs w:val="24"/>
          <w:lang w:eastAsia="cs-CZ"/>
        </w:rPr>
        <w:t>-</w:t>
      </w:r>
      <w:r w:rsidRPr="0016097C">
        <w:rPr>
          <w:rFonts w:eastAsia="Times New Roman" w:cs="Times New Roman"/>
          <w:iCs/>
          <w:szCs w:val="24"/>
          <w:lang w:eastAsia="cs-CZ"/>
        </w:rPr>
        <w:tab/>
        <w:t>podpora TEN-T prostřednictvím národních správců železniční infrastruktury</w:t>
      </w:r>
    </w:p>
    <w:p w14:paraId="5821119A" w14:textId="77777777" w:rsidR="00CA2F73" w:rsidRPr="0016097C" w:rsidRDefault="00CA2F73" w:rsidP="00CA2F73">
      <w:pPr>
        <w:pStyle w:val="Styl1"/>
      </w:pPr>
      <w:r w:rsidRPr="0016097C">
        <w:t xml:space="preserve">Projekt bude realizován v letech 2022 – 2024. </w:t>
      </w:r>
    </w:p>
    <w:p w14:paraId="07AD1EFC" w14:textId="3B71D54F" w:rsidR="00CA2F73" w:rsidRPr="0016097C" w:rsidRDefault="00CA2F73" w:rsidP="00CA2F73">
      <w:pPr>
        <w:pStyle w:val="Titulek"/>
      </w:pPr>
      <w:r w:rsidRPr="0016097C">
        <w:t xml:space="preserve">Tabulka č. </w:t>
      </w:r>
      <w:r w:rsidRPr="0016097C">
        <w:rPr>
          <w:noProof/>
        </w:rPr>
        <w:fldChar w:fldCharType="begin"/>
      </w:r>
      <w:r w:rsidRPr="0016097C">
        <w:rPr>
          <w:noProof/>
        </w:rPr>
        <w:instrText xml:space="preserve"> SEQ Tabulka \* ARABIC </w:instrText>
      </w:r>
      <w:r w:rsidRPr="0016097C">
        <w:rPr>
          <w:noProof/>
        </w:rPr>
        <w:fldChar w:fldCharType="separate"/>
      </w:r>
      <w:r w:rsidR="00F80947">
        <w:rPr>
          <w:noProof/>
        </w:rPr>
        <w:t>49</w:t>
      </w:r>
      <w:r w:rsidRPr="0016097C">
        <w:rPr>
          <w:noProof/>
        </w:rPr>
        <w:fldChar w:fldCharType="end"/>
      </w:r>
      <w:r w:rsidR="00C625C2">
        <w:rPr>
          <w:noProof/>
        </w:rPr>
        <w:t>7</w:t>
      </w:r>
      <w:r w:rsidRPr="0016097C">
        <w:rPr>
          <w:noProof/>
        </w:rPr>
        <w:t xml:space="preserve"> Komunitární projekt CEF 2021+ - Technická pomoc (ÚO MD)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16097C" w14:paraId="2C45FFEC" w14:textId="77777777" w:rsidTr="00726785">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78A5B74" w14:textId="77777777" w:rsidR="00CA2F73" w:rsidRPr="0016097C" w:rsidRDefault="00CA2F73" w:rsidP="00726785">
            <w:pPr>
              <w:spacing w:before="27" w:after="27"/>
              <w:rPr>
                <w:rFonts w:eastAsia="Times New Roman" w:cs="Times New Roman"/>
                <w:b/>
                <w:lang w:eastAsia="cs-CZ"/>
              </w:rPr>
            </w:pPr>
            <w:r w:rsidRPr="0016097C">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1E32392" w14:textId="77777777" w:rsidR="00CA2F73" w:rsidRPr="0016097C" w:rsidRDefault="00CA2F73" w:rsidP="00726785">
            <w:pPr>
              <w:spacing w:before="27" w:after="27"/>
              <w:ind w:firstLine="366"/>
              <w:rPr>
                <w:rFonts w:eastAsia="Times New Roman" w:cs="Times New Roman"/>
                <w:b/>
                <w:lang w:eastAsia="cs-CZ"/>
              </w:rPr>
            </w:pPr>
            <w:r w:rsidRPr="0016097C">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1D854E1" w14:textId="77777777" w:rsidR="00CA2F73" w:rsidRPr="0016097C" w:rsidRDefault="00CA2F73" w:rsidP="00726785">
            <w:pPr>
              <w:spacing w:before="27" w:after="27"/>
              <w:ind w:firstLine="366"/>
              <w:rPr>
                <w:rFonts w:eastAsia="Times New Roman" w:cs="Times New Roman"/>
                <w:b/>
                <w:lang w:eastAsia="cs-CZ"/>
              </w:rPr>
            </w:pPr>
            <w:r w:rsidRPr="0016097C">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33D2876" w14:textId="77777777" w:rsidR="00CA2F73" w:rsidRPr="0016097C" w:rsidRDefault="00CA2F73" w:rsidP="00726785">
            <w:pPr>
              <w:spacing w:before="27" w:after="27"/>
              <w:jc w:val="center"/>
              <w:rPr>
                <w:rFonts w:eastAsia="Times New Roman" w:cs="Times New Roman"/>
                <w:b/>
                <w:lang w:eastAsia="cs-CZ"/>
              </w:rPr>
            </w:pPr>
            <w:r w:rsidRPr="0016097C">
              <w:rPr>
                <w:rFonts w:eastAsia="Times New Roman" w:cs="Times New Roman"/>
                <w:b/>
                <w:lang w:eastAsia="cs-CZ"/>
              </w:rPr>
              <w:t>Celkem</w:t>
            </w:r>
          </w:p>
        </w:tc>
      </w:tr>
      <w:tr w:rsidR="00CA2F73" w:rsidRPr="0016097C" w14:paraId="4509CD87" w14:textId="77777777" w:rsidTr="00726785">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1477DE66" w14:textId="77777777" w:rsidR="00CA2F73" w:rsidRPr="0016097C" w:rsidRDefault="00CA2F73" w:rsidP="00726785">
            <w:pPr>
              <w:spacing w:before="27" w:after="27"/>
              <w:rPr>
                <w:rFonts w:eastAsia="Times New Roman" w:cs="Times New Roman"/>
                <w:lang w:eastAsia="cs-CZ"/>
              </w:rPr>
            </w:pPr>
            <w:r w:rsidRPr="0016097C">
              <w:rPr>
                <w:rFonts w:eastAsia="Times New Roman" w:cs="Times New Roman"/>
                <w:lang w:eastAsia="cs-CZ"/>
              </w:rPr>
              <w:t>CEF 2021+  - Technická pomoc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559BA47A" w14:textId="77777777" w:rsidR="00CA2F73" w:rsidRPr="0016097C" w:rsidRDefault="00CA2F73" w:rsidP="00726785">
            <w:pPr>
              <w:spacing w:before="27" w:after="27"/>
              <w:jc w:val="right"/>
              <w:rPr>
                <w:rFonts w:eastAsia="Times New Roman" w:cs="Times New Roman"/>
                <w:lang w:eastAsia="cs-CZ"/>
              </w:rPr>
            </w:pPr>
            <w:r w:rsidRPr="0016097C">
              <w:rPr>
                <w:rFonts w:eastAsia="Times New Roman" w:cs="Times New Roman"/>
                <w:lang w:eastAsia="cs-CZ"/>
              </w:rPr>
              <w:t xml:space="preserve">16 753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4F01C9B7" w14:textId="77777777" w:rsidR="00CA2F73" w:rsidRPr="0016097C" w:rsidRDefault="00CA2F73" w:rsidP="00726785">
            <w:pPr>
              <w:spacing w:before="27" w:after="27"/>
              <w:jc w:val="right"/>
              <w:rPr>
                <w:rFonts w:eastAsia="Times New Roman" w:cs="Times New Roman"/>
                <w:lang w:eastAsia="cs-CZ"/>
              </w:rPr>
            </w:pPr>
            <w:r w:rsidRPr="0016097C">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12A452D1" w14:textId="77777777" w:rsidR="00CA2F73" w:rsidRPr="0016097C" w:rsidRDefault="00CA2F73" w:rsidP="00726785">
            <w:pPr>
              <w:spacing w:before="27" w:after="27"/>
              <w:jc w:val="right"/>
              <w:rPr>
                <w:rFonts w:eastAsia="Times New Roman" w:cs="Times New Roman"/>
                <w:b/>
                <w:lang w:eastAsia="cs-CZ"/>
              </w:rPr>
            </w:pPr>
            <w:r w:rsidRPr="0016097C">
              <w:rPr>
                <w:rFonts w:eastAsia="Times New Roman" w:cs="Times New Roman"/>
                <w:b/>
                <w:lang w:eastAsia="cs-CZ"/>
              </w:rPr>
              <w:t>16 753</w:t>
            </w:r>
          </w:p>
        </w:tc>
      </w:tr>
    </w:tbl>
    <w:p w14:paraId="461D0A8C" w14:textId="09B11E8B" w:rsidR="00E87263" w:rsidRDefault="00E87263" w:rsidP="00CA2F73">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Pr>
          <w:rFonts w:eastAsia="Times New Roman" w:cs="Times New Roman"/>
          <w:b/>
          <w:szCs w:val="20"/>
          <w:u w:val="single"/>
          <w:lang w:eastAsia="cs-CZ"/>
        </w:rPr>
        <w:t>CEF – X4ITS (ÚO MD)</w:t>
      </w:r>
    </w:p>
    <w:p w14:paraId="6034FDA3" w14:textId="3DA5A9AD" w:rsidR="00E87263" w:rsidRPr="00E87263" w:rsidRDefault="00E87263" w:rsidP="00E87263">
      <w:pPr>
        <w:pStyle w:val="Styl1"/>
      </w:pPr>
      <w:r w:rsidRPr="00E87263">
        <w:rPr>
          <w:bCs/>
        </w:rPr>
        <w:t xml:space="preserve">Projekt X4ITS (angl. </w:t>
      </w:r>
      <w:proofErr w:type="spellStart"/>
      <w:r w:rsidRPr="00E87263">
        <w:rPr>
          <w:bCs/>
        </w:rPr>
        <w:t>Cross</w:t>
      </w:r>
      <w:proofErr w:type="spellEnd"/>
      <w:r w:rsidRPr="00E87263">
        <w:rPr>
          <w:bCs/>
        </w:rPr>
        <w:t xml:space="preserve"> </w:t>
      </w:r>
      <w:proofErr w:type="spellStart"/>
      <w:r w:rsidRPr="00E87263">
        <w:rPr>
          <w:bCs/>
        </w:rPr>
        <w:t>for</w:t>
      </w:r>
      <w:proofErr w:type="spellEnd"/>
      <w:r w:rsidRPr="00E87263">
        <w:rPr>
          <w:bCs/>
        </w:rPr>
        <w:t xml:space="preserve"> ITS) je zaměřen na spolupráci mezi orgány veřejné moci, dopravními podniky, správci železniční infrastruktury, dodavateli železničních systémů, správci silniční infrastruktury and poskytovateli dopravních informačních služeb a navazuje na výstupy projektu </w:t>
      </w:r>
      <w:proofErr w:type="spellStart"/>
      <w:r w:rsidRPr="00E87263">
        <w:rPr>
          <w:bCs/>
        </w:rPr>
        <w:t>Crocodile</w:t>
      </w:r>
      <w:proofErr w:type="spellEnd"/>
      <w:r w:rsidRPr="00E87263">
        <w:rPr>
          <w:bCs/>
        </w:rPr>
        <w:t xml:space="preserve"> 1,2 a 3. Členské státy střední Evropy, tedy včetně ČR, budou pracovat na zvýšení rozsahu a přístupnost systémů ITS a jejich služeb, co se týče silniční dopravy, tak, aby byly poskytované ITS služby dostupné všem uživatelům dopravy ve všech členských státech bez rozdílných technických požadavků na příjem ITS služeb na straně uživatele a se stejnou organizací přenosu a organizací dopravních informací. Tento přístup je nutný, aby poskytované ITS služby byly harmonizované. </w:t>
      </w:r>
    </w:p>
    <w:p w14:paraId="6BF3361F" w14:textId="77777777" w:rsidR="00E87263" w:rsidRPr="00E87263" w:rsidRDefault="00E87263" w:rsidP="00E87263">
      <w:pPr>
        <w:pStyle w:val="Styl1"/>
        <w:rPr>
          <w:bCs/>
        </w:rPr>
      </w:pPr>
      <w:r w:rsidRPr="00E87263">
        <w:rPr>
          <w:bCs/>
        </w:rPr>
        <w:t>Projekt X4ITS má definované silniční sítě, které jsou předmětem výše uvedeného cíle a mezi ně patří vybrané silniční sítě ČR spadající do TEN-T. Přeshraniční oblasti na vybraných silničních sítí jsou primárním zaměřením, co se týče sdílení dopravních dat v rámci ITS systémů a následně poskytování ITS služeb. Pro zajištění tohoto cíle je nutné, aby v rámci ČR byly nastaveny dohodnuté organizační postupy pro sdílení těchto dopravních dat mezi jednotlivými zainteresovanými stranami, jako jsou členské státy EU, dopravci, soukromé subjekty aj. Tím se chce zajistit vyšší úroveň poskytovaných ITS služeb tím, že se zdroje dopravních dat a informací pro poskytování ITS služeb se rozšíří o další zdroje dopravních dat a informací sousedících členských států. Dále je cílem zvýšit počet poskytovaných ITS služeb.</w:t>
      </w:r>
    </w:p>
    <w:p w14:paraId="6AED69D9" w14:textId="0A382BA2" w:rsidR="00E87263" w:rsidRDefault="00E87263" w:rsidP="0088307E">
      <w:pPr>
        <w:keepNext/>
        <w:tabs>
          <w:tab w:val="left" w:pos="170"/>
        </w:tabs>
        <w:spacing w:before="240" w:after="200" w:line="276" w:lineRule="auto"/>
        <w:outlineLvl w:val="3"/>
      </w:pPr>
      <w:r w:rsidRPr="00E87263">
        <w:t>Projekt je realizován v režimu ex- post, v rámci kterého budou financovány zejména osobní výdaje, cestovné a další služby. Poměr národního podílu a podílu EU je stanoven</w:t>
      </w:r>
      <w:r w:rsidRPr="00E87263">
        <w:br/>
        <w:t xml:space="preserve">50 % : 50 %. Realizace projektu se předpokládá v období </w:t>
      </w:r>
      <w:r w:rsidR="00D17886" w:rsidRPr="0088307E">
        <w:t>do 31. 12. 2026</w:t>
      </w:r>
      <w:r w:rsidRPr="00D17886">
        <w:t>.</w:t>
      </w:r>
    </w:p>
    <w:p w14:paraId="12D0275A" w14:textId="79B40F3C" w:rsidR="00C33531" w:rsidRPr="00575DF7" w:rsidRDefault="00C33531" w:rsidP="00C33531">
      <w:pPr>
        <w:pStyle w:val="Titulek"/>
        <w:rPr>
          <w:noProof/>
        </w:rPr>
      </w:pPr>
      <w:r w:rsidRPr="00575DF7">
        <w:t xml:space="preserve">Tabulka č. </w:t>
      </w:r>
      <w:r w:rsidR="00C625C2">
        <w:rPr>
          <w:noProof/>
        </w:rPr>
        <w:t>58</w:t>
      </w:r>
      <w:r w:rsidRPr="00575DF7">
        <w:rPr>
          <w:noProof/>
        </w:rPr>
        <w:t xml:space="preserve"> Komunitární program </w:t>
      </w:r>
      <w:r>
        <w:rPr>
          <w:noProof/>
        </w:rPr>
        <w:t>CEF 2021+</w:t>
      </w:r>
      <w:r w:rsidRPr="00575DF7">
        <w:rPr>
          <w:noProof/>
        </w:rPr>
        <w:t xml:space="preserve"> - </w:t>
      </w:r>
      <w:r>
        <w:rPr>
          <w:noProof/>
        </w:rPr>
        <w:t>X4ITS</w:t>
      </w:r>
      <w:r w:rsidRPr="00575DF7">
        <w:rPr>
          <w:noProof/>
        </w:rPr>
        <w:t xml:space="preserv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33531" w:rsidRPr="00575DF7" w14:paraId="4A11C7DB" w14:textId="77777777" w:rsidTr="00DD5022">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6826C7A" w14:textId="77777777" w:rsidR="00C33531" w:rsidRPr="00575DF7" w:rsidRDefault="00C33531" w:rsidP="00DD5022">
            <w:pPr>
              <w:spacing w:before="27" w:after="27"/>
              <w:rPr>
                <w:rFonts w:eastAsia="Times New Roman" w:cs="Times New Roman"/>
                <w:b/>
                <w:lang w:eastAsia="cs-CZ"/>
              </w:rPr>
            </w:pPr>
            <w:r w:rsidRPr="00575DF7">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4887AC8" w14:textId="77777777" w:rsidR="00C33531" w:rsidRPr="00575DF7" w:rsidRDefault="00C33531" w:rsidP="00DD5022">
            <w:pPr>
              <w:spacing w:before="27" w:after="27"/>
              <w:ind w:firstLine="366"/>
              <w:rPr>
                <w:rFonts w:eastAsia="Times New Roman" w:cs="Times New Roman"/>
                <w:b/>
                <w:lang w:eastAsia="cs-CZ"/>
              </w:rPr>
            </w:pPr>
            <w:r w:rsidRPr="00575DF7">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2DB2B29" w14:textId="77777777" w:rsidR="00C33531" w:rsidRPr="00575DF7" w:rsidRDefault="00C33531" w:rsidP="00DD5022">
            <w:pPr>
              <w:spacing w:before="27" w:after="27"/>
              <w:ind w:firstLine="366"/>
              <w:rPr>
                <w:rFonts w:eastAsia="Times New Roman" w:cs="Times New Roman"/>
                <w:b/>
                <w:lang w:eastAsia="cs-CZ"/>
              </w:rPr>
            </w:pPr>
            <w:r w:rsidRPr="00575DF7">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0D13C24D" w14:textId="77777777" w:rsidR="00C33531" w:rsidRPr="00575DF7" w:rsidRDefault="00C33531" w:rsidP="00DD5022">
            <w:pPr>
              <w:spacing w:before="27" w:after="27"/>
              <w:jc w:val="center"/>
              <w:rPr>
                <w:rFonts w:eastAsia="Times New Roman" w:cs="Times New Roman"/>
                <w:b/>
                <w:lang w:eastAsia="cs-CZ"/>
              </w:rPr>
            </w:pPr>
            <w:r w:rsidRPr="00575DF7">
              <w:rPr>
                <w:rFonts w:eastAsia="Times New Roman" w:cs="Times New Roman"/>
                <w:b/>
                <w:lang w:eastAsia="cs-CZ"/>
              </w:rPr>
              <w:t>Celkem</w:t>
            </w:r>
          </w:p>
        </w:tc>
      </w:tr>
      <w:tr w:rsidR="00C33531" w:rsidRPr="00575DF7" w14:paraId="45207AFB" w14:textId="77777777" w:rsidTr="00DD5022">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272D0C21" w14:textId="77777777" w:rsidR="00C33531" w:rsidRPr="00575DF7" w:rsidRDefault="00C33531" w:rsidP="00DD5022">
            <w:pPr>
              <w:spacing w:before="27" w:after="27"/>
              <w:rPr>
                <w:rFonts w:eastAsia="Times New Roman" w:cs="Times New Roman"/>
                <w:lang w:eastAsia="cs-CZ"/>
              </w:rPr>
            </w:pPr>
            <w:r>
              <w:rPr>
                <w:rFonts w:eastAsia="Times New Roman" w:cs="Times New Roman"/>
                <w:lang w:eastAsia="cs-CZ"/>
              </w:rPr>
              <w:t>CEF 2021+ - X4ITS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637133A" w14:textId="77777777" w:rsidR="00C33531" w:rsidRPr="00575DF7" w:rsidRDefault="00C33531" w:rsidP="00DD5022">
            <w:pPr>
              <w:spacing w:before="27" w:after="27"/>
              <w:jc w:val="right"/>
              <w:rPr>
                <w:rFonts w:eastAsia="Times New Roman" w:cs="Times New Roman"/>
                <w:lang w:eastAsia="cs-CZ"/>
              </w:rPr>
            </w:pPr>
            <w:r>
              <w:rPr>
                <w:rFonts w:eastAsia="Times New Roman" w:cs="Times New Roman"/>
                <w:lang w:eastAsia="cs-CZ"/>
              </w:rPr>
              <w:t>1 319</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09E94541" w14:textId="77777777" w:rsidR="00C33531" w:rsidRPr="00575DF7" w:rsidRDefault="00C33531" w:rsidP="00DD5022">
            <w:pPr>
              <w:spacing w:before="27" w:after="27"/>
              <w:jc w:val="right"/>
              <w:rPr>
                <w:rFonts w:eastAsia="Times New Roman" w:cs="Times New Roman"/>
                <w:lang w:eastAsia="cs-CZ"/>
              </w:rPr>
            </w:pPr>
            <w:r>
              <w:rPr>
                <w:rFonts w:eastAsia="Times New Roman" w:cs="Times New Roman"/>
                <w:lang w:eastAsia="cs-CZ"/>
              </w:rPr>
              <w:t>1 319</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55129665" w14:textId="77777777" w:rsidR="00C33531" w:rsidRPr="00575DF7" w:rsidRDefault="00C33531" w:rsidP="00DD5022">
            <w:pPr>
              <w:spacing w:before="27" w:after="27"/>
              <w:jc w:val="right"/>
              <w:rPr>
                <w:rFonts w:eastAsia="Times New Roman" w:cs="Times New Roman"/>
                <w:b/>
                <w:lang w:eastAsia="cs-CZ"/>
              </w:rPr>
            </w:pPr>
            <w:r>
              <w:rPr>
                <w:rFonts w:eastAsia="Times New Roman" w:cs="Times New Roman"/>
                <w:b/>
                <w:lang w:eastAsia="cs-CZ"/>
              </w:rPr>
              <w:t>2 638</w:t>
            </w:r>
          </w:p>
        </w:tc>
      </w:tr>
    </w:tbl>
    <w:p w14:paraId="241E9753" w14:textId="2B7517C1" w:rsidR="00CA2F73" w:rsidRPr="00575DF7" w:rsidRDefault="00CA2F73" w:rsidP="00CA2F73">
      <w:pPr>
        <w:keepNext/>
        <w:numPr>
          <w:ilvl w:val="0"/>
          <w:numId w:val="31"/>
        </w:numPr>
        <w:tabs>
          <w:tab w:val="left" w:pos="170"/>
        </w:tabs>
        <w:spacing w:before="240" w:after="200" w:line="276" w:lineRule="auto"/>
        <w:outlineLvl w:val="3"/>
        <w:rPr>
          <w:rFonts w:eastAsia="Times New Roman" w:cs="Times New Roman"/>
          <w:b/>
          <w:szCs w:val="20"/>
          <w:u w:val="single"/>
          <w:lang w:eastAsia="cs-CZ"/>
        </w:rPr>
      </w:pPr>
      <w:proofErr w:type="spellStart"/>
      <w:r w:rsidRPr="00575DF7">
        <w:rPr>
          <w:rFonts w:eastAsia="Times New Roman" w:cs="Times New Roman"/>
          <w:b/>
          <w:szCs w:val="20"/>
          <w:u w:val="single"/>
          <w:lang w:eastAsia="cs-CZ"/>
        </w:rPr>
        <w:t>Horizon</w:t>
      </w:r>
      <w:proofErr w:type="spellEnd"/>
      <w:r w:rsidRPr="00575DF7">
        <w:rPr>
          <w:rFonts w:eastAsia="Times New Roman" w:cs="Times New Roman"/>
          <w:b/>
          <w:szCs w:val="20"/>
          <w:u w:val="single"/>
          <w:lang w:eastAsia="cs-CZ"/>
        </w:rPr>
        <w:t xml:space="preserve"> E</w:t>
      </w:r>
      <w:r w:rsidR="00E87263">
        <w:rPr>
          <w:rFonts w:eastAsia="Times New Roman" w:cs="Times New Roman"/>
          <w:b/>
          <w:szCs w:val="20"/>
          <w:u w:val="single"/>
          <w:lang w:eastAsia="cs-CZ"/>
        </w:rPr>
        <w:t>vropa</w:t>
      </w:r>
      <w:r w:rsidRPr="00575DF7">
        <w:rPr>
          <w:rFonts w:eastAsia="Times New Roman" w:cs="Times New Roman"/>
          <w:b/>
          <w:szCs w:val="20"/>
          <w:u w:val="single"/>
          <w:lang w:eastAsia="cs-CZ"/>
        </w:rPr>
        <w:t xml:space="preserve"> – FAME</w:t>
      </w:r>
    </w:p>
    <w:p w14:paraId="44A0187A" w14:textId="77777777" w:rsidR="00CA2F73" w:rsidRPr="00575DF7" w:rsidRDefault="00CA2F73" w:rsidP="00CA2F73">
      <w:pPr>
        <w:pStyle w:val="Styl1"/>
      </w:pPr>
      <w:r w:rsidRPr="00575DF7">
        <w:t xml:space="preserve">Rámcový program EU pro výzkum a inovace </w:t>
      </w:r>
      <w:proofErr w:type="spellStart"/>
      <w:r w:rsidRPr="00575DF7">
        <w:t>Horizon</w:t>
      </w:r>
      <w:proofErr w:type="spellEnd"/>
      <w:r w:rsidRPr="00575DF7">
        <w:t xml:space="preserve"> </w:t>
      </w:r>
      <w:proofErr w:type="spellStart"/>
      <w:r w:rsidRPr="00575DF7">
        <w:t>Europe</w:t>
      </w:r>
      <w:proofErr w:type="spellEnd"/>
      <w:r w:rsidRPr="00575DF7">
        <w:t xml:space="preserve"> představuje pro období 2021-2027 hlavní komunitární nástroj pro podporu výzkumu, vývoje a inovací. V jeho rámci probíhá v roce 2021 vyhlašování prvních výzev dle schválených dvouletých pracovních programů. V rámci oblasti mobility je řešeno i tzv. CCAM partnerství zaměřené na oblast kooperativní, datově propojené a automatizované mobility, kterou má MD ve své gesci. MD se pravidelně zapojuje do aktivit na evropské úrovni formou koordinace politik a i prostřednictvím zapojení do projektů, které mají za cíl tyto politiky sjednocovat a rozvíjet celou oblast. </w:t>
      </w:r>
    </w:p>
    <w:p w14:paraId="4CD7EB8B" w14:textId="77777777" w:rsidR="00CA2F73" w:rsidRPr="00575DF7" w:rsidRDefault="00CA2F73" w:rsidP="00CA2F73">
      <w:pPr>
        <w:pStyle w:val="Styl1"/>
      </w:pPr>
      <w:r w:rsidRPr="00575DF7">
        <w:t xml:space="preserve">MD bylo osloveno se záměrem zapojit MD do příprav projektu, který sdružení ERTICO-ITS EUROPE, jehož je MD členem, připravilo jako koordinátor budoucího konsorcia partnerů projektu pro výzvu z rámcového programu EU pro výzkum a inovace Horizont Evropa v rámci výzvy „HORIZON-CL5-2021-D6-01-06: Framework </w:t>
      </w:r>
      <w:proofErr w:type="spellStart"/>
      <w:r w:rsidRPr="00575DF7">
        <w:t>for</w:t>
      </w:r>
      <w:proofErr w:type="spellEnd"/>
      <w:r w:rsidRPr="00575DF7">
        <w:t xml:space="preserve"> </w:t>
      </w:r>
      <w:proofErr w:type="spellStart"/>
      <w:r w:rsidRPr="00575DF7">
        <w:t>better</w:t>
      </w:r>
      <w:proofErr w:type="spellEnd"/>
      <w:r w:rsidRPr="00575DF7">
        <w:t xml:space="preserve"> </w:t>
      </w:r>
      <w:proofErr w:type="spellStart"/>
      <w:r w:rsidRPr="00575DF7">
        <w:t>coordination</w:t>
      </w:r>
      <w:proofErr w:type="spellEnd"/>
      <w:r w:rsidRPr="00575DF7">
        <w:t xml:space="preserve"> </w:t>
      </w:r>
      <w:proofErr w:type="spellStart"/>
      <w:r w:rsidRPr="00575DF7">
        <w:t>of</w:t>
      </w:r>
      <w:proofErr w:type="spellEnd"/>
      <w:r w:rsidRPr="00575DF7">
        <w:t xml:space="preserve"> </w:t>
      </w:r>
      <w:proofErr w:type="spellStart"/>
      <w:r w:rsidRPr="00575DF7">
        <w:t>large-scale</w:t>
      </w:r>
      <w:proofErr w:type="spellEnd"/>
      <w:r w:rsidRPr="00575DF7">
        <w:t xml:space="preserve"> </w:t>
      </w:r>
      <w:proofErr w:type="spellStart"/>
      <w:r w:rsidRPr="00575DF7">
        <w:t>demonstration</w:t>
      </w:r>
      <w:proofErr w:type="spellEnd"/>
      <w:r w:rsidRPr="00575DF7">
        <w:t xml:space="preserve"> </w:t>
      </w:r>
      <w:proofErr w:type="spellStart"/>
      <w:r w:rsidRPr="00575DF7">
        <w:t>pilots</w:t>
      </w:r>
      <w:proofErr w:type="spellEnd"/>
      <w:r w:rsidRPr="00575DF7">
        <w:t xml:space="preserve"> in </w:t>
      </w:r>
      <w:proofErr w:type="spellStart"/>
      <w:r w:rsidRPr="00575DF7">
        <w:t>Europe</w:t>
      </w:r>
      <w:proofErr w:type="spellEnd"/>
      <w:r w:rsidRPr="00575DF7">
        <w:t xml:space="preserve"> and EU-</w:t>
      </w:r>
      <w:proofErr w:type="spellStart"/>
      <w:r w:rsidRPr="00575DF7">
        <w:t>wide</w:t>
      </w:r>
      <w:proofErr w:type="spellEnd"/>
      <w:r w:rsidRPr="00575DF7">
        <w:t xml:space="preserve"> </w:t>
      </w:r>
      <w:proofErr w:type="spellStart"/>
      <w:r w:rsidRPr="00575DF7">
        <w:t>knowledge</w:t>
      </w:r>
      <w:proofErr w:type="spellEnd"/>
      <w:r w:rsidRPr="00575DF7">
        <w:t xml:space="preserve"> base (CCAM </w:t>
      </w:r>
      <w:proofErr w:type="spellStart"/>
      <w:r w:rsidRPr="00575DF7">
        <w:t>Partnership</w:t>
      </w:r>
      <w:proofErr w:type="spellEnd"/>
      <w:r w:rsidRPr="00575DF7">
        <w:t>)“. Projekt s názvem „FAME“ v této výzvě, zaměřené na koordinaci aktivit v oblasti datově propojené, kooperativní a automatizované mobility, uspěl. Dalším krokem je podpis grantové dohody, která byla ze strany Evropské komise a hlavního řešitele projektu, tj. ERTICO-ITS EUROPE, podepsána, a nyní ji podepisují všichni projektoví partneři. Zahájení projektu se očekává v létě 2022.</w:t>
      </w:r>
    </w:p>
    <w:p w14:paraId="12740A91" w14:textId="77777777" w:rsidR="00CA2F73" w:rsidRPr="00575DF7" w:rsidRDefault="00CA2F73" w:rsidP="00CA2F73">
      <w:pPr>
        <w:pStyle w:val="Styl1"/>
      </w:pPr>
      <w:r w:rsidRPr="00575DF7">
        <w:t xml:space="preserve">Cílem projektu s celkovým rozpočtem 6 milionů EUR je připravit analýzu use </w:t>
      </w:r>
      <w:proofErr w:type="spellStart"/>
      <w:r w:rsidRPr="00575DF7">
        <w:t>caseů</w:t>
      </w:r>
      <w:proofErr w:type="spellEnd"/>
      <w:r w:rsidRPr="00575DF7">
        <w:t xml:space="preserve"> a harmonizovaného přístupu pro implementaci demonstračních aktivit v oblasti CCAM, evaluační metodologii navazující na výsledky prací platformy CCAM, které se MD také účastnilo, vytvořit rámec pro výměnu dobré praxe v oblasti testování datové výměny a obecně podmínek pro testování v otevřeném prostředí a vytvořit znalostní databázi včetně zapojení dalších </w:t>
      </w:r>
      <w:proofErr w:type="spellStart"/>
      <w:r w:rsidRPr="00575DF7">
        <w:t>stakeholderů</w:t>
      </w:r>
      <w:proofErr w:type="spellEnd"/>
      <w:r w:rsidRPr="00575DF7">
        <w:t>. Cílem je zlepšit koordinaci celého tématu v rámci EU, a to především v oblasti testování a společného přístupu k němu a také posílení vzájemné informovanosti a znalostní základny.</w:t>
      </w:r>
    </w:p>
    <w:p w14:paraId="08C612B4" w14:textId="77777777" w:rsidR="00CA2F73" w:rsidRPr="00575DF7" w:rsidRDefault="00CA2F73" w:rsidP="00CA2F73">
      <w:pPr>
        <w:pStyle w:val="Styl1"/>
      </w:pPr>
      <w:r w:rsidRPr="00575DF7">
        <w:t>Jako člen ERTICO – ITS EUROPE neplatilo MD žádný poplatek za připojení se ke konsorciu. U tohoto typu akcí je maximální možná míra financování stanovena na 100%. Délka projektu je 36 měsíců. Celková částka, kterou MD obdrží na financování aktivit (tj. na osobní náklady a cestovné) je 58 125 EUR. MD se prostřednictvím zapojení do pracovních balíčků bude podílet na expertních vstupech především v oblasti regulace a etiky, přípravě a rozšíření znalostní základny pro tyto oblasti, zapojení do plánovaných akcí a aktivit (sympozia, konference) a dílčí šíření výsledků. MD zapojením do projektu přispěje rovněž k synergiím s realizací partnerství CCAM a naplnění jeho Strategické a inovační agendy, což je i cílem politiky MD v oblasti autonomní mobility.</w:t>
      </w:r>
    </w:p>
    <w:p w14:paraId="31C83572" w14:textId="6F74A356" w:rsidR="00CA2F73" w:rsidRPr="00575DF7" w:rsidRDefault="00CA2F73" w:rsidP="00CA2F73">
      <w:pPr>
        <w:pStyle w:val="Titulek"/>
        <w:rPr>
          <w:noProof/>
        </w:rPr>
      </w:pPr>
      <w:r w:rsidRPr="00575DF7">
        <w:t xml:space="preserve">Tabulka č. </w:t>
      </w:r>
      <w:r w:rsidR="00C625C2">
        <w:rPr>
          <w:noProof/>
        </w:rPr>
        <w:t>59</w:t>
      </w:r>
      <w:r w:rsidRPr="00575DF7">
        <w:rPr>
          <w:noProof/>
        </w:rPr>
        <w:t xml:space="preserve"> Komunitární program Horizon E</w:t>
      </w:r>
      <w:r w:rsidR="00C33531">
        <w:rPr>
          <w:noProof/>
        </w:rPr>
        <w:t>vropa</w:t>
      </w:r>
      <w:r w:rsidRPr="00575DF7">
        <w:rPr>
          <w:noProof/>
        </w:rPr>
        <w:t xml:space="preserve"> - FAME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575DF7" w14:paraId="454ED14E" w14:textId="77777777" w:rsidTr="00726785">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8B716C6" w14:textId="77777777" w:rsidR="00CA2F73" w:rsidRPr="00575DF7" w:rsidRDefault="00CA2F73" w:rsidP="00726785">
            <w:pPr>
              <w:spacing w:before="27" w:after="27"/>
              <w:rPr>
                <w:rFonts w:eastAsia="Times New Roman" w:cs="Times New Roman"/>
                <w:b/>
                <w:lang w:eastAsia="cs-CZ"/>
              </w:rPr>
            </w:pPr>
            <w:r w:rsidRPr="00575DF7">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2F1AB41" w14:textId="77777777" w:rsidR="00CA2F73" w:rsidRPr="00575DF7" w:rsidRDefault="00CA2F73" w:rsidP="00726785">
            <w:pPr>
              <w:spacing w:before="27" w:after="27"/>
              <w:ind w:firstLine="366"/>
              <w:rPr>
                <w:rFonts w:eastAsia="Times New Roman" w:cs="Times New Roman"/>
                <w:b/>
                <w:lang w:eastAsia="cs-CZ"/>
              </w:rPr>
            </w:pPr>
            <w:r w:rsidRPr="00575DF7">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C43CA16" w14:textId="77777777" w:rsidR="00CA2F73" w:rsidRPr="00575DF7" w:rsidRDefault="00CA2F73" w:rsidP="00726785">
            <w:pPr>
              <w:spacing w:before="27" w:after="27"/>
              <w:ind w:firstLine="366"/>
              <w:rPr>
                <w:rFonts w:eastAsia="Times New Roman" w:cs="Times New Roman"/>
                <w:b/>
                <w:lang w:eastAsia="cs-CZ"/>
              </w:rPr>
            </w:pPr>
            <w:r w:rsidRPr="00575DF7">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FAC6FED" w14:textId="77777777" w:rsidR="00CA2F73" w:rsidRPr="00575DF7" w:rsidRDefault="00CA2F73" w:rsidP="00726785">
            <w:pPr>
              <w:spacing w:before="27" w:after="27"/>
              <w:jc w:val="center"/>
              <w:rPr>
                <w:rFonts w:eastAsia="Times New Roman" w:cs="Times New Roman"/>
                <w:b/>
                <w:lang w:eastAsia="cs-CZ"/>
              </w:rPr>
            </w:pPr>
            <w:r w:rsidRPr="00575DF7">
              <w:rPr>
                <w:rFonts w:eastAsia="Times New Roman" w:cs="Times New Roman"/>
                <w:b/>
                <w:lang w:eastAsia="cs-CZ"/>
              </w:rPr>
              <w:t>Celkem</w:t>
            </w:r>
          </w:p>
        </w:tc>
      </w:tr>
      <w:tr w:rsidR="00CA2F73" w:rsidRPr="00575DF7" w14:paraId="140495EE" w14:textId="77777777" w:rsidTr="00726785">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7BC08110" w14:textId="77777777" w:rsidR="00CA2F73" w:rsidRPr="00575DF7" w:rsidRDefault="00CA2F73" w:rsidP="00726785">
            <w:pPr>
              <w:spacing w:before="27" w:after="27"/>
              <w:rPr>
                <w:rFonts w:eastAsia="Times New Roman" w:cs="Times New Roman"/>
                <w:lang w:eastAsia="cs-CZ"/>
              </w:rPr>
            </w:pPr>
            <w:proofErr w:type="spellStart"/>
            <w:r w:rsidRPr="00575DF7">
              <w:rPr>
                <w:rFonts w:eastAsia="Times New Roman" w:cs="Times New Roman"/>
                <w:lang w:eastAsia="cs-CZ"/>
              </w:rPr>
              <w:t>Horizon</w:t>
            </w:r>
            <w:proofErr w:type="spellEnd"/>
            <w:r w:rsidRPr="00575DF7">
              <w:rPr>
                <w:rFonts w:eastAsia="Times New Roman" w:cs="Times New Roman"/>
                <w:lang w:eastAsia="cs-CZ"/>
              </w:rPr>
              <w:t xml:space="preserve"> </w:t>
            </w:r>
            <w:proofErr w:type="spellStart"/>
            <w:r w:rsidRPr="00575DF7">
              <w:rPr>
                <w:rFonts w:eastAsia="Times New Roman" w:cs="Times New Roman"/>
                <w:lang w:eastAsia="cs-CZ"/>
              </w:rPr>
              <w:t>Europe</w:t>
            </w:r>
            <w:proofErr w:type="spellEnd"/>
            <w:r w:rsidRPr="00575DF7">
              <w:rPr>
                <w:rFonts w:eastAsia="Times New Roman" w:cs="Times New Roman"/>
                <w:lang w:eastAsia="cs-CZ"/>
              </w:rPr>
              <w:t>_- FAME</w:t>
            </w:r>
            <w:r>
              <w:rPr>
                <w:rFonts w:eastAsia="Times New Roman" w:cs="Times New Roman"/>
                <w:lang w:eastAsia="cs-CZ"/>
              </w:rPr>
              <w:t xml:space="preserve">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232439F3" w14:textId="77777777" w:rsidR="00CA2F73" w:rsidRPr="00575DF7" w:rsidRDefault="00CA2F73" w:rsidP="00726785">
            <w:pPr>
              <w:spacing w:before="27" w:after="27"/>
              <w:jc w:val="right"/>
              <w:rPr>
                <w:rFonts w:eastAsia="Times New Roman" w:cs="Times New Roman"/>
                <w:lang w:eastAsia="cs-CZ"/>
              </w:rPr>
            </w:pPr>
            <w:r w:rsidRPr="00575DF7">
              <w:rPr>
                <w:rFonts w:eastAsia="Times New Roman" w:cs="Times New Roman"/>
                <w:lang w:eastAsia="cs-CZ"/>
              </w:rPr>
              <w:t>385</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FCFF1EC" w14:textId="77777777" w:rsidR="00CA2F73" w:rsidRPr="00575DF7" w:rsidRDefault="00CA2F73" w:rsidP="00726785">
            <w:pPr>
              <w:spacing w:before="27" w:after="27"/>
              <w:jc w:val="right"/>
              <w:rPr>
                <w:rFonts w:eastAsia="Times New Roman" w:cs="Times New Roman"/>
                <w:lang w:eastAsia="cs-CZ"/>
              </w:rPr>
            </w:pPr>
            <w:r w:rsidRPr="00575DF7">
              <w:rPr>
                <w:rFonts w:eastAsia="Times New Roman" w:cs="Times New Roman"/>
                <w:lang w:eastAsia="cs-CZ"/>
              </w:rPr>
              <w:t>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2780D1FD" w14:textId="77777777" w:rsidR="00CA2F73" w:rsidRPr="00575DF7" w:rsidRDefault="00CA2F73" w:rsidP="00726785">
            <w:pPr>
              <w:spacing w:before="27" w:after="27"/>
              <w:jc w:val="right"/>
              <w:rPr>
                <w:rFonts w:eastAsia="Times New Roman" w:cs="Times New Roman"/>
                <w:b/>
                <w:lang w:eastAsia="cs-CZ"/>
              </w:rPr>
            </w:pPr>
            <w:r w:rsidRPr="00575DF7">
              <w:rPr>
                <w:rFonts w:eastAsia="Times New Roman" w:cs="Times New Roman"/>
                <w:b/>
                <w:lang w:eastAsia="cs-CZ"/>
              </w:rPr>
              <w:t>385</w:t>
            </w:r>
          </w:p>
        </w:tc>
      </w:tr>
    </w:tbl>
    <w:p w14:paraId="0EF875B9" w14:textId="77777777" w:rsidR="00CA2F73" w:rsidRPr="0051026A" w:rsidRDefault="00CA2F73" w:rsidP="00CA2F73">
      <w:pPr>
        <w:keepNext/>
        <w:numPr>
          <w:ilvl w:val="0"/>
          <w:numId w:val="31"/>
        </w:numPr>
        <w:tabs>
          <w:tab w:val="left" w:pos="170"/>
        </w:tabs>
        <w:spacing w:before="240" w:after="200" w:line="276" w:lineRule="auto"/>
        <w:outlineLvl w:val="3"/>
        <w:rPr>
          <w:rFonts w:eastAsia="Times New Roman" w:cs="Times New Roman"/>
          <w:b/>
          <w:szCs w:val="20"/>
          <w:u w:val="single"/>
          <w:lang w:eastAsia="cs-CZ"/>
        </w:rPr>
      </w:pPr>
      <w:r w:rsidRPr="0051026A">
        <w:rPr>
          <w:rFonts w:eastAsia="Times New Roman" w:cs="Times New Roman"/>
          <w:b/>
          <w:szCs w:val="20"/>
          <w:u w:val="single"/>
          <w:lang w:eastAsia="cs-CZ"/>
        </w:rPr>
        <w:t xml:space="preserve">Kosmický program EU - EU SST </w:t>
      </w:r>
      <w:proofErr w:type="spellStart"/>
      <w:r w:rsidRPr="0051026A">
        <w:rPr>
          <w:rFonts w:eastAsia="Times New Roman" w:cs="Times New Roman"/>
          <w:b/>
          <w:szCs w:val="24"/>
          <w:u w:val="single"/>
          <w:lang w:eastAsia="cs-CZ"/>
        </w:rPr>
        <w:t>Partnership</w:t>
      </w:r>
      <w:proofErr w:type="spellEnd"/>
    </w:p>
    <w:p w14:paraId="6CC8FEC4" w14:textId="77777777" w:rsidR="00CA2F73" w:rsidRPr="0051026A" w:rsidRDefault="00CA2F73" w:rsidP="00CA2F73">
      <w:pPr>
        <w:keepLines/>
        <w:spacing w:before="240" w:after="240" w:line="276" w:lineRule="auto"/>
        <w:rPr>
          <w:rFonts w:eastAsia="Times New Roman" w:cs="Times New Roman"/>
          <w:iCs/>
          <w:szCs w:val="24"/>
          <w:lang w:eastAsia="cs-CZ"/>
        </w:rPr>
      </w:pPr>
      <w:r w:rsidRPr="0051026A">
        <w:rPr>
          <w:rFonts w:eastAsia="Times New Roman" w:cs="Times New Roman"/>
          <w:iCs/>
          <w:szCs w:val="24"/>
          <w:lang w:eastAsia="cs-CZ"/>
        </w:rPr>
        <w:t xml:space="preserve">Zapojení ČR do EU SST </w:t>
      </w:r>
      <w:proofErr w:type="spellStart"/>
      <w:r w:rsidRPr="0051026A">
        <w:rPr>
          <w:rFonts w:eastAsia="Times New Roman" w:cs="Times New Roman"/>
          <w:iCs/>
          <w:szCs w:val="24"/>
          <w:lang w:eastAsia="cs-CZ"/>
        </w:rPr>
        <w:t>Partnership</w:t>
      </w:r>
      <w:proofErr w:type="spellEnd"/>
      <w:r w:rsidRPr="0051026A">
        <w:rPr>
          <w:rFonts w:eastAsia="Times New Roman" w:cs="Times New Roman"/>
          <w:iCs/>
          <w:szCs w:val="24"/>
          <w:lang w:eastAsia="cs-CZ"/>
        </w:rPr>
        <w:t xml:space="preserve"> </w:t>
      </w:r>
      <w:r w:rsidRPr="0051026A">
        <w:rPr>
          <w:rFonts w:eastAsia="Times New Roman" w:cs="Times New Roman"/>
          <w:b/>
          <w:iCs/>
          <w:szCs w:val="24"/>
          <w:lang w:eastAsia="cs-CZ"/>
        </w:rPr>
        <w:t>představuje implementaci doporučení č. 44 Národního kosmického plánu 2020-2025</w:t>
      </w:r>
      <w:r w:rsidRPr="0051026A">
        <w:rPr>
          <w:rFonts w:eastAsia="Times New Roman" w:cs="Times New Roman"/>
          <w:iCs/>
          <w:szCs w:val="24"/>
          <w:lang w:eastAsia="cs-CZ"/>
        </w:rPr>
        <w:t xml:space="preserve">, schváleného Vládou ČR dne 14.10 2019. </w:t>
      </w:r>
      <w:r w:rsidRPr="0051026A">
        <w:rPr>
          <w:rFonts w:eastAsia="Times New Roman" w:cs="Times New Roman"/>
          <w:b/>
          <w:iCs/>
          <w:szCs w:val="24"/>
          <w:lang w:eastAsia="cs-CZ"/>
        </w:rPr>
        <w:t xml:space="preserve">EU SST </w:t>
      </w:r>
      <w:proofErr w:type="spellStart"/>
      <w:r w:rsidRPr="0051026A">
        <w:rPr>
          <w:rFonts w:eastAsia="Times New Roman" w:cs="Times New Roman"/>
          <w:b/>
          <w:iCs/>
          <w:szCs w:val="24"/>
          <w:lang w:eastAsia="cs-CZ"/>
        </w:rPr>
        <w:t>Partnership</w:t>
      </w:r>
      <w:proofErr w:type="spellEnd"/>
      <w:r w:rsidRPr="0051026A">
        <w:rPr>
          <w:rFonts w:eastAsia="Times New Roman" w:cs="Times New Roman"/>
          <w:b/>
          <w:iCs/>
          <w:szCs w:val="24"/>
          <w:lang w:eastAsia="cs-CZ"/>
        </w:rPr>
        <w:t xml:space="preserve"> je integrální součástí nového Kosmického programu EU</w:t>
      </w:r>
      <w:r w:rsidRPr="0051026A">
        <w:rPr>
          <w:rFonts w:eastAsia="Times New Roman" w:cs="Times New Roman"/>
          <w:iCs/>
          <w:szCs w:val="24"/>
          <w:lang w:eastAsia="cs-CZ"/>
        </w:rPr>
        <w:t>, schváleného Evropským Parlamentem a Radou v dubnu 2021 a řízeného agenturou EUSPA sídlící v Praze.</w:t>
      </w:r>
    </w:p>
    <w:p w14:paraId="75E286C2" w14:textId="77777777" w:rsidR="00CA2F73" w:rsidRPr="0051026A" w:rsidRDefault="00CA2F73" w:rsidP="00CA2F73">
      <w:pPr>
        <w:pStyle w:val="Styl1"/>
      </w:pPr>
      <w:r w:rsidRPr="0051026A">
        <w:t xml:space="preserve">Obecným cílem EU SST </w:t>
      </w:r>
      <w:proofErr w:type="spellStart"/>
      <w:r w:rsidRPr="0051026A">
        <w:t>Partnership</w:t>
      </w:r>
      <w:proofErr w:type="spellEnd"/>
      <w:r w:rsidRPr="0051026A">
        <w:t xml:space="preserve"> je zajištění dlouhodobého zabezpečení evropských a národních kosmických infrastruktur (tj. i budoucích českých družic) před kosmickou tříští s přesahem ke zvýšení bezpečnosti provozu na oběžných drahách skrze poskytování služby včasného varování před možným vzájemným střetem aktivních družic či jejich ohrožení kosmickou tříští, analýzy rozpadu neaktivních družic při vstupu do zemské atmosféry </w:t>
      </w:r>
      <w:r w:rsidRPr="0051026A">
        <w:br/>
        <w:t xml:space="preserve">či analýzy fragmentace v případě orbitální srážky. </w:t>
      </w:r>
    </w:p>
    <w:p w14:paraId="0E58AD80" w14:textId="77777777" w:rsidR="00CA2F73" w:rsidRPr="0051026A" w:rsidRDefault="00CA2F73" w:rsidP="00CA2F73">
      <w:pPr>
        <w:pStyle w:val="Styl1"/>
      </w:pPr>
      <w:r w:rsidRPr="0051026A">
        <w:t xml:space="preserve">EU SST Rámec (Rámec) byl založen v r. 2015 a aktuálně chrání více než 240 evropských družic (vč. družic systémů GALILEO, COPERNICUS, EUMETSAT a dalších operátorů), které poskytují každodenní služby (nejen) pro občany EU na kterých je dnešní společnost závislá. Provoz na oběžných drahách v posledních letech také citelně narůstá, s čímž se pojí zvyšující se nebezpečí pro evropské zájmy v dané oblasti. Příčinou je např. vznik tzv. </w:t>
      </w:r>
      <w:proofErr w:type="spellStart"/>
      <w:r w:rsidRPr="0051026A">
        <w:t>megakonstelací</w:t>
      </w:r>
      <w:proofErr w:type="spellEnd"/>
      <w:r w:rsidRPr="0051026A">
        <w:t xml:space="preserve"> </w:t>
      </w:r>
      <w:proofErr w:type="spellStart"/>
      <w:r w:rsidRPr="0051026A">
        <w:t>SpaceX</w:t>
      </w:r>
      <w:proofErr w:type="spellEnd"/>
      <w:r w:rsidRPr="0051026A">
        <w:t xml:space="preserve">, </w:t>
      </w:r>
      <w:proofErr w:type="spellStart"/>
      <w:r w:rsidRPr="0051026A">
        <w:t>OneWeb</w:t>
      </w:r>
      <w:proofErr w:type="spellEnd"/>
      <w:r w:rsidRPr="0051026A">
        <w:t xml:space="preserve"> aj., které budou čítat stovky až tisíce malých družic.</w:t>
      </w:r>
    </w:p>
    <w:p w14:paraId="7B04C610" w14:textId="2BE83EAB" w:rsidR="00CA2F73" w:rsidRPr="0051026A" w:rsidRDefault="00CA2F73" w:rsidP="00CA2F73">
      <w:pPr>
        <w:pStyle w:val="Styl1"/>
      </w:pPr>
      <w:r w:rsidRPr="0051026A">
        <w:t xml:space="preserve">V rámci přístupových diskuzí proběhly vícefázové testovací a validační kampaně k vyhodnocení výkonu a vhodnosti nových potenciálních sensorů. V případě ČR se jedná </w:t>
      </w:r>
      <w:r w:rsidRPr="0051026A">
        <w:br/>
        <w:t xml:space="preserve">o Observatoř a planetárium v Teplicích provozující senzor „SHOT“, který je jako jediný v ČR validovaný na SST monitoring v důsledku předchozího zapojení do projektů ESA obdobného zaměření. Kampaň se finalizuje, předpoklady českého senzoru jsou velmi slibné </w:t>
      </w:r>
      <w:r w:rsidRPr="0051026A">
        <w:rPr>
          <w:i/>
        </w:rPr>
        <w:t xml:space="preserve">(k zapojení </w:t>
      </w:r>
      <w:r>
        <w:rPr>
          <w:i/>
        </w:rPr>
        <w:t>členského státu</w:t>
      </w:r>
      <w:r w:rsidRPr="0051026A">
        <w:rPr>
          <w:i/>
        </w:rPr>
        <w:t xml:space="preserve"> do EU SST </w:t>
      </w:r>
      <w:proofErr w:type="spellStart"/>
      <w:r w:rsidRPr="0051026A">
        <w:rPr>
          <w:i/>
        </w:rPr>
        <w:t>Partnership</w:t>
      </w:r>
      <w:proofErr w:type="spellEnd"/>
      <w:r w:rsidRPr="0051026A">
        <w:rPr>
          <w:i/>
        </w:rPr>
        <w:t xml:space="preserve"> je nezbytné, aby </w:t>
      </w:r>
      <w:r>
        <w:rPr>
          <w:i/>
        </w:rPr>
        <w:t>členský stát</w:t>
      </w:r>
      <w:r w:rsidRPr="0051026A">
        <w:rPr>
          <w:i/>
        </w:rPr>
        <w:t xml:space="preserve"> disponoval vhodným sensorem, který aktivně přispěje do evropské senzorické sítě)</w:t>
      </w:r>
      <w:r w:rsidRPr="0051026A">
        <w:t>. V roce 2023 se předpokládají financovat náklady na straně národního zastupujícího subjektu (MD) z pozice zajištění personálních kapacit na administrativní aktivity (finanční motivace pro 3 zaměstnance, DPČ v rozsahu půl úvazku – zastupování v řídícím výboru, management projektu, financí, náklady na ZPC) ve výši 950 000,- Kč</w:t>
      </w:r>
      <w:r w:rsidR="00042342">
        <w:t>.</w:t>
      </w:r>
    </w:p>
    <w:p w14:paraId="012F475B" w14:textId="77777777" w:rsidR="00CA2F73" w:rsidRPr="009A5D39" w:rsidRDefault="00CA2F73" w:rsidP="00CA2F73">
      <w:pPr>
        <w:pStyle w:val="Styl1"/>
        <w:rPr>
          <w:color w:val="FF0000"/>
          <w:u w:val="single"/>
        </w:rPr>
      </w:pPr>
      <w:r w:rsidRPr="009A5D39">
        <w:t>Náklady budou hrazeny ze strany EK</w:t>
      </w:r>
      <w:r>
        <w:t xml:space="preserve">, </w:t>
      </w:r>
      <w:r w:rsidRPr="009A5D39">
        <w:t xml:space="preserve">přesné podmínky vyvstanou z návazných grantových dohod připravovaných v Q3 a Q4 2022. Prozatím však nejsou známy uznatelné náklady, lze tedy předpokládat jistou míru kofinancování ze strany </w:t>
      </w:r>
      <w:r>
        <w:t>členských států</w:t>
      </w:r>
      <w:r w:rsidRPr="009A5D39">
        <w:t xml:space="preserve"> (předpoklad 20 procent). Potřebné smluvní dokumenty EU SST </w:t>
      </w:r>
      <w:proofErr w:type="spellStart"/>
      <w:r w:rsidRPr="009A5D39">
        <w:t>Partnership</w:t>
      </w:r>
      <w:proofErr w:type="spellEnd"/>
      <w:r w:rsidRPr="009A5D39">
        <w:t xml:space="preserve"> jsou připravovány EK ve spoluprác</w:t>
      </w:r>
      <w:r>
        <w:t>i s členskými státy EU v průběhu r. 2022. O</w:t>
      </w:r>
      <w:r w:rsidRPr="009A5D39">
        <w:t xml:space="preserve">ficiální spuštění SST </w:t>
      </w:r>
      <w:proofErr w:type="spellStart"/>
      <w:r w:rsidRPr="009A5D39">
        <w:t>Partnership</w:t>
      </w:r>
      <w:proofErr w:type="spellEnd"/>
      <w:r w:rsidRPr="009A5D39">
        <w:t xml:space="preserve"> je plánované na </w:t>
      </w:r>
      <w:r>
        <w:br/>
      </w:r>
      <w:r w:rsidRPr="009A5D39">
        <w:t>1. pol. 2023</w:t>
      </w:r>
      <w:r>
        <w:t xml:space="preserve"> a ukončení projektu se předpokládá v roce </w:t>
      </w:r>
      <w:r w:rsidRPr="00042342">
        <w:t>2027</w:t>
      </w:r>
      <w:r w:rsidRPr="0088307E">
        <w:t>.</w:t>
      </w:r>
    </w:p>
    <w:p w14:paraId="0DD12522" w14:textId="572F3ED5" w:rsidR="00CA2F73" w:rsidRPr="009B7C75" w:rsidRDefault="00CA2F73" w:rsidP="00CA2F73">
      <w:pPr>
        <w:pStyle w:val="Titulek"/>
        <w:rPr>
          <w:noProof/>
        </w:rPr>
      </w:pPr>
      <w:r w:rsidRPr="009B7C75">
        <w:t xml:space="preserve">Tabulka č. </w:t>
      </w:r>
      <w:r w:rsidR="00C33531">
        <w:rPr>
          <w:noProof/>
        </w:rPr>
        <w:t>6</w:t>
      </w:r>
      <w:r w:rsidR="00C625C2">
        <w:rPr>
          <w:noProof/>
        </w:rPr>
        <w:t>0</w:t>
      </w:r>
      <w:r w:rsidRPr="009B7C75">
        <w:rPr>
          <w:noProof/>
        </w:rPr>
        <w:t xml:space="preserve"> Kosmický program unie_EU SST Partnership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9B7C75" w14:paraId="1E26AF68" w14:textId="77777777" w:rsidTr="00726785">
        <w:trPr>
          <w:trHeight w:val="494"/>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B8A503D" w14:textId="77777777" w:rsidR="00CA2F73" w:rsidRPr="009B7C75" w:rsidRDefault="00CA2F73" w:rsidP="00726785">
            <w:pPr>
              <w:spacing w:before="27" w:after="27"/>
              <w:rPr>
                <w:rFonts w:eastAsia="Times New Roman" w:cs="Times New Roman"/>
                <w:b/>
                <w:lang w:eastAsia="cs-CZ"/>
              </w:rPr>
            </w:pPr>
            <w:r w:rsidRPr="009B7C75">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434ECB1" w14:textId="77777777" w:rsidR="00CA2F73" w:rsidRPr="009B7C75" w:rsidRDefault="00CA2F73" w:rsidP="00726785">
            <w:pPr>
              <w:spacing w:before="27" w:after="27"/>
              <w:ind w:firstLine="366"/>
              <w:rPr>
                <w:rFonts w:eastAsia="Times New Roman" w:cs="Times New Roman"/>
                <w:b/>
                <w:lang w:eastAsia="cs-CZ"/>
              </w:rPr>
            </w:pPr>
            <w:r w:rsidRPr="009B7C75">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D693129" w14:textId="77777777" w:rsidR="00CA2F73" w:rsidRPr="009B7C75" w:rsidRDefault="00CA2F73" w:rsidP="00726785">
            <w:pPr>
              <w:spacing w:before="27" w:after="27"/>
              <w:ind w:firstLine="366"/>
              <w:rPr>
                <w:rFonts w:eastAsia="Times New Roman" w:cs="Times New Roman"/>
                <w:b/>
                <w:lang w:eastAsia="cs-CZ"/>
              </w:rPr>
            </w:pPr>
            <w:r w:rsidRPr="009B7C75">
              <w:rPr>
                <w:rFonts w:eastAsia="Times New Roman" w:cs="Times New Roman"/>
                <w:b/>
                <w:lang w:eastAsia="cs-CZ"/>
              </w:rPr>
              <w:t>SR</w:t>
            </w:r>
          </w:p>
        </w:tc>
        <w:tc>
          <w:tcPr>
            <w:tcW w:w="799"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78FAE83" w14:textId="77777777" w:rsidR="00CA2F73" w:rsidRPr="009B7C75" w:rsidRDefault="00CA2F73" w:rsidP="00726785">
            <w:pPr>
              <w:spacing w:before="27" w:after="27"/>
              <w:jc w:val="center"/>
              <w:rPr>
                <w:rFonts w:eastAsia="Times New Roman" w:cs="Times New Roman"/>
                <w:b/>
                <w:lang w:eastAsia="cs-CZ"/>
              </w:rPr>
            </w:pPr>
            <w:r w:rsidRPr="009B7C75">
              <w:rPr>
                <w:rFonts w:eastAsia="Times New Roman" w:cs="Times New Roman"/>
                <w:b/>
                <w:lang w:eastAsia="cs-CZ"/>
              </w:rPr>
              <w:t>Celkem</w:t>
            </w:r>
          </w:p>
        </w:tc>
      </w:tr>
      <w:tr w:rsidR="00CA2F73" w:rsidRPr="009B7C75" w14:paraId="1578D13E" w14:textId="77777777" w:rsidTr="00726785">
        <w:trPr>
          <w:trHeight w:val="456"/>
          <w:jc w:val="center"/>
        </w:trPr>
        <w:tc>
          <w:tcPr>
            <w:tcW w:w="2602" w:type="pct"/>
            <w:tcBorders>
              <w:top w:val="single" w:sz="4" w:space="0" w:color="7F7F7F" w:themeColor="text1" w:themeTint="80"/>
              <w:bottom w:val="single" w:sz="4" w:space="0" w:color="7F7F7F" w:themeColor="text1" w:themeTint="80"/>
            </w:tcBorders>
            <w:shd w:val="clear" w:color="auto" w:fill="auto"/>
          </w:tcPr>
          <w:p w14:paraId="4D23FE20" w14:textId="77777777" w:rsidR="00CA2F73" w:rsidRPr="009B7C75" w:rsidRDefault="00CA2F73" w:rsidP="00726785">
            <w:pPr>
              <w:spacing w:before="27" w:after="27"/>
              <w:rPr>
                <w:rFonts w:eastAsia="Times New Roman" w:cs="Times New Roman"/>
                <w:lang w:eastAsia="cs-CZ"/>
              </w:rPr>
            </w:pPr>
            <w:r w:rsidRPr="009B7C75">
              <w:rPr>
                <w:rFonts w:eastAsia="Times New Roman" w:cs="Times New Roman"/>
                <w:lang w:eastAsia="cs-CZ"/>
              </w:rPr>
              <w:t xml:space="preserve">Kosmický program </w:t>
            </w:r>
            <w:proofErr w:type="spellStart"/>
            <w:r w:rsidRPr="009B7C75">
              <w:rPr>
                <w:rFonts w:eastAsia="Times New Roman" w:cs="Times New Roman"/>
                <w:lang w:eastAsia="cs-CZ"/>
              </w:rPr>
              <w:t>unie_EU</w:t>
            </w:r>
            <w:proofErr w:type="spellEnd"/>
            <w:r w:rsidRPr="009B7C75">
              <w:rPr>
                <w:rFonts w:eastAsia="Times New Roman" w:cs="Times New Roman"/>
                <w:lang w:eastAsia="cs-CZ"/>
              </w:rPr>
              <w:t xml:space="preserve"> SST </w:t>
            </w:r>
            <w:proofErr w:type="spellStart"/>
            <w:r w:rsidRPr="009B7C75">
              <w:rPr>
                <w:rFonts w:eastAsia="Times New Roman" w:cs="Times New Roman"/>
                <w:lang w:eastAsia="cs-CZ"/>
              </w:rPr>
              <w:t>Partnership</w:t>
            </w:r>
            <w:proofErr w:type="spellEnd"/>
            <w:r>
              <w:rPr>
                <w:rFonts w:eastAsia="Times New Roman" w:cs="Times New Roman"/>
                <w:lang w:eastAsia="cs-CZ"/>
              </w:rPr>
              <w:t xml:space="preserve"> (ÚO MD)</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8D8E731" w14:textId="77777777" w:rsidR="00CA2F73" w:rsidRPr="009B7C75" w:rsidRDefault="00CA2F73" w:rsidP="00726785">
            <w:pPr>
              <w:spacing w:before="27" w:after="27"/>
              <w:jc w:val="right"/>
              <w:rPr>
                <w:rFonts w:eastAsia="Times New Roman" w:cs="Times New Roman"/>
                <w:lang w:eastAsia="cs-CZ"/>
              </w:rPr>
            </w:pPr>
            <w:r w:rsidRPr="009B7C75">
              <w:rPr>
                <w:rFonts w:eastAsia="Times New Roman" w:cs="Times New Roman"/>
                <w:lang w:eastAsia="cs-CZ"/>
              </w:rPr>
              <w:t>760</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342A2D46" w14:textId="77777777" w:rsidR="00CA2F73" w:rsidRPr="009B7C75" w:rsidRDefault="00CA2F73" w:rsidP="00726785">
            <w:pPr>
              <w:spacing w:before="27" w:after="27"/>
              <w:jc w:val="right"/>
              <w:rPr>
                <w:rFonts w:eastAsia="Times New Roman" w:cs="Times New Roman"/>
                <w:lang w:eastAsia="cs-CZ"/>
              </w:rPr>
            </w:pPr>
            <w:r w:rsidRPr="009B7C75">
              <w:rPr>
                <w:rFonts w:eastAsia="Times New Roman" w:cs="Times New Roman"/>
                <w:lang w:eastAsia="cs-CZ"/>
              </w:rPr>
              <w:t>190</w:t>
            </w:r>
          </w:p>
        </w:tc>
        <w:tc>
          <w:tcPr>
            <w:tcW w:w="799" w:type="pct"/>
            <w:tcBorders>
              <w:top w:val="single" w:sz="4" w:space="0" w:color="7F7F7F" w:themeColor="text1" w:themeTint="80"/>
              <w:bottom w:val="single" w:sz="4" w:space="0" w:color="7F7F7F" w:themeColor="text1" w:themeTint="80"/>
            </w:tcBorders>
            <w:shd w:val="clear" w:color="auto" w:fill="auto"/>
            <w:vAlign w:val="center"/>
          </w:tcPr>
          <w:p w14:paraId="5117B49D" w14:textId="77777777" w:rsidR="00CA2F73" w:rsidRPr="009B7C75" w:rsidRDefault="00CA2F73" w:rsidP="00726785">
            <w:pPr>
              <w:spacing w:before="27" w:after="27"/>
              <w:jc w:val="right"/>
              <w:rPr>
                <w:rFonts w:eastAsia="Times New Roman" w:cs="Times New Roman"/>
                <w:b/>
                <w:lang w:eastAsia="cs-CZ"/>
              </w:rPr>
            </w:pPr>
            <w:r w:rsidRPr="009B7C75">
              <w:rPr>
                <w:rFonts w:eastAsia="Times New Roman" w:cs="Times New Roman"/>
                <w:b/>
                <w:lang w:eastAsia="cs-CZ"/>
              </w:rPr>
              <w:t>950</w:t>
            </w:r>
          </w:p>
        </w:tc>
      </w:tr>
    </w:tbl>
    <w:p w14:paraId="56FFE1B5" w14:textId="77777777" w:rsidR="00CA2F73" w:rsidRPr="00E036D7" w:rsidRDefault="00CA2F73" w:rsidP="00CA2F73">
      <w:pPr>
        <w:pStyle w:val="Nadpis3"/>
      </w:pPr>
      <w:bookmarkStart w:id="281" w:name="_Toc115788002"/>
      <w:r w:rsidRPr="00E036D7">
        <w:t>Nástroj pro oživení a odolnost (</w:t>
      </w:r>
      <w:proofErr w:type="spellStart"/>
      <w:r w:rsidRPr="00E036D7">
        <w:t>Recovery</w:t>
      </w:r>
      <w:proofErr w:type="spellEnd"/>
      <w:r w:rsidRPr="00E036D7">
        <w:t xml:space="preserve"> and </w:t>
      </w:r>
      <w:proofErr w:type="spellStart"/>
      <w:r w:rsidRPr="00E036D7">
        <w:t>Resilience</w:t>
      </w:r>
      <w:proofErr w:type="spellEnd"/>
      <w:r w:rsidRPr="00E036D7">
        <w:t xml:space="preserve"> </w:t>
      </w:r>
      <w:proofErr w:type="spellStart"/>
      <w:r w:rsidRPr="00E036D7">
        <w:t>Facility</w:t>
      </w:r>
      <w:proofErr w:type="spellEnd"/>
      <w:r w:rsidRPr="00E036D7">
        <w:t xml:space="preserve"> – RRF)</w:t>
      </w:r>
      <w:bookmarkEnd w:id="281"/>
    </w:p>
    <w:p w14:paraId="3182C0B6" w14:textId="77777777" w:rsidR="00CA2F73" w:rsidRDefault="00CA2F73" w:rsidP="00CA2F73">
      <w:pPr>
        <w:pStyle w:val="Styl1"/>
      </w:pPr>
      <w:r w:rsidRPr="00E036D7">
        <w:t xml:space="preserve">Nástroj pro oživení a odolnost realizovaný v rámci komponenty 2.1 Udržitelná a bezpečná doprava je nový nástroj EU, který vznikl v návaznosti na </w:t>
      </w:r>
      <w:proofErr w:type="spellStart"/>
      <w:r w:rsidRPr="00E036D7">
        <w:t>koronavirovou</w:t>
      </w:r>
      <w:proofErr w:type="spellEnd"/>
      <w:r w:rsidRPr="00E036D7">
        <w:t xml:space="preserve"> krizi v roce 2020. Jedná se o klíčový nástroj obnovy, která zahrnuje prostředky na obnovu ekonomiky a na zelenou a digitální transformaci. Národní plán obnovy (dále jen „NPO“), jehož součástí je také komponenta 2.1 Udržitelná a bezpečná doprava, byl schválen usnesením vlády ČR č. 467 dne 17. 5. 2021 a následně 19. 7. také Evropskou komisí.</w:t>
      </w:r>
    </w:p>
    <w:p w14:paraId="0027C570" w14:textId="77777777" w:rsidR="00CA2F73" w:rsidRDefault="00CA2F73" w:rsidP="00CA2F73">
      <w:pPr>
        <w:pStyle w:val="Styl1"/>
      </w:pPr>
      <w:r w:rsidRPr="00A00DF5">
        <w:rPr>
          <w:iCs w:val="0"/>
        </w:rPr>
        <w:t>Komponenta 2.1 Udr</w:t>
      </w:r>
      <w:r w:rsidRPr="00A00DF5">
        <w:rPr>
          <w:rFonts w:hint="eastAsia"/>
          <w:iCs w:val="0"/>
        </w:rPr>
        <w:t>ž</w:t>
      </w:r>
      <w:r w:rsidRPr="00A00DF5">
        <w:rPr>
          <w:iCs w:val="0"/>
        </w:rPr>
        <w:t>iteln</w:t>
      </w:r>
      <w:r w:rsidRPr="00A00DF5">
        <w:rPr>
          <w:rFonts w:hint="eastAsia"/>
          <w:iCs w:val="0"/>
        </w:rPr>
        <w:t>á</w:t>
      </w:r>
      <w:r w:rsidRPr="00A00DF5">
        <w:rPr>
          <w:iCs w:val="0"/>
        </w:rPr>
        <w:t xml:space="preserve"> doprava je sou</w:t>
      </w:r>
      <w:r w:rsidRPr="00A00DF5">
        <w:rPr>
          <w:rFonts w:hint="eastAsia"/>
          <w:iCs w:val="0"/>
        </w:rPr>
        <w:t>čá</w:t>
      </w:r>
      <w:r w:rsidRPr="00A00DF5">
        <w:rPr>
          <w:iCs w:val="0"/>
        </w:rPr>
        <w:t>st</w:t>
      </w:r>
      <w:r w:rsidRPr="00A00DF5">
        <w:rPr>
          <w:rFonts w:hint="eastAsia"/>
          <w:iCs w:val="0"/>
        </w:rPr>
        <w:t>í</w:t>
      </w:r>
      <w:r w:rsidRPr="00A00DF5">
        <w:rPr>
          <w:iCs w:val="0"/>
        </w:rPr>
        <w:t xml:space="preserve"> 2. pil</w:t>
      </w:r>
      <w:r w:rsidRPr="00A00DF5">
        <w:rPr>
          <w:rFonts w:hint="eastAsia"/>
          <w:iCs w:val="0"/>
        </w:rPr>
        <w:t>íř</w:t>
      </w:r>
      <w:r w:rsidRPr="00A00DF5">
        <w:rPr>
          <w:iCs w:val="0"/>
        </w:rPr>
        <w:t>e N</w:t>
      </w:r>
      <w:r w:rsidRPr="00A00DF5">
        <w:rPr>
          <w:rFonts w:hint="eastAsia"/>
          <w:iCs w:val="0"/>
        </w:rPr>
        <w:t>á</w:t>
      </w:r>
      <w:r w:rsidRPr="00A00DF5">
        <w:rPr>
          <w:iCs w:val="0"/>
        </w:rPr>
        <w:t>rodn</w:t>
      </w:r>
      <w:r w:rsidRPr="00A00DF5">
        <w:rPr>
          <w:rFonts w:hint="eastAsia"/>
          <w:iCs w:val="0"/>
        </w:rPr>
        <w:t>í</w:t>
      </w:r>
      <w:r w:rsidRPr="00A00DF5">
        <w:rPr>
          <w:iCs w:val="0"/>
        </w:rPr>
        <w:t>ho pl</w:t>
      </w:r>
      <w:r w:rsidRPr="00A00DF5">
        <w:rPr>
          <w:rFonts w:hint="eastAsia"/>
          <w:iCs w:val="0"/>
        </w:rPr>
        <w:t>á</w:t>
      </w:r>
      <w:r w:rsidRPr="00A00DF5">
        <w:rPr>
          <w:iCs w:val="0"/>
        </w:rPr>
        <w:t>nu obnovy Fyzick</w:t>
      </w:r>
      <w:r w:rsidRPr="00A00DF5">
        <w:rPr>
          <w:rFonts w:hint="eastAsia"/>
          <w:iCs w:val="0"/>
        </w:rPr>
        <w:t>á</w:t>
      </w:r>
      <w:r w:rsidRPr="00A00DF5">
        <w:rPr>
          <w:iCs w:val="0"/>
        </w:rPr>
        <w:t xml:space="preserve"> infrastruktura</w:t>
      </w:r>
      <w:r>
        <w:rPr>
          <w:iCs w:val="0"/>
        </w:rPr>
        <w:t xml:space="preserve"> </w:t>
      </w:r>
      <w:r w:rsidRPr="00A00DF5">
        <w:rPr>
          <w:iCs w:val="0"/>
        </w:rPr>
        <w:t>a zelen</w:t>
      </w:r>
      <w:r w:rsidRPr="00A00DF5">
        <w:rPr>
          <w:rFonts w:hint="eastAsia"/>
          <w:iCs w:val="0"/>
        </w:rPr>
        <w:t>á</w:t>
      </w:r>
      <w:r w:rsidRPr="00A00DF5">
        <w:rPr>
          <w:iCs w:val="0"/>
        </w:rPr>
        <w:t xml:space="preserve"> </w:t>
      </w:r>
      <w:proofErr w:type="spellStart"/>
      <w:r w:rsidRPr="00A00DF5">
        <w:rPr>
          <w:iCs w:val="0"/>
        </w:rPr>
        <w:t>tranzice</w:t>
      </w:r>
      <w:proofErr w:type="spellEnd"/>
      <w:r w:rsidRPr="00A00DF5">
        <w:rPr>
          <w:iCs w:val="0"/>
        </w:rPr>
        <w:t>. C</w:t>
      </w:r>
      <w:r w:rsidRPr="00A00DF5">
        <w:rPr>
          <w:rFonts w:hint="eastAsia"/>
          <w:iCs w:val="0"/>
        </w:rPr>
        <w:t>í</w:t>
      </w:r>
      <w:r w:rsidRPr="00A00DF5">
        <w:rPr>
          <w:iCs w:val="0"/>
        </w:rPr>
        <w:t>lem komponenty je p</w:t>
      </w:r>
      <w:r w:rsidRPr="00A00DF5">
        <w:rPr>
          <w:rFonts w:hint="eastAsia"/>
          <w:iCs w:val="0"/>
        </w:rPr>
        <w:t>ř</w:t>
      </w:r>
      <w:r w:rsidRPr="00A00DF5">
        <w:rPr>
          <w:iCs w:val="0"/>
        </w:rPr>
        <w:t>isp</w:t>
      </w:r>
      <w:r w:rsidRPr="00A00DF5">
        <w:rPr>
          <w:rFonts w:hint="eastAsia"/>
          <w:iCs w:val="0"/>
        </w:rPr>
        <w:t>ě</w:t>
      </w:r>
      <w:r>
        <w:rPr>
          <w:iCs w:val="0"/>
        </w:rPr>
        <w:t>t k digitalizaci dopravy,</w:t>
      </w:r>
      <w:r w:rsidRPr="00A00DF5">
        <w:rPr>
          <w:iCs w:val="0"/>
        </w:rPr>
        <w:t xml:space="preserve"> </w:t>
      </w:r>
      <w:proofErr w:type="spellStart"/>
      <w:r w:rsidRPr="00A00DF5">
        <w:rPr>
          <w:iCs w:val="0"/>
        </w:rPr>
        <w:t>elektromobility</w:t>
      </w:r>
      <w:proofErr w:type="spellEnd"/>
      <w:r w:rsidRPr="00A00DF5">
        <w:rPr>
          <w:iCs w:val="0"/>
        </w:rPr>
        <w:t xml:space="preserve"> v</w:t>
      </w:r>
      <w:r>
        <w:rPr>
          <w:iCs w:val="0"/>
        </w:rPr>
        <w:t> </w:t>
      </w:r>
      <w:r w:rsidRPr="00A00DF5">
        <w:rPr>
          <w:rFonts w:hint="eastAsia"/>
          <w:iCs w:val="0"/>
        </w:rPr>
        <w:t>ž</w:t>
      </w:r>
      <w:r w:rsidRPr="00A00DF5">
        <w:rPr>
          <w:iCs w:val="0"/>
        </w:rPr>
        <w:t>elezni</w:t>
      </w:r>
      <w:r w:rsidRPr="00A00DF5">
        <w:rPr>
          <w:rFonts w:hint="eastAsia"/>
          <w:iCs w:val="0"/>
        </w:rPr>
        <w:t>č</w:t>
      </w:r>
      <w:r w:rsidRPr="00A00DF5">
        <w:rPr>
          <w:iCs w:val="0"/>
        </w:rPr>
        <w:t>n</w:t>
      </w:r>
      <w:r w:rsidRPr="00A00DF5">
        <w:rPr>
          <w:rFonts w:hint="eastAsia"/>
          <w:iCs w:val="0"/>
        </w:rPr>
        <w:t>í</w:t>
      </w:r>
      <w:r>
        <w:rPr>
          <w:iCs w:val="0"/>
        </w:rPr>
        <w:t xml:space="preserve"> </w:t>
      </w:r>
      <w:r w:rsidRPr="00A00DF5">
        <w:rPr>
          <w:iCs w:val="0"/>
        </w:rPr>
        <w:t>doprav</w:t>
      </w:r>
      <w:r w:rsidRPr="00A00DF5">
        <w:rPr>
          <w:rFonts w:hint="eastAsia"/>
          <w:iCs w:val="0"/>
        </w:rPr>
        <w:t>ě</w:t>
      </w:r>
      <w:r w:rsidRPr="00A00DF5">
        <w:rPr>
          <w:iCs w:val="0"/>
        </w:rPr>
        <w:t>, zv</w:t>
      </w:r>
      <w:r w:rsidRPr="00A00DF5">
        <w:rPr>
          <w:rFonts w:hint="eastAsia"/>
          <w:iCs w:val="0"/>
        </w:rPr>
        <w:t>ýš</w:t>
      </w:r>
      <w:r w:rsidRPr="00A00DF5">
        <w:rPr>
          <w:iCs w:val="0"/>
        </w:rPr>
        <w:t>en</w:t>
      </w:r>
      <w:r w:rsidRPr="00A00DF5">
        <w:rPr>
          <w:rFonts w:hint="eastAsia"/>
          <w:iCs w:val="0"/>
        </w:rPr>
        <w:t>í</w:t>
      </w:r>
      <w:r w:rsidRPr="00A00DF5">
        <w:rPr>
          <w:iCs w:val="0"/>
        </w:rPr>
        <w:t xml:space="preserve"> pod</w:t>
      </w:r>
      <w:r w:rsidRPr="00A00DF5">
        <w:rPr>
          <w:rFonts w:hint="eastAsia"/>
          <w:iCs w:val="0"/>
        </w:rPr>
        <w:t>í</w:t>
      </w:r>
      <w:r w:rsidRPr="00A00DF5">
        <w:rPr>
          <w:iCs w:val="0"/>
        </w:rPr>
        <w:t xml:space="preserve">lu </w:t>
      </w:r>
      <w:r w:rsidRPr="00A00DF5">
        <w:rPr>
          <w:rFonts w:hint="eastAsia"/>
          <w:iCs w:val="0"/>
        </w:rPr>
        <w:t>ž</w:t>
      </w:r>
      <w:r w:rsidRPr="00A00DF5">
        <w:rPr>
          <w:iCs w:val="0"/>
        </w:rPr>
        <w:t>elezni</w:t>
      </w:r>
      <w:r w:rsidRPr="00A00DF5">
        <w:rPr>
          <w:rFonts w:hint="eastAsia"/>
          <w:iCs w:val="0"/>
        </w:rPr>
        <w:t>č</w:t>
      </w:r>
      <w:r w:rsidRPr="00A00DF5">
        <w:rPr>
          <w:iCs w:val="0"/>
        </w:rPr>
        <w:t>n</w:t>
      </w:r>
      <w:r w:rsidRPr="00A00DF5">
        <w:rPr>
          <w:rFonts w:hint="eastAsia"/>
          <w:iCs w:val="0"/>
        </w:rPr>
        <w:t>í</w:t>
      </w:r>
      <w:r w:rsidRPr="00A00DF5">
        <w:rPr>
          <w:iCs w:val="0"/>
        </w:rPr>
        <w:t xml:space="preserve"> dopravy v n</w:t>
      </w:r>
      <w:r w:rsidRPr="00A00DF5">
        <w:rPr>
          <w:rFonts w:hint="eastAsia"/>
          <w:iCs w:val="0"/>
        </w:rPr>
        <w:t>á</w:t>
      </w:r>
      <w:r w:rsidRPr="00A00DF5">
        <w:rPr>
          <w:iCs w:val="0"/>
        </w:rPr>
        <w:t>kladn</w:t>
      </w:r>
      <w:r w:rsidRPr="00A00DF5">
        <w:rPr>
          <w:rFonts w:hint="eastAsia"/>
          <w:iCs w:val="0"/>
        </w:rPr>
        <w:t>í</w:t>
      </w:r>
      <w:r w:rsidRPr="00A00DF5">
        <w:rPr>
          <w:iCs w:val="0"/>
        </w:rPr>
        <w:t xml:space="preserve"> a osobn</w:t>
      </w:r>
      <w:r w:rsidRPr="00A00DF5">
        <w:rPr>
          <w:rFonts w:hint="eastAsia"/>
          <w:iCs w:val="0"/>
        </w:rPr>
        <w:t>í</w:t>
      </w:r>
      <w:r w:rsidRPr="00A00DF5">
        <w:rPr>
          <w:iCs w:val="0"/>
        </w:rPr>
        <w:t xml:space="preserve"> doprav</w:t>
      </w:r>
      <w:r w:rsidRPr="00A00DF5">
        <w:rPr>
          <w:rFonts w:hint="eastAsia"/>
          <w:iCs w:val="0"/>
        </w:rPr>
        <w:t>ě</w:t>
      </w:r>
      <w:r w:rsidRPr="00A00DF5">
        <w:rPr>
          <w:iCs w:val="0"/>
        </w:rPr>
        <w:t>, zv</w:t>
      </w:r>
      <w:r w:rsidRPr="00A00DF5">
        <w:rPr>
          <w:rFonts w:hint="eastAsia"/>
          <w:iCs w:val="0"/>
        </w:rPr>
        <w:t>ýš</w:t>
      </w:r>
      <w:r w:rsidRPr="00A00DF5">
        <w:rPr>
          <w:iCs w:val="0"/>
        </w:rPr>
        <w:t>en</w:t>
      </w:r>
      <w:r w:rsidRPr="00A00DF5">
        <w:rPr>
          <w:rFonts w:hint="eastAsia"/>
          <w:iCs w:val="0"/>
        </w:rPr>
        <w:t>í</w:t>
      </w:r>
      <w:r w:rsidRPr="00A00DF5">
        <w:rPr>
          <w:iCs w:val="0"/>
        </w:rPr>
        <w:t xml:space="preserve"> v</w:t>
      </w:r>
      <w:r w:rsidRPr="00A00DF5">
        <w:rPr>
          <w:rFonts w:hint="eastAsia"/>
          <w:iCs w:val="0"/>
        </w:rPr>
        <w:t>ý</w:t>
      </w:r>
      <w:r w:rsidRPr="00A00DF5">
        <w:rPr>
          <w:iCs w:val="0"/>
        </w:rPr>
        <w:t>znamu aktivn</w:t>
      </w:r>
      <w:r w:rsidRPr="00A00DF5">
        <w:rPr>
          <w:rFonts w:hint="eastAsia"/>
          <w:iCs w:val="0"/>
        </w:rPr>
        <w:t>í</w:t>
      </w:r>
      <w:r>
        <w:rPr>
          <w:iCs w:val="0"/>
        </w:rPr>
        <w:t xml:space="preserve"> </w:t>
      </w:r>
      <w:r w:rsidRPr="00A00DF5">
        <w:rPr>
          <w:iCs w:val="0"/>
        </w:rPr>
        <w:t>mobility ve m</w:t>
      </w:r>
      <w:r w:rsidRPr="00A00DF5">
        <w:rPr>
          <w:rFonts w:hint="eastAsia"/>
          <w:iCs w:val="0"/>
        </w:rPr>
        <w:t>ě</w:t>
      </w:r>
      <w:r w:rsidRPr="00A00DF5">
        <w:rPr>
          <w:iCs w:val="0"/>
        </w:rPr>
        <w:t>stech</w:t>
      </w:r>
      <w:r>
        <w:rPr>
          <w:iCs w:val="0"/>
        </w:rPr>
        <w:t>,</w:t>
      </w:r>
      <w:r w:rsidRPr="00A00DF5">
        <w:rPr>
          <w:iCs w:val="0"/>
        </w:rPr>
        <w:t xml:space="preserve"> zv</w:t>
      </w:r>
      <w:r w:rsidRPr="00A00DF5">
        <w:rPr>
          <w:rFonts w:hint="eastAsia"/>
          <w:iCs w:val="0"/>
        </w:rPr>
        <w:t>ýš</w:t>
      </w:r>
      <w:r w:rsidRPr="00A00DF5">
        <w:rPr>
          <w:iCs w:val="0"/>
        </w:rPr>
        <w:t>en</w:t>
      </w:r>
      <w:r w:rsidRPr="00A00DF5">
        <w:rPr>
          <w:rFonts w:hint="eastAsia"/>
          <w:iCs w:val="0"/>
        </w:rPr>
        <w:t>í</w:t>
      </w:r>
      <w:r w:rsidRPr="00A00DF5">
        <w:rPr>
          <w:iCs w:val="0"/>
        </w:rPr>
        <w:t xml:space="preserve"> bezpe</w:t>
      </w:r>
      <w:r w:rsidRPr="00A00DF5">
        <w:rPr>
          <w:rFonts w:hint="eastAsia"/>
          <w:iCs w:val="0"/>
        </w:rPr>
        <w:t>č</w:t>
      </w:r>
      <w:r w:rsidRPr="00A00DF5">
        <w:rPr>
          <w:iCs w:val="0"/>
        </w:rPr>
        <w:t>nosti dopravn</w:t>
      </w:r>
      <w:r w:rsidRPr="00A00DF5">
        <w:rPr>
          <w:rFonts w:hint="eastAsia"/>
          <w:iCs w:val="0"/>
        </w:rPr>
        <w:t>í</w:t>
      </w:r>
      <w:r w:rsidRPr="00A00DF5">
        <w:rPr>
          <w:iCs w:val="0"/>
        </w:rPr>
        <w:t>ho provozu a sni</w:t>
      </w:r>
      <w:r w:rsidRPr="00A00DF5">
        <w:rPr>
          <w:rFonts w:hint="eastAsia"/>
          <w:iCs w:val="0"/>
        </w:rPr>
        <w:t>ž</w:t>
      </w:r>
      <w:r w:rsidRPr="00A00DF5">
        <w:rPr>
          <w:iCs w:val="0"/>
        </w:rPr>
        <w:t>ov</w:t>
      </w:r>
      <w:r w:rsidRPr="00A00DF5">
        <w:rPr>
          <w:rFonts w:hint="eastAsia"/>
          <w:iCs w:val="0"/>
        </w:rPr>
        <w:t>á</w:t>
      </w:r>
      <w:r w:rsidRPr="00A00DF5">
        <w:rPr>
          <w:iCs w:val="0"/>
        </w:rPr>
        <w:t>n</w:t>
      </w:r>
      <w:r w:rsidRPr="00A00DF5">
        <w:rPr>
          <w:rFonts w:hint="eastAsia"/>
          <w:iCs w:val="0"/>
        </w:rPr>
        <w:t>í</w:t>
      </w:r>
      <w:r w:rsidRPr="00A00DF5">
        <w:rPr>
          <w:iCs w:val="0"/>
        </w:rPr>
        <w:t xml:space="preserve"> vlivu dopravn</w:t>
      </w:r>
      <w:r w:rsidRPr="00A00DF5">
        <w:rPr>
          <w:rFonts w:hint="eastAsia"/>
          <w:iCs w:val="0"/>
        </w:rPr>
        <w:t>í</w:t>
      </w:r>
      <w:r w:rsidRPr="00A00DF5">
        <w:rPr>
          <w:iCs w:val="0"/>
        </w:rPr>
        <w:t>ho provozu na</w:t>
      </w:r>
      <w:r>
        <w:rPr>
          <w:iCs w:val="0"/>
        </w:rPr>
        <w:t xml:space="preserve"> </w:t>
      </w:r>
      <w:r w:rsidRPr="00A00DF5">
        <w:rPr>
          <w:rFonts w:hint="eastAsia"/>
        </w:rPr>
        <w:t>ž</w:t>
      </w:r>
      <w:r w:rsidRPr="00A00DF5">
        <w:t>ivotn</w:t>
      </w:r>
      <w:r w:rsidRPr="00A00DF5">
        <w:rPr>
          <w:rFonts w:hint="eastAsia"/>
        </w:rPr>
        <w:t>í</w:t>
      </w:r>
      <w:r w:rsidRPr="00A00DF5">
        <w:t xml:space="preserve"> prost</w:t>
      </w:r>
      <w:r w:rsidRPr="00A00DF5">
        <w:rPr>
          <w:rFonts w:hint="eastAsia"/>
        </w:rPr>
        <w:t>ř</w:t>
      </w:r>
      <w:r w:rsidRPr="00A00DF5">
        <w:t>ed</w:t>
      </w:r>
      <w:r w:rsidRPr="00A00DF5">
        <w:rPr>
          <w:rFonts w:hint="eastAsia"/>
        </w:rPr>
        <w:t>í</w:t>
      </w:r>
      <w:r w:rsidRPr="00A00DF5">
        <w:t xml:space="preserve"> a ve</w:t>
      </w:r>
      <w:r w:rsidRPr="00A00DF5">
        <w:rPr>
          <w:rFonts w:hint="eastAsia"/>
        </w:rPr>
        <w:t>ř</w:t>
      </w:r>
      <w:r w:rsidRPr="00A00DF5">
        <w:t>ejn</w:t>
      </w:r>
      <w:r w:rsidRPr="00A00DF5">
        <w:rPr>
          <w:rFonts w:hint="eastAsia"/>
        </w:rPr>
        <w:t>é</w:t>
      </w:r>
      <w:r w:rsidRPr="00A00DF5">
        <w:t xml:space="preserve"> zdrav</w:t>
      </w:r>
      <w:r w:rsidRPr="00A00DF5">
        <w:rPr>
          <w:rFonts w:hint="eastAsia"/>
        </w:rPr>
        <w:t>í</w:t>
      </w:r>
      <w:r>
        <w:t>.</w:t>
      </w:r>
    </w:p>
    <w:p w14:paraId="10CDF976" w14:textId="77777777" w:rsidR="00CA2F73" w:rsidRPr="00A00DF5" w:rsidRDefault="00CA2F73" w:rsidP="00FC675E">
      <w:pPr>
        <w:pStyle w:val="Styl1"/>
        <w:spacing w:before="160" w:after="160"/>
      </w:pPr>
      <w:r>
        <w:t>V rámci komponenty je realizována jedna reforma a čtyři investice</w:t>
      </w:r>
      <w:r w:rsidRPr="00A00DF5">
        <w:t>:</w:t>
      </w:r>
    </w:p>
    <w:p w14:paraId="48E7D7F2" w14:textId="77777777" w:rsidR="00CA2F73" w:rsidRDefault="00CA2F73" w:rsidP="00CA2F73">
      <w:pPr>
        <w:keepLines/>
        <w:numPr>
          <w:ilvl w:val="0"/>
          <w:numId w:val="30"/>
        </w:numPr>
        <w:spacing w:before="120" w:after="240" w:line="276" w:lineRule="auto"/>
        <w:contextualSpacing/>
        <w:jc w:val="left"/>
        <w:rPr>
          <w:rFonts w:eastAsia="Times New Roman" w:cs="Times New Roman"/>
          <w:iCs/>
          <w:szCs w:val="24"/>
          <w:lang w:eastAsia="cs-CZ"/>
        </w:rPr>
      </w:pPr>
      <w:r>
        <w:rPr>
          <w:rFonts w:eastAsia="Times New Roman" w:cs="Times New Roman"/>
          <w:iCs/>
          <w:szCs w:val="24"/>
          <w:lang w:eastAsia="cs-CZ"/>
        </w:rPr>
        <w:t>Reforma č. 1: Vytváření alternativ k energeticky a prostorově náročné silniční dopravě</w:t>
      </w:r>
    </w:p>
    <w:p w14:paraId="015429FA" w14:textId="77777777" w:rsidR="00CA2F73" w:rsidRPr="00A00DF5" w:rsidRDefault="00CA2F73" w:rsidP="00CA2F73">
      <w:pPr>
        <w:keepLines/>
        <w:numPr>
          <w:ilvl w:val="0"/>
          <w:numId w:val="30"/>
        </w:numPr>
        <w:spacing w:before="120" w:after="240" w:line="276" w:lineRule="auto"/>
        <w:contextualSpacing/>
        <w:jc w:val="left"/>
        <w:rPr>
          <w:rFonts w:eastAsia="Times New Roman" w:cs="Times New Roman"/>
          <w:iCs/>
          <w:szCs w:val="24"/>
          <w:lang w:eastAsia="cs-CZ"/>
        </w:rPr>
      </w:pPr>
      <w:r>
        <w:rPr>
          <w:rFonts w:eastAsia="Times New Roman" w:cs="Times New Roman"/>
          <w:iCs/>
          <w:szCs w:val="24"/>
          <w:lang w:eastAsia="cs-CZ"/>
        </w:rPr>
        <w:t>Investice č. 1: Aplikace moderních technologií na železniční infrastruktuře</w:t>
      </w:r>
    </w:p>
    <w:p w14:paraId="14DB1751" w14:textId="77777777" w:rsidR="00CA2F73" w:rsidRPr="00A00DF5" w:rsidRDefault="00CA2F73" w:rsidP="00CA2F73">
      <w:pPr>
        <w:keepLines/>
        <w:numPr>
          <w:ilvl w:val="0"/>
          <w:numId w:val="30"/>
        </w:numPr>
        <w:spacing w:before="120" w:after="240" w:line="276" w:lineRule="auto"/>
        <w:contextualSpacing/>
        <w:jc w:val="left"/>
        <w:rPr>
          <w:rFonts w:eastAsia="Times New Roman" w:cs="Times New Roman"/>
          <w:iCs/>
          <w:szCs w:val="24"/>
          <w:lang w:eastAsia="cs-CZ"/>
        </w:rPr>
      </w:pPr>
      <w:r>
        <w:rPr>
          <w:rFonts w:eastAsia="Times New Roman" w:cs="Times New Roman"/>
          <w:iCs/>
          <w:szCs w:val="24"/>
          <w:lang w:eastAsia="cs-CZ"/>
        </w:rPr>
        <w:t>Investice č. 2: Elektrizace železnic</w:t>
      </w:r>
    </w:p>
    <w:p w14:paraId="341A3A72" w14:textId="77777777" w:rsidR="00CA2F73" w:rsidRPr="00A00DF5" w:rsidRDefault="00CA2F73" w:rsidP="00CA2F73">
      <w:pPr>
        <w:keepLines/>
        <w:numPr>
          <w:ilvl w:val="0"/>
          <w:numId w:val="30"/>
        </w:numPr>
        <w:spacing w:before="120" w:after="240" w:line="276" w:lineRule="auto"/>
        <w:contextualSpacing/>
        <w:jc w:val="left"/>
        <w:rPr>
          <w:rFonts w:eastAsia="Times New Roman" w:cs="Times New Roman"/>
          <w:iCs/>
          <w:szCs w:val="24"/>
          <w:lang w:eastAsia="cs-CZ"/>
        </w:rPr>
      </w:pPr>
      <w:r>
        <w:rPr>
          <w:rFonts w:eastAsia="Times New Roman" w:cs="Times New Roman"/>
          <w:iCs/>
          <w:szCs w:val="24"/>
          <w:lang w:eastAsia="cs-CZ"/>
        </w:rPr>
        <w:t>Investice č. 3: Podpora železniční infrastruktury</w:t>
      </w:r>
    </w:p>
    <w:p w14:paraId="6D40F959" w14:textId="77777777" w:rsidR="00CA2F73" w:rsidRDefault="00CA2F73" w:rsidP="00CA2F73">
      <w:pPr>
        <w:keepLines/>
        <w:numPr>
          <w:ilvl w:val="0"/>
          <w:numId w:val="30"/>
        </w:numPr>
        <w:spacing w:before="120" w:after="240" w:line="276" w:lineRule="auto"/>
        <w:ind w:left="709" w:hanging="352"/>
        <w:contextualSpacing/>
        <w:jc w:val="left"/>
        <w:rPr>
          <w:rFonts w:eastAsia="Times New Roman" w:cs="Times New Roman"/>
          <w:iCs/>
          <w:szCs w:val="24"/>
          <w:lang w:eastAsia="cs-CZ"/>
        </w:rPr>
      </w:pPr>
      <w:r>
        <w:rPr>
          <w:rFonts w:eastAsia="Times New Roman" w:cs="Times New Roman"/>
          <w:iCs/>
          <w:szCs w:val="24"/>
          <w:lang w:eastAsia="cs-CZ"/>
        </w:rPr>
        <w:t>Investice č. 4: Bezpečnost silniční a železniční dopravy</w:t>
      </w:r>
    </w:p>
    <w:p w14:paraId="70AAA9ED" w14:textId="77777777" w:rsidR="00CA2F73" w:rsidRPr="00E036D7" w:rsidRDefault="00CA2F73" w:rsidP="00CA2F73">
      <w:pPr>
        <w:pStyle w:val="Styl1"/>
      </w:pPr>
      <w:r w:rsidRPr="0044051B">
        <w:t>Operace/projekty komponenty 2.1 jsou realizov</w:t>
      </w:r>
      <w:r w:rsidRPr="0044051B">
        <w:rPr>
          <w:rFonts w:hint="eastAsia"/>
        </w:rPr>
        <w:t>á</w:t>
      </w:r>
      <w:r w:rsidRPr="0044051B">
        <w:t>ny od 1. 2. 2020 do 31. 12. 2024. Dle Na</w:t>
      </w:r>
      <w:r w:rsidRPr="0044051B">
        <w:rPr>
          <w:rFonts w:hint="eastAsia"/>
        </w:rPr>
        <w:t>ří</w:t>
      </w:r>
      <w:r w:rsidRPr="0044051B">
        <w:t>zen</w:t>
      </w:r>
      <w:r w:rsidRPr="0044051B">
        <w:rPr>
          <w:rFonts w:hint="eastAsia"/>
        </w:rPr>
        <w:t>í</w:t>
      </w:r>
      <w:r>
        <w:t xml:space="preserve"> </w:t>
      </w:r>
      <w:r w:rsidRPr="0044051B">
        <w:t>EP A Rady (EU) 2021/241, kter</w:t>
      </w:r>
      <w:r w:rsidRPr="0044051B">
        <w:rPr>
          <w:rFonts w:hint="eastAsia"/>
        </w:rPr>
        <w:t>ý</w:t>
      </w:r>
      <w:r w:rsidRPr="0044051B">
        <w:t>m se z</w:t>
      </w:r>
      <w:r w:rsidRPr="0044051B">
        <w:rPr>
          <w:rFonts w:hint="eastAsia"/>
        </w:rPr>
        <w:t>ř</w:t>
      </w:r>
      <w:r w:rsidRPr="0044051B">
        <w:t>izuje N</w:t>
      </w:r>
      <w:r w:rsidRPr="0044051B">
        <w:rPr>
          <w:rFonts w:hint="eastAsia"/>
        </w:rPr>
        <w:t>á</w:t>
      </w:r>
      <w:r w:rsidRPr="0044051B">
        <w:t>stroj pro o</w:t>
      </w:r>
      <w:r w:rsidRPr="0044051B">
        <w:rPr>
          <w:rFonts w:hint="eastAsia"/>
        </w:rPr>
        <w:t>ž</w:t>
      </w:r>
      <w:r w:rsidRPr="0044051B">
        <w:t>iven</w:t>
      </w:r>
      <w:r w:rsidRPr="0044051B">
        <w:rPr>
          <w:rFonts w:hint="eastAsia"/>
        </w:rPr>
        <w:t>í</w:t>
      </w:r>
      <w:r w:rsidRPr="0044051B">
        <w:t xml:space="preserve"> a odolnost lze investice realizovat</w:t>
      </w:r>
      <w:r>
        <w:t xml:space="preserve"> </w:t>
      </w:r>
      <w:r w:rsidRPr="0044051B">
        <w:t>maxim</w:t>
      </w:r>
      <w:r w:rsidRPr="0044051B">
        <w:rPr>
          <w:rFonts w:hint="eastAsia"/>
        </w:rPr>
        <w:t>á</w:t>
      </w:r>
      <w:r w:rsidRPr="0044051B">
        <w:t>ln</w:t>
      </w:r>
      <w:r w:rsidRPr="0044051B">
        <w:rPr>
          <w:rFonts w:hint="eastAsia"/>
        </w:rPr>
        <w:t>ě</w:t>
      </w:r>
      <w:r w:rsidRPr="0044051B">
        <w:t xml:space="preserve"> do 31. 8. 2026. Zp</w:t>
      </w:r>
      <w:r w:rsidRPr="0044051B">
        <w:rPr>
          <w:rFonts w:hint="eastAsia"/>
        </w:rPr>
        <w:t>ů</w:t>
      </w:r>
      <w:r w:rsidRPr="0044051B">
        <w:t>sobil</w:t>
      </w:r>
      <w:r w:rsidRPr="0044051B">
        <w:rPr>
          <w:rFonts w:hint="eastAsia"/>
        </w:rPr>
        <w:t>é</w:t>
      </w:r>
      <w:r w:rsidRPr="0044051B">
        <w:t xml:space="preserve"> v</w:t>
      </w:r>
      <w:r w:rsidRPr="0044051B">
        <w:rPr>
          <w:rFonts w:hint="eastAsia"/>
        </w:rPr>
        <w:t>ý</w:t>
      </w:r>
      <w:r w:rsidRPr="0044051B">
        <w:t>daje jsou ty, kter</w:t>
      </w:r>
      <w:r w:rsidRPr="0044051B">
        <w:rPr>
          <w:rFonts w:hint="eastAsia"/>
        </w:rPr>
        <w:t>é</w:t>
      </w:r>
      <w:r w:rsidRPr="0044051B">
        <w:t xml:space="preserve"> vznikly od za</w:t>
      </w:r>
      <w:r w:rsidRPr="0044051B">
        <w:rPr>
          <w:rFonts w:hint="eastAsia"/>
        </w:rPr>
        <w:t>čá</w:t>
      </w:r>
      <w:r w:rsidRPr="0044051B">
        <w:t>tku v</w:t>
      </w:r>
      <w:r w:rsidRPr="0044051B">
        <w:rPr>
          <w:rFonts w:hint="eastAsia"/>
        </w:rPr>
        <w:t>ýš</w:t>
      </w:r>
      <w:r w:rsidRPr="0044051B">
        <w:t>e uveden</w:t>
      </w:r>
      <w:r w:rsidRPr="0044051B">
        <w:rPr>
          <w:rFonts w:hint="eastAsia"/>
        </w:rPr>
        <w:t>é</w:t>
      </w:r>
      <w:r w:rsidRPr="0044051B">
        <w:t xml:space="preserve"> doby</w:t>
      </w:r>
      <w:r>
        <w:t xml:space="preserve"> </w:t>
      </w:r>
      <w:r w:rsidRPr="0044051B">
        <w:t>realizace a jsou nezbytn</w:t>
      </w:r>
      <w:r w:rsidRPr="0044051B">
        <w:rPr>
          <w:rFonts w:hint="eastAsia"/>
        </w:rPr>
        <w:t>é</w:t>
      </w:r>
      <w:r w:rsidRPr="0044051B">
        <w:t xml:space="preserve"> pro realizaci projekt</w:t>
      </w:r>
      <w:r w:rsidRPr="0044051B">
        <w:rPr>
          <w:rFonts w:hint="eastAsia"/>
        </w:rPr>
        <w:t>ů</w:t>
      </w:r>
      <w:r w:rsidRPr="0044051B">
        <w:t>/operac</w:t>
      </w:r>
      <w:r w:rsidRPr="0044051B">
        <w:rPr>
          <w:rFonts w:hint="eastAsia"/>
        </w:rPr>
        <w:t>í</w:t>
      </w:r>
      <w:r w:rsidRPr="0044051B">
        <w:t>, kter</w:t>
      </w:r>
      <w:r w:rsidRPr="0044051B">
        <w:rPr>
          <w:rFonts w:hint="eastAsia"/>
        </w:rPr>
        <w:t>é</w:t>
      </w:r>
      <w:r w:rsidRPr="0044051B">
        <w:t xml:space="preserve"> p</w:t>
      </w:r>
      <w:r w:rsidRPr="0044051B">
        <w:rPr>
          <w:rFonts w:hint="eastAsia"/>
        </w:rPr>
        <w:t>ř</w:t>
      </w:r>
      <w:r w:rsidRPr="0044051B">
        <w:t>isp</w:t>
      </w:r>
      <w:r w:rsidRPr="0044051B">
        <w:rPr>
          <w:rFonts w:hint="eastAsia"/>
        </w:rPr>
        <w:t>í</w:t>
      </w:r>
      <w:r w:rsidRPr="0044051B">
        <w:t>vaj</w:t>
      </w:r>
      <w:r w:rsidRPr="0044051B">
        <w:rPr>
          <w:rFonts w:hint="eastAsia"/>
        </w:rPr>
        <w:t>í</w:t>
      </w:r>
      <w:r w:rsidRPr="0044051B">
        <w:t xml:space="preserve"> k pln</w:t>
      </w:r>
      <w:r w:rsidRPr="0044051B">
        <w:rPr>
          <w:rFonts w:hint="eastAsia"/>
        </w:rPr>
        <w:t>ě</w:t>
      </w:r>
      <w:r w:rsidRPr="0044051B">
        <w:t>n</w:t>
      </w:r>
      <w:r w:rsidRPr="0044051B">
        <w:rPr>
          <w:rFonts w:hint="eastAsia"/>
        </w:rPr>
        <w:t>í</w:t>
      </w:r>
      <w:r w:rsidRPr="0044051B">
        <w:t xml:space="preserve"> c</w:t>
      </w:r>
      <w:r w:rsidRPr="0044051B">
        <w:rPr>
          <w:rFonts w:hint="eastAsia"/>
        </w:rPr>
        <w:t>í</w:t>
      </w:r>
      <w:r w:rsidRPr="0044051B">
        <w:t>l</w:t>
      </w:r>
      <w:r w:rsidRPr="0044051B">
        <w:rPr>
          <w:rFonts w:hint="eastAsia"/>
        </w:rPr>
        <w:t>ů</w:t>
      </w:r>
      <w:r>
        <w:t>. Komponenta 2.1</w:t>
      </w:r>
      <w:r w:rsidRPr="001262ED">
        <w:t xml:space="preserve"> </w:t>
      </w:r>
      <w:r>
        <w:t>j</w:t>
      </w:r>
      <w:r w:rsidRPr="001262ED">
        <w:t>e realizován</w:t>
      </w:r>
      <w:r>
        <w:t xml:space="preserve">a ze 100 % z prostředků EU. Konečným příjemcem je Správa železnic </w:t>
      </w:r>
      <w:proofErr w:type="spellStart"/>
      <w:r>
        <w:t>s.o</w:t>
      </w:r>
      <w:proofErr w:type="spellEnd"/>
      <w:r>
        <w:t>. prostřednictvím dotace SFDI.</w:t>
      </w:r>
    </w:p>
    <w:p w14:paraId="5E45E28E" w14:textId="626FCFDD" w:rsidR="00CA2F73" w:rsidRPr="00A00DF5" w:rsidRDefault="00CA2F73" w:rsidP="00CA2F73">
      <w:pPr>
        <w:pStyle w:val="Titulek"/>
      </w:pPr>
      <w:r w:rsidRPr="00A00DF5">
        <w:t xml:space="preserve">Tabulka č. </w:t>
      </w:r>
      <w:r w:rsidRPr="00A00DF5">
        <w:rPr>
          <w:noProof/>
        </w:rPr>
        <w:fldChar w:fldCharType="begin"/>
      </w:r>
      <w:r w:rsidRPr="00A00DF5">
        <w:rPr>
          <w:noProof/>
        </w:rPr>
        <w:instrText xml:space="preserve"> SEQ Tabulka \* ARABIC </w:instrText>
      </w:r>
      <w:r w:rsidRPr="00A00DF5">
        <w:rPr>
          <w:noProof/>
        </w:rPr>
        <w:fldChar w:fldCharType="separate"/>
      </w:r>
      <w:r w:rsidR="00F80947">
        <w:rPr>
          <w:noProof/>
        </w:rPr>
        <w:t>50</w:t>
      </w:r>
      <w:r w:rsidRPr="00A00DF5">
        <w:rPr>
          <w:noProof/>
        </w:rPr>
        <w:fldChar w:fldCharType="end"/>
      </w:r>
      <w:r w:rsidR="00C625C2">
        <w:rPr>
          <w:noProof/>
        </w:rPr>
        <w:t>1</w:t>
      </w:r>
      <w:r w:rsidRPr="00A00DF5">
        <w:t xml:space="preserve"> </w:t>
      </w:r>
      <w:r w:rsidRPr="00A00DF5">
        <w:rPr>
          <w:noProof/>
        </w:rPr>
        <w:t>Facilita na podporu oživení a odolnosti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A00DF5" w14:paraId="2D6CCF3B" w14:textId="77777777" w:rsidTr="00726785">
        <w:trPr>
          <w:trHeight w:val="494"/>
          <w:tblHeader/>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3A114C5C" w14:textId="77777777" w:rsidR="00CA2F73" w:rsidRPr="00A00DF5" w:rsidRDefault="00CA2F73" w:rsidP="00726785">
            <w:pPr>
              <w:spacing w:before="27" w:after="27"/>
              <w:rPr>
                <w:rFonts w:eastAsia="Times New Roman" w:cs="Times New Roman"/>
                <w:b/>
                <w:lang w:eastAsia="cs-CZ"/>
              </w:rPr>
            </w:pPr>
            <w:r w:rsidRPr="00A00DF5">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44AB390B" w14:textId="77777777" w:rsidR="00CA2F73" w:rsidRPr="00A00DF5" w:rsidRDefault="00CA2F73" w:rsidP="00726785">
            <w:pPr>
              <w:spacing w:before="27" w:after="27"/>
              <w:ind w:firstLine="366"/>
              <w:rPr>
                <w:rFonts w:eastAsia="Times New Roman" w:cs="Times New Roman"/>
                <w:b/>
                <w:lang w:eastAsia="cs-CZ"/>
              </w:rPr>
            </w:pPr>
            <w:r w:rsidRPr="00A00DF5">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77B829BE" w14:textId="77777777" w:rsidR="00CA2F73" w:rsidRPr="00A00DF5" w:rsidRDefault="00CA2F73" w:rsidP="00726785">
            <w:pPr>
              <w:spacing w:before="27" w:after="27"/>
              <w:ind w:firstLine="366"/>
              <w:rPr>
                <w:rFonts w:eastAsia="Times New Roman" w:cs="Times New Roman"/>
                <w:b/>
                <w:lang w:eastAsia="cs-CZ"/>
              </w:rPr>
            </w:pPr>
            <w:r w:rsidRPr="00A00DF5">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6F265A8D" w14:textId="77777777" w:rsidR="00CA2F73" w:rsidRPr="00A00DF5" w:rsidRDefault="00CA2F73" w:rsidP="00726785">
            <w:pPr>
              <w:spacing w:before="27" w:after="27"/>
              <w:jc w:val="center"/>
              <w:rPr>
                <w:rFonts w:eastAsia="Times New Roman" w:cs="Times New Roman"/>
                <w:b/>
                <w:lang w:eastAsia="cs-CZ"/>
              </w:rPr>
            </w:pPr>
            <w:r w:rsidRPr="00A00DF5">
              <w:rPr>
                <w:rFonts w:eastAsia="Times New Roman" w:cs="Times New Roman"/>
                <w:b/>
                <w:lang w:eastAsia="cs-CZ"/>
              </w:rPr>
              <w:t>Celkem</w:t>
            </w:r>
          </w:p>
        </w:tc>
      </w:tr>
      <w:tr w:rsidR="00CA2F73" w:rsidRPr="00A00DF5" w14:paraId="67B7F185" w14:textId="77777777" w:rsidTr="00726785">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14:paraId="4256D596" w14:textId="77777777" w:rsidR="00CA2F73" w:rsidRPr="00A00DF5" w:rsidRDefault="00CA2F73" w:rsidP="00726785">
            <w:pPr>
              <w:spacing w:before="27" w:after="27"/>
              <w:rPr>
                <w:rFonts w:eastAsia="Times New Roman" w:cs="Times New Roman"/>
                <w:lang w:eastAsia="cs-CZ"/>
              </w:rPr>
            </w:pPr>
            <w:proofErr w:type="spellStart"/>
            <w:r w:rsidRPr="00A00DF5">
              <w:rPr>
                <w:rFonts w:eastAsia="Times New Roman" w:cs="Times New Roman"/>
                <w:lang w:eastAsia="cs-CZ"/>
              </w:rPr>
              <w:t>Facilita</w:t>
            </w:r>
            <w:proofErr w:type="spellEnd"/>
            <w:r w:rsidRPr="00A00DF5">
              <w:rPr>
                <w:rFonts w:eastAsia="Times New Roman" w:cs="Times New Roman"/>
                <w:lang w:eastAsia="cs-CZ"/>
              </w:rPr>
              <w:t xml:space="preserve"> na podporu oživení a odolnosti </w:t>
            </w:r>
            <w:r>
              <w:rPr>
                <w:rFonts w:eastAsia="Times New Roman" w:cs="Times New Roman"/>
                <w:lang w:eastAsia="cs-CZ"/>
              </w:rPr>
              <w:t>(SFDI)</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84CBC74" w14:textId="77777777" w:rsidR="00CA2F73" w:rsidRPr="00A00DF5" w:rsidRDefault="00CA2F73" w:rsidP="00726785">
            <w:pPr>
              <w:spacing w:before="27" w:after="27"/>
              <w:jc w:val="right"/>
              <w:rPr>
                <w:rFonts w:eastAsia="Times New Roman" w:cs="Times New Roman"/>
                <w:lang w:eastAsia="cs-CZ"/>
              </w:rPr>
            </w:pPr>
            <w:r w:rsidRPr="00A00DF5">
              <w:rPr>
                <w:rFonts w:eastAsia="Times New Roman" w:cs="Times New Roman"/>
                <w:lang w:eastAsia="cs-CZ"/>
              </w:rPr>
              <w:t>3 003 459</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52E66344" w14:textId="77777777" w:rsidR="00CA2F73" w:rsidRPr="00A00DF5" w:rsidRDefault="00CA2F73" w:rsidP="00726785">
            <w:pPr>
              <w:spacing w:before="27" w:after="27"/>
              <w:jc w:val="right"/>
              <w:rPr>
                <w:rFonts w:eastAsia="Times New Roman" w:cs="Times New Roman"/>
                <w:lang w:eastAsia="cs-CZ"/>
              </w:rPr>
            </w:pPr>
            <w:r w:rsidRPr="00A00DF5">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6B7AF939" w14:textId="77777777" w:rsidR="00CA2F73" w:rsidRPr="00A00DF5" w:rsidRDefault="00CA2F73" w:rsidP="00726785">
            <w:pPr>
              <w:spacing w:before="27" w:after="27"/>
              <w:jc w:val="right"/>
              <w:rPr>
                <w:rFonts w:eastAsia="Times New Roman" w:cs="Times New Roman"/>
                <w:b/>
                <w:lang w:eastAsia="cs-CZ"/>
              </w:rPr>
            </w:pPr>
            <w:r w:rsidRPr="00A00DF5">
              <w:rPr>
                <w:rFonts w:eastAsia="Times New Roman" w:cs="Times New Roman"/>
                <w:b/>
                <w:lang w:eastAsia="cs-CZ"/>
              </w:rPr>
              <w:t>3 003 459</w:t>
            </w:r>
          </w:p>
        </w:tc>
      </w:tr>
    </w:tbl>
    <w:p w14:paraId="16B9783A" w14:textId="77777777" w:rsidR="00CA2F73" w:rsidRPr="00D13E78" w:rsidRDefault="00CA2F73" w:rsidP="00CA2F73">
      <w:pPr>
        <w:pStyle w:val="Nadpis3"/>
      </w:pPr>
      <w:bookmarkStart w:id="282" w:name="_Toc115788003"/>
      <w:r w:rsidRPr="00D13E78">
        <w:t xml:space="preserve">BAR – rezerva na vyrovnání s důsledky </w:t>
      </w:r>
      <w:proofErr w:type="spellStart"/>
      <w:r w:rsidRPr="00D13E78">
        <w:t>Brexitu</w:t>
      </w:r>
      <w:bookmarkEnd w:id="282"/>
      <w:proofErr w:type="spellEnd"/>
    </w:p>
    <w:p w14:paraId="6445F4AD" w14:textId="77777777" w:rsidR="00CA2F73" w:rsidRPr="003F730C" w:rsidRDefault="00CA2F73" w:rsidP="00CA2F73">
      <w:pPr>
        <w:pStyle w:val="Styl1"/>
      </w:pPr>
      <w:r w:rsidRPr="003F730C">
        <w:t xml:space="preserve">Dne 8. října 2021 bylo v Úředním věstníku Evropské unie zveřejněno nařízení Evropského parlamentu a Rady (EU) 2021/1755 ze dne 6. října 2021, kterým se vytváří rezerva na vyrovnání se s důsledky </w:t>
      </w:r>
      <w:proofErr w:type="spellStart"/>
      <w:r w:rsidRPr="003F730C">
        <w:t>brexitu</w:t>
      </w:r>
      <w:proofErr w:type="spellEnd"/>
      <w:r w:rsidRPr="003F730C">
        <w:t xml:space="preserve"> (dále jen „unijní nařízení“).</w:t>
      </w:r>
    </w:p>
    <w:p w14:paraId="6AC8861C" w14:textId="77777777" w:rsidR="00CA2F73" w:rsidRPr="003F730C" w:rsidRDefault="00CA2F73" w:rsidP="00CA2F73">
      <w:pPr>
        <w:pStyle w:val="Styl1"/>
      </w:pPr>
      <w:r w:rsidRPr="003F730C">
        <w:t>Finanční příspěvek z rezervy může sloužit pouze k podpoře opatření prováděných členskými státy Evropské unie, přičemž v čl. 5 odst. 1 unijního nařízení je stanoven demonstrativní výčet opatření, která může finanční příspěvek z rezervy pokrývat. Jde zejména o následující opatření:</w:t>
      </w:r>
    </w:p>
    <w:p w14:paraId="29CDC447" w14:textId="77777777" w:rsidR="00CA2F73" w:rsidRPr="003F730C" w:rsidRDefault="00CA2F73" w:rsidP="00CA2F73">
      <w:pPr>
        <w:pStyle w:val="Styl1"/>
        <w:ind w:firstLine="142"/>
      </w:pPr>
      <w:r w:rsidRPr="003F730C">
        <w:t>a) opatření na podporu soukromých a veřejných podniků, zejména malých a středních podniků, osob samostatně výdělečně činných, místních komunit a organizací postižených vystoupením Spojeného království z Evropské unie,</w:t>
      </w:r>
    </w:p>
    <w:p w14:paraId="55EFA50B" w14:textId="77777777" w:rsidR="00CA2F73" w:rsidRPr="003F730C" w:rsidRDefault="00CA2F73" w:rsidP="00CA2F73">
      <w:pPr>
        <w:pStyle w:val="Styl1"/>
        <w:ind w:firstLine="142"/>
      </w:pPr>
      <w:r w:rsidRPr="003F730C">
        <w:t>b) opatření na podporu hospodářských odvětví nejvíce postižených vystoupením Spojeného království z Evropské unie,</w:t>
      </w:r>
    </w:p>
    <w:p w14:paraId="659B7B40" w14:textId="77777777" w:rsidR="00CA2F73" w:rsidRPr="003F730C" w:rsidRDefault="00CA2F73" w:rsidP="00CA2F73">
      <w:pPr>
        <w:pStyle w:val="Styl1"/>
        <w:ind w:firstLine="142"/>
      </w:pPr>
      <w:r w:rsidRPr="003F730C">
        <w:t>c) opatření na podporu podniků, regionálních a místních komunit a organizací, včetně drobného pobřežního rybolovu, závislých na rybolovných činnostech ve vodách Spojeného království, ve vodách území se zvláštním statusem nebo ve vodách, na něž se vztahují dohody o rybolovu s pobřežními státy, v nichž byla rybolovná práva pro loďstva Evropské unie snížena v důsledku vystoupení Spojeného království z Evropské unie,</w:t>
      </w:r>
    </w:p>
    <w:p w14:paraId="18D42171" w14:textId="77777777" w:rsidR="00CA2F73" w:rsidRPr="003F730C" w:rsidRDefault="00CA2F73" w:rsidP="00CA2F73">
      <w:pPr>
        <w:pStyle w:val="Styl1"/>
        <w:ind w:firstLine="142"/>
      </w:pPr>
      <w:r w:rsidRPr="003F730C">
        <w:t>d) opatření na podporu ochrany a tvorby pracovních míst, zejména zelená pracovní místa, zkrácené pracovní úvazky, změny kvalifikace a odborná příprava v odvětvích nejvíce postižených vystoupením Spojeného království z Evropské unie,</w:t>
      </w:r>
    </w:p>
    <w:p w14:paraId="1D13A1B4" w14:textId="77777777" w:rsidR="00CA2F73" w:rsidRPr="003F730C" w:rsidRDefault="00CA2F73" w:rsidP="00CA2F73">
      <w:pPr>
        <w:pStyle w:val="Styl1"/>
        <w:ind w:firstLine="142"/>
      </w:pPr>
      <w:r w:rsidRPr="003F730C">
        <w:t>e) opatření k zajištění fungování hraničních, celních, sanitárních a fytosanitárních kontrol, bezpečnostních kontrol a kontrol v oblasti rybolovu, jakož i výběru nepřímých daní, včetně dodatečného personálu a jeho odborné přípravy a infrastruktury,</w:t>
      </w:r>
    </w:p>
    <w:p w14:paraId="152F2BF8" w14:textId="77777777" w:rsidR="00CA2F73" w:rsidRPr="003F730C" w:rsidRDefault="00CA2F73" w:rsidP="00CA2F73">
      <w:pPr>
        <w:pStyle w:val="Styl1"/>
        <w:ind w:firstLine="142"/>
      </w:pPr>
      <w:r w:rsidRPr="003F730C">
        <w:t>f) opatření, která usnadňují režimy pro certifikaci a povolování výrobků, napomáhají plnění požadavků týkajících se usazování, usnadňují označování, například pokud jde o normy v oblasti bezpečnosti, ochrany zdraví a životního prostředí, či napomáhají vzájemnému uznávání,</w:t>
      </w:r>
    </w:p>
    <w:p w14:paraId="4DB677B3" w14:textId="77777777" w:rsidR="00CA2F73" w:rsidRPr="003F730C" w:rsidRDefault="00CA2F73" w:rsidP="00CA2F73">
      <w:pPr>
        <w:pStyle w:val="Styl1"/>
        <w:ind w:firstLine="142"/>
      </w:pPr>
      <w:r w:rsidRPr="003F730C">
        <w:t>g) opatření v oblasti komunikace, informování a zvyšování povědomí občanů a podniků o změnách jejich práv a povinností vyplývajících z vystoupení Spojeného království z Evropské unie,</w:t>
      </w:r>
    </w:p>
    <w:p w14:paraId="6C1AE71D" w14:textId="77777777" w:rsidR="00CA2F73" w:rsidRPr="003F730C" w:rsidRDefault="00CA2F73" w:rsidP="00CA2F73">
      <w:pPr>
        <w:pStyle w:val="Styl1"/>
        <w:ind w:firstLine="142"/>
      </w:pPr>
      <w:r w:rsidRPr="003F730C">
        <w:t>h) opatření zaměřená na opětovné začlenění občanů Evropské unie a osob s právem pobytu na území Evropské unie, kteří opustili Spojené království v důsledku vystoupení Spojeného království z Evropské unie.</w:t>
      </w:r>
    </w:p>
    <w:p w14:paraId="5F21429D" w14:textId="77777777" w:rsidR="00CA2F73" w:rsidRDefault="00CA2F73" w:rsidP="00CA2F73">
      <w:r w:rsidRPr="003F730C">
        <w:t>Unijním rozhodnutím byla České republice přidělena prozatímní částka ze zdrojů rezervy ve výši 54 918 029 EUR. Tato částka slouží k předběžnému financování opatření způsobilých k</w:t>
      </w:r>
      <w:r>
        <w:t> </w:t>
      </w:r>
      <w:r w:rsidRPr="003F730C">
        <w:t>podpoře</w:t>
      </w:r>
      <w:r>
        <w:t>.</w:t>
      </w:r>
    </w:p>
    <w:p w14:paraId="1A055D46" w14:textId="77777777" w:rsidR="00CA2F73" w:rsidRDefault="00CA2F73" w:rsidP="00CA2F73">
      <w:pPr>
        <w:spacing w:before="240"/>
      </w:pPr>
      <w:r>
        <w:t>BAR</w:t>
      </w:r>
      <w:r w:rsidRPr="001262ED">
        <w:t xml:space="preserve"> </w:t>
      </w:r>
      <w:r>
        <w:t>se předpokládá realizovat</w:t>
      </w:r>
      <w:r w:rsidRPr="001262ED">
        <w:t xml:space="preserve"> </w:t>
      </w:r>
      <w:r>
        <w:t>ze 100 % z prostředků EU</w:t>
      </w:r>
      <w:r w:rsidRPr="001262ED">
        <w:t>, v rámci kterého budou financovány zejména</w:t>
      </w:r>
      <w:r>
        <w:t xml:space="preserve"> výdaje na podporu podnikatelským subjektům v režimu ex- post, a dále pak</w:t>
      </w:r>
      <w:r w:rsidRPr="001262ED">
        <w:t xml:space="preserve"> osobní výdaje, cestovné a další služby</w:t>
      </w:r>
      <w:r>
        <w:t xml:space="preserve"> v rámci ústředního orgánu MD</w:t>
      </w:r>
      <w:r w:rsidRPr="001262ED">
        <w:t>.</w:t>
      </w:r>
    </w:p>
    <w:p w14:paraId="2E0D8340" w14:textId="2E8D7D86" w:rsidR="00CA2F73" w:rsidRPr="00A00DF5" w:rsidRDefault="00CA2F73" w:rsidP="00CA2F73">
      <w:pPr>
        <w:pStyle w:val="Titulek"/>
      </w:pPr>
      <w:r w:rsidRPr="00A00DF5">
        <w:t xml:space="preserve">Tabulka č. </w:t>
      </w:r>
      <w:r>
        <w:rPr>
          <w:noProof/>
        </w:rPr>
        <w:t>6</w:t>
      </w:r>
      <w:r w:rsidR="00C625C2">
        <w:rPr>
          <w:noProof/>
        </w:rPr>
        <w:t>2</w:t>
      </w:r>
      <w:r w:rsidRPr="00A00DF5">
        <w:t xml:space="preserve"> </w:t>
      </w:r>
      <w:r>
        <w:rPr>
          <w:noProof/>
        </w:rPr>
        <w:t>BAR – rezerva na vyrovnání s důsledky Brexitu</w:t>
      </w:r>
      <w:r w:rsidRPr="00A00DF5">
        <w:rPr>
          <w:noProof/>
        </w:rPr>
        <w:t xml:space="preserve"> (v tis. Kč)</w:t>
      </w:r>
    </w:p>
    <w:tbl>
      <w:tblPr>
        <w:tblW w:w="5021" w:type="pct"/>
        <w:jc w:val="center"/>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single" w:sz="4" w:space="0" w:color="7F7F7F" w:themeColor="text1" w:themeTint="80"/>
          <w:insideV w:val="single" w:sz="4" w:space="0" w:color="7F7F7F" w:themeColor="text1" w:themeTint="80"/>
        </w:tblBorders>
        <w:tblLayout w:type="fixed"/>
        <w:tblLook w:val="00A0" w:firstRow="1" w:lastRow="0" w:firstColumn="1" w:lastColumn="0" w:noHBand="0" w:noVBand="0"/>
      </w:tblPr>
      <w:tblGrid>
        <w:gridCol w:w="4730"/>
        <w:gridCol w:w="1454"/>
        <w:gridCol w:w="1454"/>
        <w:gridCol w:w="1451"/>
      </w:tblGrid>
      <w:tr w:rsidR="00CA2F73" w:rsidRPr="00A00DF5" w14:paraId="55615F52" w14:textId="77777777" w:rsidTr="00726785">
        <w:trPr>
          <w:trHeight w:val="494"/>
          <w:tblHeader/>
          <w:jc w:val="center"/>
        </w:trPr>
        <w:tc>
          <w:tcPr>
            <w:tcW w:w="2602"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57710876" w14:textId="77777777" w:rsidR="00CA2F73" w:rsidRPr="00A00DF5" w:rsidRDefault="00CA2F73" w:rsidP="00726785">
            <w:pPr>
              <w:spacing w:before="27" w:after="27"/>
              <w:rPr>
                <w:rFonts w:eastAsia="Times New Roman" w:cs="Times New Roman"/>
                <w:b/>
                <w:lang w:eastAsia="cs-CZ"/>
              </w:rPr>
            </w:pPr>
            <w:r w:rsidRPr="00A00DF5">
              <w:rPr>
                <w:rFonts w:eastAsia="Times New Roman" w:cs="Times New Roman"/>
                <w:b/>
                <w:lang w:eastAsia="cs-CZ"/>
              </w:rPr>
              <w:t>Název programu (projektu)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65E8B62" w14:textId="77777777" w:rsidR="00CA2F73" w:rsidRPr="00A00DF5" w:rsidRDefault="00CA2F73" w:rsidP="00726785">
            <w:pPr>
              <w:spacing w:before="27" w:after="27"/>
              <w:ind w:firstLine="366"/>
              <w:rPr>
                <w:rFonts w:eastAsia="Times New Roman" w:cs="Times New Roman"/>
                <w:b/>
                <w:lang w:eastAsia="cs-CZ"/>
              </w:rPr>
            </w:pPr>
            <w:r w:rsidRPr="00A00DF5">
              <w:rPr>
                <w:rFonts w:eastAsia="Times New Roman" w:cs="Times New Roman"/>
                <w:b/>
                <w:lang w:eastAsia="cs-CZ"/>
              </w:rPr>
              <w:t>EU</w:t>
            </w:r>
          </w:p>
        </w:tc>
        <w:tc>
          <w:tcPr>
            <w:tcW w:w="800"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1415F364" w14:textId="77777777" w:rsidR="00CA2F73" w:rsidRPr="00A00DF5" w:rsidRDefault="00CA2F73" w:rsidP="00726785">
            <w:pPr>
              <w:spacing w:before="27" w:after="27"/>
              <w:ind w:firstLine="366"/>
              <w:rPr>
                <w:rFonts w:eastAsia="Times New Roman" w:cs="Times New Roman"/>
                <w:b/>
                <w:lang w:eastAsia="cs-CZ"/>
              </w:rPr>
            </w:pPr>
            <w:r w:rsidRPr="00A00DF5">
              <w:rPr>
                <w:rFonts w:eastAsia="Times New Roman" w:cs="Times New Roman"/>
                <w:b/>
                <w:lang w:eastAsia="cs-CZ"/>
              </w:rPr>
              <w:t>SR</w:t>
            </w:r>
          </w:p>
        </w:tc>
        <w:tc>
          <w:tcPr>
            <w:tcW w:w="798" w:type="pct"/>
            <w:tcBorders>
              <w:top w:val="single" w:sz="8" w:space="0" w:color="7F7F7F" w:themeColor="text1" w:themeTint="80"/>
              <w:bottom w:val="single" w:sz="4" w:space="0" w:color="7F7F7F" w:themeColor="text1" w:themeTint="80"/>
            </w:tcBorders>
            <w:shd w:val="thinReverseDiagStripe" w:color="D9D9D9" w:themeColor="background1" w:themeShade="D9" w:fill="FFFFFF" w:themeFill="background1"/>
            <w:vAlign w:val="center"/>
          </w:tcPr>
          <w:p w14:paraId="2926ED11" w14:textId="77777777" w:rsidR="00CA2F73" w:rsidRPr="00A00DF5" w:rsidRDefault="00CA2F73" w:rsidP="00726785">
            <w:pPr>
              <w:spacing w:before="27" w:after="27"/>
              <w:jc w:val="center"/>
              <w:rPr>
                <w:rFonts w:eastAsia="Times New Roman" w:cs="Times New Roman"/>
                <w:b/>
                <w:lang w:eastAsia="cs-CZ"/>
              </w:rPr>
            </w:pPr>
            <w:r w:rsidRPr="00A00DF5">
              <w:rPr>
                <w:rFonts w:eastAsia="Times New Roman" w:cs="Times New Roman"/>
                <w:b/>
                <w:lang w:eastAsia="cs-CZ"/>
              </w:rPr>
              <w:t>Celkem</w:t>
            </w:r>
          </w:p>
        </w:tc>
      </w:tr>
      <w:tr w:rsidR="00CA2F73" w:rsidRPr="00A00DF5" w14:paraId="39A7CE28" w14:textId="77777777" w:rsidTr="00726785">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14:paraId="1392A4D5" w14:textId="77777777" w:rsidR="00CA2F73" w:rsidRPr="00A00DF5" w:rsidRDefault="00CA2F73" w:rsidP="00726785">
            <w:pPr>
              <w:spacing w:before="27" w:after="27"/>
              <w:rPr>
                <w:rFonts w:eastAsia="Times New Roman" w:cs="Times New Roman"/>
                <w:lang w:eastAsia="cs-CZ"/>
              </w:rPr>
            </w:pPr>
            <w:r>
              <w:rPr>
                <w:rFonts w:eastAsia="Times New Roman" w:cs="Times New Roman"/>
                <w:lang w:eastAsia="cs-CZ"/>
              </w:rPr>
              <w:t xml:space="preserve">Rezerva na vyrovnání s důsledky </w:t>
            </w:r>
            <w:proofErr w:type="spellStart"/>
            <w:r>
              <w:rPr>
                <w:rFonts w:eastAsia="Times New Roman" w:cs="Times New Roman"/>
                <w:lang w:eastAsia="cs-CZ"/>
              </w:rPr>
              <w:t>Brexitu</w:t>
            </w:r>
            <w:proofErr w:type="spellEnd"/>
            <w:r>
              <w:rPr>
                <w:rFonts w:eastAsia="Times New Roman" w:cs="Times New Roman"/>
                <w:lang w:eastAsia="cs-CZ"/>
              </w:rPr>
              <w:t xml:space="preserve"> (ÚO MD)</w:t>
            </w:r>
            <w:r w:rsidRPr="00A00DF5">
              <w:rPr>
                <w:rFonts w:eastAsia="Times New Roman" w:cs="Times New Roman"/>
                <w:lang w:eastAsia="cs-CZ"/>
              </w:rPr>
              <w:t xml:space="preserve"> </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BCA4343" w14:textId="49D93413" w:rsidR="00CA2F73" w:rsidRPr="00A00DF5" w:rsidRDefault="00C6501B" w:rsidP="00726785">
            <w:pPr>
              <w:spacing w:before="27" w:after="27"/>
              <w:jc w:val="right"/>
              <w:rPr>
                <w:rFonts w:eastAsia="Times New Roman" w:cs="Times New Roman"/>
                <w:lang w:eastAsia="cs-CZ"/>
              </w:rPr>
            </w:pPr>
            <w:r>
              <w:rPr>
                <w:rFonts w:eastAsia="Times New Roman" w:cs="Times New Roman"/>
                <w:lang w:eastAsia="cs-CZ"/>
              </w:rPr>
              <w:t>14 606</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198350E9" w14:textId="77777777" w:rsidR="00CA2F73" w:rsidRPr="00A00DF5" w:rsidRDefault="00CA2F73" w:rsidP="00726785">
            <w:pPr>
              <w:spacing w:before="27" w:after="27"/>
              <w:jc w:val="right"/>
              <w:rPr>
                <w:rFonts w:eastAsia="Times New Roman" w:cs="Times New Roman"/>
                <w:lang w:eastAsia="cs-CZ"/>
              </w:rPr>
            </w:pPr>
            <w:r w:rsidRPr="00A00DF5">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5DC3BFF4" w14:textId="2B89478D" w:rsidR="00CA2F73" w:rsidRPr="00A00DF5" w:rsidRDefault="00C6501B" w:rsidP="00726785">
            <w:pPr>
              <w:spacing w:before="27" w:after="27"/>
              <w:jc w:val="right"/>
              <w:rPr>
                <w:rFonts w:eastAsia="Times New Roman" w:cs="Times New Roman"/>
                <w:b/>
                <w:lang w:eastAsia="cs-CZ"/>
              </w:rPr>
            </w:pPr>
            <w:r>
              <w:rPr>
                <w:rFonts w:eastAsia="Times New Roman" w:cs="Times New Roman"/>
                <w:b/>
                <w:lang w:eastAsia="cs-CZ"/>
              </w:rPr>
              <w:t>14 606</w:t>
            </w:r>
          </w:p>
        </w:tc>
      </w:tr>
      <w:tr w:rsidR="00C6501B" w:rsidRPr="00A00DF5" w14:paraId="359575BD" w14:textId="77777777" w:rsidTr="00726785">
        <w:trPr>
          <w:trHeight w:val="456"/>
          <w:tblHeader/>
          <w:jc w:val="center"/>
        </w:trPr>
        <w:tc>
          <w:tcPr>
            <w:tcW w:w="2602" w:type="pct"/>
            <w:tcBorders>
              <w:top w:val="single" w:sz="4" w:space="0" w:color="7F7F7F" w:themeColor="text1" w:themeTint="80"/>
              <w:bottom w:val="single" w:sz="4" w:space="0" w:color="7F7F7F" w:themeColor="text1" w:themeTint="80"/>
            </w:tcBorders>
            <w:shd w:val="clear" w:color="auto" w:fill="auto"/>
          </w:tcPr>
          <w:p w14:paraId="45088686" w14:textId="41EAD759" w:rsidR="00C6501B" w:rsidRDefault="00C6501B" w:rsidP="00726785">
            <w:pPr>
              <w:spacing w:before="27" w:after="27"/>
              <w:rPr>
                <w:rFonts w:eastAsia="Times New Roman" w:cs="Times New Roman"/>
                <w:lang w:eastAsia="cs-CZ"/>
              </w:rPr>
            </w:pPr>
            <w:r>
              <w:rPr>
                <w:rFonts w:eastAsia="Times New Roman" w:cs="Times New Roman"/>
                <w:lang w:eastAsia="cs-CZ"/>
              </w:rPr>
              <w:t xml:space="preserve">Rezerva na vyrovnání s důsledky </w:t>
            </w:r>
            <w:proofErr w:type="spellStart"/>
            <w:r>
              <w:rPr>
                <w:rFonts w:eastAsia="Times New Roman" w:cs="Times New Roman"/>
                <w:lang w:eastAsia="cs-CZ"/>
              </w:rPr>
              <w:t>Brexitu</w:t>
            </w:r>
            <w:proofErr w:type="spellEnd"/>
            <w:r>
              <w:rPr>
                <w:rFonts w:eastAsia="Times New Roman" w:cs="Times New Roman"/>
                <w:lang w:eastAsia="cs-CZ"/>
              </w:rPr>
              <w:t xml:space="preserve"> (Podnikatelské subjekty)</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731DA3C9" w14:textId="3DDE50EE" w:rsidR="00C6501B" w:rsidRDefault="00C6501B" w:rsidP="00726785">
            <w:pPr>
              <w:spacing w:before="27" w:after="27"/>
              <w:jc w:val="right"/>
              <w:rPr>
                <w:rFonts w:eastAsia="Times New Roman" w:cs="Times New Roman"/>
                <w:lang w:eastAsia="cs-CZ"/>
              </w:rPr>
            </w:pPr>
            <w:r>
              <w:rPr>
                <w:rFonts w:eastAsia="Times New Roman" w:cs="Times New Roman"/>
                <w:lang w:eastAsia="cs-CZ"/>
              </w:rPr>
              <w:t>517 510</w:t>
            </w:r>
          </w:p>
        </w:tc>
        <w:tc>
          <w:tcPr>
            <w:tcW w:w="800" w:type="pct"/>
            <w:tcBorders>
              <w:top w:val="single" w:sz="4" w:space="0" w:color="7F7F7F" w:themeColor="text1" w:themeTint="80"/>
              <w:bottom w:val="single" w:sz="4" w:space="0" w:color="7F7F7F" w:themeColor="text1" w:themeTint="80"/>
            </w:tcBorders>
            <w:shd w:val="clear" w:color="auto" w:fill="auto"/>
            <w:vAlign w:val="center"/>
          </w:tcPr>
          <w:p w14:paraId="53213F71" w14:textId="0CB10653" w:rsidR="00C6501B" w:rsidRPr="00A00DF5" w:rsidRDefault="00C6501B" w:rsidP="00726785">
            <w:pPr>
              <w:spacing w:before="27" w:after="27"/>
              <w:jc w:val="right"/>
              <w:rPr>
                <w:rFonts w:eastAsia="Times New Roman" w:cs="Times New Roman"/>
                <w:lang w:eastAsia="cs-CZ"/>
              </w:rPr>
            </w:pPr>
            <w:r>
              <w:rPr>
                <w:rFonts w:eastAsia="Times New Roman" w:cs="Times New Roman"/>
                <w:lang w:eastAsia="cs-CZ"/>
              </w:rPr>
              <w:t>0</w:t>
            </w:r>
          </w:p>
        </w:tc>
        <w:tc>
          <w:tcPr>
            <w:tcW w:w="798" w:type="pct"/>
            <w:tcBorders>
              <w:top w:val="single" w:sz="4" w:space="0" w:color="7F7F7F" w:themeColor="text1" w:themeTint="80"/>
              <w:bottom w:val="single" w:sz="4" w:space="0" w:color="7F7F7F" w:themeColor="text1" w:themeTint="80"/>
            </w:tcBorders>
            <w:shd w:val="clear" w:color="auto" w:fill="auto"/>
            <w:vAlign w:val="center"/>
          </w:tcPr>
          <w:p w14:paraId="3D8BC1C5" w14:textId="1525A635" w:rsidR="00C6501B" w:rsidRDefault="00C6501B" w:rsidP="00726785">
            <w:pPr>
              <w:spacing w:before="27" w:after="27"/>
              <w:jc w:val="right"/>
              <w:rPr>
                <w:rFonts w:eastAsia="Times New Roman" w:cs="Times New Roman"/>
                <w:b/>
                <w:lang w:eastAsia="cs-CZ"/>
              </w:rPr>
            </w:pPr>
            <w:r>
              <w:rPr>
                <w:rFonts w:eastAsia="Times New Roman" w:cs="Times New Roman"/>
                <w:b/>
                <w:lang w:eastAsia="cs-CZ"/>
              </w:rPr>
              <w:t>517 510</w:t>
            </w:r>
          </w:p>
        </w:tc>
      </w:tr>
    </w:tbl>
    <w:p w14:paraId="4D0C28FA" w14:textId="77777777" w:rsidR="00CA2F73" w:rsidRPr="005B63B7" w:rsidRDefault="00CA2F73" w:rsidP="00CA2F73">
      <w:pPr>
        <w:pStyle w:val="Nadpis3"/>
      </w:pPr>
      <w:bookmarkStart w:id="283" w:name="_Toc115787414"/>
      <w:bookmarkStart w:id="284" w:name="_Toc115788004"/>
      <w:bookmarkStart w:id="285" w:name="_Toc115787415"/>
      <w:bookmarkStart w:id="286" w:name="_Toc115788005"/>
      <w:bookmarkStart w:id="287" w:name="_Toc115788006"/>
      <w:bookmarkEnd w:id="283"/>
      <w:bookmarkEnd w:id="284"/>
      <w:bookmarkEnd w:id="285"/>
      <w:bookmarkEnd w:id="286"/>
      <w:r w:rsidRPr="005B63B7">
        <w:t>Rozdělení prostředků EU a podílu SR dle jednotlivých programů na rok 2023</w:t>
      </w:r>
      <w:bookmarkEnd w:id="287"/>
    </w:p>
    <w:p w14:paraId="668CDF2D" w14:textId="77777777" w:rsidR="00CA2F73" w:rsidRPr="005B63B7" w:rsidRDefault="00CA2F73" w:rsidP="00CA2F73">
      <w:pPr>
        <w:pStyle w:val="Styl1"/>
      </w:pPr>
      <w:r w:rsidRPr="005B63B7">
        <w:t>V následující tabulce je uvedena výše prostředků podle jednotlivých zdrojů EU navrhovaných pro rok 2023 a výše prostředků určená na spolufinancování prostřednictvím kapitoly 327 MD.</w:t>
      </w:r>
    </w:p>
    <w:p w14:paraId="455AB1D1" w14:textId="398C14F6" w:rsidR="00CA2F73" w:rsidRPr="005B63B7" w:rsidRDefault="00CA2F73" w:rsidP="00CA2F73">
      <w:pPr>
        <w:pStyle w:val="Titulek"/>
        <w:rPr>
          <w:noProof/>
        </w:rPr>
      </w:pPr>
      <w:r w:rsidRPr="005B63B7">
        <w:t xml:space="preserve">Tabulka č. </w:t>
      </w:r>
      <w:r w:rsidRPr="005B63B7">
        <w:rPr>
          <w:noProof/>
        </w:rPr>
        <w:fldChar w:fldCharType="begin"/>
      </w:r>
      <w:r w:rsidRPr="005B63B7">
        <w:rPr>
          <w:noProof/>
        </w:rPr>
        <w:instrText xml:space="preserve"> SEQ Tabulka \* ARABIC </w:instrText>
      </w:r>
      <w:r w:rsidRPr="005B63B7">
        <w:rPr>
          <w:noProof/>
        </w:rPr>
        <w:fldChar w:fldCharType="separate"/>
      </w:r>
      <w:r w:rsidR="00F80947">
        <w:rPr>
          <w:noProof/>
        </w:rPr>
        <w:t>51</w:t>
      </w:r>
      <w:r w:rsidRPr="005B63B7">
        <w:rPr>
          <w:noProof/>
        </w:rPr>
        <w:fldChar w:fldCharType="end"/>
      </w:r>
      <w:r w:rsidR="00C625C2">
        <w:rPr>
          <w:noProof/>
        </w:rPr>
        <w:t>3</w:t>
      </w:r>
      <w:r w:rsidRPr="005B63B7">
        <w:rPr>
          <w:noProof/>
        </w:rPr>
        <w:t xml:space="preserve"> Přehled celkových prostředků fondů EU (v tis. Kč)</w:t>
      </w:r>
    </w:p>
    <w:tbl>
      <w:tblPr>
        <w:tblStyle w:val="Prosttabulka2"/>
        <w:tblW w:w="8500" w:type="dxa"/>
        <w:tblBorders>
          <w:left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000" w:firstRow="0" w:lastRow="0" w:firstColumn="0" w:lastColumn="0" w:noHBand="0" w:noVBand="0"/>
      </w:tblPr>
      <w:tblGrid>
        <w:gridCol w:w="4957"/>
        <w:gridCol w:w="1984"/>
        <w:gridCol w:w="1559"/>
      </w:tblGrid>
      <w:tr w:rsidR="00CA2F73" w:rsidRPr="00E8518E" w14:paraId="037B627A" w14:textId="77777777" w:rsidTr="00726785">
        <w:trPr>
          <w:cnfStyle w:val="000000100000" w:firstRow="0" w:lastRow="0" w:firstColumn="0" w:lastColumn="0" w:oddVBand="0" w:evenVBand="0" w:oddHBand="1" w:evenHBand="0"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4957" w:type="dxa"/>
            <w:shd w:val="thinReverseDiagStripe" w:color="D9D9D9" w:themeColor="background1" w:themeShade="D9" w:fill="auto"/>
            <w:vAlign w:val="center"/>
          </w:tcPr>
          <w:p w14:paraId="43646B0E" w14:textId="77777777" w:rsidR="00CA2F73" w:rsidRPr="005B63B7" w:rsidRDefault="00CA2F73" w:rsidP="00726785">
            <w:pPr>
              <w:spacing w:before="81"/>
              <w:jc w:val="center"/>
              <w:rPr>
                <w:b/>
                <w:bCs/>
              </w:rPr>
            </w:pPr>
            <w:r w:rsidRPr="005B63B7">
              <w:rPr>
                <w:b/>
                <w:bCs/>
              </w:rPr>
              <w:t>Titul</w:t>
            </w:r>
          </w:p>
        </w:tc>
        <w:tc>
          <w:tcPr>
            <w:cnfStyle w:val="000001000000" w:firstRow="0" w:lastRow="0" w:firstColumn="0" w:lastColumn="0" w:oddVBand="0" w:evenVBand="1" w:oddHBand="0" w:evenHBand="0" w:firstRowFirstColumn="0" w:firstRowLastColumn="0" w:lastRowFirstColumn="0" w:lastRowLastColumn="0"/>
            <w:tcW w:w="1984" w:type="dxa"/>
            <w:shd w:val="thinReverseDiagStripe" w:color="D9D9D9" w:themeColor="background1" w:themeShade="D9" w:fill="auto"/>
            <w:vAlign w:val="center"/>
          </w:tcPr>
          <w:p w14:paraId="7E6BC08A" w14:textId="77777777" w:rsidR="00CA2F73" w:rsidRPr="00E8518E" w:rsidRDefault="00CA2F73" w:rsidP="00726785">
            <w:pPr>
              <w:spacing w:before="81"/>
              <w:jc w:val="center"/>
              <w:rPr>
                <w:b/>
                <w:bCs/>
                <w:color w:val="FF0000"/>
              </w:rPr>
            </w:pPr>
            <w:r w:rsidRPr="007A1D39">
              <w:rPr>
                <w:b/>
                <w:bCs/>
              </w:rPr>
              <w:t>EU</w:t>
            </w:r>
          </w:p>
        </w:tc>
        <w:tc>
          <w:tcPr>
            <w:cnfStyle w:val="000010000000" w:firstRow="0" w:lastRow="0" w:firstColumn="0" w:lastColumn="0" w:oddVBand="1" w:evenVBand="0" w:oddHBand="0" w:evenHBand="0" w:firstRowFirstColumn="0" w:firstRowLastColumn="0" w:lastRowFirstColumn="0" w:lastRowLastColumn="0"/>
            <w:tcW w:w="1559" w:type="dxa"/>
            <w:shd w:val="thinReverseDiagStripe" w:color="D9D9D9" w:themeColor="background1" w:themeShade="D9" w:fill="auto"/>
          </w:tcPr>
          <w:p w14:paraId="06C660C7" w14:textId="77777777" w:rsidR="00CA2F73" w:rsidRPr="007A1D39" w:rsidRDefault="00CA2F73" w:rsidP="00726785">
            <w:pPr>
              <w:spacing w:before="81"/>
              <w:jc w:val="center"/>
              <w:rPr>
                <w:b/>
                <w:bCs/>
              </w:rPr>
            </w:pPr>
            <w:r w:rsidRPr="007A1D39">
              <w:rPr>
                <w:b/>
                <w:bCs/>
              </w:rPr>
              <w:t>SR</w:t>
            </w:r>
          </w:p>
        </w:tc>
      </w:tr>
      <w:tr w:rsidR="00CA2F73" w:rsidRPr="00E8518E" w14:paraId="0D7FA34C" w14:textId="77777777" w:rsidTr="00726785">
        <w:trPr>
          <w:trHeight w:val="452"/>
        </w:trPr>
        <w:tc>
          <w:tcPr>
            <w:cnfStyle w:val="000010000000" w:firstRow="0" w:lastRow="0" w:firstColumn="0" w:lastColumn="0" w:oddVBand="1" w:evenVBand="0" w:oddHBand="0" w:evenHBand="0" w:firstRowFirstColumn="0" w:firstRowLastColumn="0" w:lastRowFirstColumn="0" w:lastRowLastColumn="0"/>
            <w:tcW w:w="4957" w:type="dxa"/>
          </w:tcPr>
          <w:p w14:paraId="2F7D8DEE" w14:textId="77777777" w:rsidR="00CA2F73" w:rsidRPr="005B63B7" w:rsidRDefault="00CA2F73" w:rsidP="00726785">
            <w:pPr>
              <w:spacing w:before="81"/>
              <w:rPr>
                <w:b/>
                <w:bCs/>
                <w:sz w:val="26"/>
                <w:szCs w:val="26"/>
              </w:rPr>
            </w:pPr>
            <w:r w:rsidRPr="005B63B7">
              <w:rPr>
                <w:b/>
                <w:bCs/>
                <w:sz w:val="26"/>
                <w:szCs w:val="26"/>
              </w:rPr>
              <w:t>Společné programy ČR a EU v tom:</w:t>
            </w:r>
          </w:p>
        </w:tc>
        <w:tc>
          <w:tcPr>
            <w:cnfStyle w:val="000001000000" w:firstRow="0" w:lastRow="0" w:firstColumn="0" w:lastColumn="0" w:oddVBand="0" w:evenVBand="1" w:oddHBand="0" w:evenHBand="0" w:firstRowFirstColumn="0" w:firstRowLastColumn="0" w:lastRowFirstColumn="0" w:lastRowLastColumn="0"/>
            <w:tcW w:w="1984" w:type="dxa"/>
          </w:tcPr>
          <w:p w14:paraId="7EBAB25B" w14:textId="77777777" w:rsidR="00CA2F73" w:rsidRPr="00E8518E" w:rsidRDefault="00CA2F73" w:rsidP="00726785">
            <w:pPr>
              <w:tabs>
                <w:tab w:val="left" w:pos="0"/>
              </w:tabs>
              <w:spacing w:before="81"/>
              <w:jc w:val="right"/>
              <w:rPr>
                <w:b/>
                <w:bCs/>
                <w:color w:val="FF0000"/>
                <w:sz w:val="26"/>
                <w:szCs w:val="26"/>
              </w:rPr>
            </w:pPr>
            <w:r w:rsidRPr="007A1D39">
              <w:rPr>
                <w:b/>
                <w:bCs/>
                <w:sz w:val="26"/>
                <w:szCs w:val="26"/>
              </w:rPr>
              <w:t>28 786 763</w:t>
            </w:r>
          </w:p>
        </w:tc>
        <w:tc>
          <w:tcPr>
            <w:cnfStyle w:val="000010000000" w:firstRow="0" w:lastRow="0" w:firstColumn="0" w:lastColumn="0" w:oddVBand="1" w:evenVBand="0" w:oddHBand="0" w:evenHBand="0" w:firstRowFirstColumn="0" w:firstRowLastColumn="0" w:lastRowFirstColumn="0" w:lastRowLastColumn="0"/>
            <w:tcW w:w="1559" w:type="dxa"/>
          </w:tcPr>
          <w:p w14:paraId="5B595786" w14:textId="77777777" w:rsidR="00CA2F73" w:rsidRPr="007A1D39" w:rsidRDefault="00CA2F73" w:rsidP="00726785">
            <w:pPr>
              <w:tabs>
                <w:tab w:val="left" w:pos="0"/>
              </w:tabs>
              <w:spacing w:before="81"/>
              <w:jc w:val="right"/>
              <w:rPr>
                <w:b/>
                <w:bCs/>
                <w:sz w:val="26"/>
                <w:szCs w:val="26"/>
              </w:rPr>
            </w:pPr>
            <w:r w:rsidRPr="007A1D39">
              <w:rPr>
                <w:b/>
                <w:bCs/>
                <w:sz w:val="26"/>
                <w:szCs w:val="26"/>
              </w:rPr>
              <w:t>17 528</w:t>
            </w:r>
          </w:p>
        </w:tc>
      </w:tr>
      <w:tr w:rsidR="00CA2F73" w:rsidRPr="00E8518E" w14:paraId="490C5E29" w14:textId="77777777" w:rsidTr="00726785">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74A8587F" w14:textId="77777777" w:rsidR="00CA2F73" w:rsidRPr="005B63B7" w:rsidRDefault="00CA2F73" w:rsidP="00726785">
            <w:pPr>
              <w:tabs>
                <w:tab w:val="left" w:pos="224"/>
              </w:tabs>
            </w:pPr>
            <w:r w:rsidRPr="005B63B7">
              <w:rPr>
                <w:b/>
              </w:rPr>
              <w:t>Programové období 2014-2020 v tom</w:t>
            </w:r>
            <w:r w:rsidRPr="005B63B7">
              <w:t>:</w:t>
            </w:r>
          </w:p>
        </w:tc>
        <w:tc>
          <w:tcPr>
            <w:cnfStyle w:val="000001000000" w:firstRow="0" w:lastRow="0" w:firstColumn="0" w:lastColumn="0" w:oddVBand="0" w:evenVBand="1" w:oddHBand="0" w:evenHBand="0" w:firstRowFirstColumn="0" w:firstRowLastColumn="0" w:lastRowFirstColumn="0" w:lastRowLastColumn="0"/>
            <w:tcW w:w="1984" w:type="dxa"/>
          </w:tcPr>
          <w:p w14:paraId="795801AF" w14:textId="77777777" w:rsidR="00CA2F73" w:rsidRPr="007A1D39" w:rsidRDefault="00CA2F73" w:rsidP="00726785">
            <w:pPr>
              <w:jc w:val="right"/>
              <w:rPr>
                <w:b/>
              </w:rPr>
            </w:pPr>
            <w:r w:rsidRPr="007A1D39">
              <w:rPr>
                <w:b/>
              </w:rPr>
              <w:t>4 574 157</w:t>
            </w:r>
          </w:p>
        </w:tc>
        <w:tc>
          <w:tcPr>
            <w:cnfStyle w:val="000010000000" w:firstRow="0" w:lastRow="0" w:firstColumn="0" w:lastColumn="0" w:oddVBand="1" w:evenVBand="0" w:oddHBand="0" w:evenHBand="0" w:firstRowFirstColumn="0" w:firstRowLastColumn="0" w:lastRowFirstColumn="0" w:lastRowLastColumn="0"/>
            <w:tcW w:w="1559" w:type="dxa"/>
          </w:tcPr>
          <w:p w14:paraId="40459906" w14:textId="77777777" w:rsidR="00CA2F73" w:rsidRPr="007A1D39" w:rsidRDefault="00CA2F73" w:rsidP="00726785">
            <w:pPr>
              <w:jc w:val="right"/>
              <w:rPr>
                <w:b/>
              </w:rPr>
            </w:pPr>
            <w:r w:rsidRPr="007A1D39">
              <w:rPr>
                <w:b/>
              </w:rPr>
              <w:t>5 858</w:t>
            </w:r>
          </w:p>
        </w:tc>
      </w:tr>
      <w:tr w:rsidR="00CA2F73" w:rsidRPr="00E8518E" w14:paraId="7D643DAA" w14:textId="77777777" w:rsidTr="00726785">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7A8522B5" w14:textId="77777777" w:rsidR="00CA2F73" w:rsidRPr="005B63B7" w:rsidRDefault="00CA2F73" w:rsidP="00726785">
            <w:pPr>
              <w:tabs>
                <w:tab w:val="left" w:pos="224"/>
                <w:tab w:val="left" w:pos="348"/>
                <w:tab w:val="left" w:pos="489"/>
              </w:tabs>
              <w:rPr>
                <w:bCs/>
              </w:rPr>
            </w:pPr>
            <w:r w:rsidRPr="005B63B7">
              <w:t>Operační program Doprava 2014+v tom:</w:t>
            </w:r>
          </w:p>
        </w:tc>
        <w:tc>
          <w:tcPr>
            <w:cnfStyle w:val="000001000000" w:firstRow="0" w:lastRow="0" w:firstColumn="0" w:lastColumn="0" w:oddVBand="0" w:evenVBand="1" w:oddHBand="0" w:evenHBand="0" w:firstRowFirstColumn="0" w:firstRowLastColumn="0" w:lastRowFirstColumn="0" w:lastRowLastColumn="0"/>
            <w:tcW w:w="1984" w:type="dxa"/>
          </w:tcPr>
          <w:p w14:paraId="60917575" w14:textId="77777777" w:rsidR="00CA2F73" w:rsidRPr="007A1D39" w:rsidRDefault="00CA2F73" w:rsidP="00726785">
            <w:pPr>
              <w:jc w:val="right"/>
            </w:pPr>
            <w:r w:rsidRPr="007A1D39">
              <w:t xml:space="preserve">1 783 515 </w:t>
            </w:r>
          </w:p>
        </w:tc>
        <w:tc>
          <w:tcPr>
            <w:cnfStyle w:val="000010000000" w:firstRow="0" w:lastRow="0" w:firstColumn="0" w:lastColumn="0" w:oddVBand="1" w:evenVBand="0" w:oddHBand="0" w:evenHBand="0" w:firstRowFirstColumn="0" w:firstRowLastColumn="0" w:lastRowFirstColumn="0" w:lastRowLastColumn="0"/>
            <w:tcW w:w="1559" w:type="dxa"/>
          </w:tcPr>
          <w:p w14:paraId="47540583" w14:textId="77777777" w:rsidR="00CA2F73" w:rsidRPr="007A1D39" w:rsidRDefault="00CA2F73" w:rsidP="00726785">
            <w:pPr>
              <w:jc w:val="right"/>
            </w:pPr>
            <w:r w:rsidRPr="007A1D39">
              <w:t>5 011</w:t>
            </w:r>
          </w:p>
        </w:tc>
      </w:tr>
      <w:tr w:rsidR="00CA2F73" w:rsidRPr="00E8518E" w14:paraId="4337A4B3" w14:textId="77777777" w:rsidTr="00726785">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099EA31D" w14:textId="77777777" w:rsidR="00CA2F73" w:rsidRPr="005B63B7" w:rsidRDefault="00CA2F73" w:rsidP="00726785">
            <w:pPr>
              <w:rPr>
                <w:i/>
              </w:rPr>
            </w:pPr>
            <w:r w:rsidRPr="005B63B7">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984" w:type="dxa"/>
          </w:tcPr>
          <w:p w14:paraId="25E448DB" w14:textId="77777777" w:rsidR="00CA2F73" w:rsidRPr="007A1D39" w:rsidRDefault="00CA2F73" w:rsidP="00726785">
            <w:pPr>
              <w:jc w:val="right"/>
              <w:rPr>
                <w:i/>
              </w:rPr>
            </w:pPr>
            <w:r w:rsidRPr="007A1D39">
              <w:rPr>
                <w:i/>
              </w:rPr>
              <w:t>1 165 398</w:t>
            </w:r>
          </w:p>
        </w:tc>
        <w:tc>
          <w:tcPr>
            <w:cnfStyle w:val="000010000000" w:firstRow="0" w:lastRow="0" w:firstColumn="0" w:lastColumn="0" w:oddVBand="1" w:evenVBand="0" w:oddHBand="0" w:evenHBand="0" w:firstRowFirstColumn="0" w:firstRowLastColumn="0" w:lastRowFirstColumn="0" w:lastRowLastColumn="0"/>
            <w:tcW w:w="1559" w:type="dxa"/>
          </w:tcPr>
          <w:p w14:paraId="41CBD1AD" w14:textId="77777777" w:rsidR="00CA2F73" w:rsidRPr="007A1D39" w:rsidRDefault="00CA2F73" w:rsidP="00726785">
            <w:pPr>
              <w:jc w:val="right"/>
              <w:rPr>
                <w:i/>
              </w:rPr>
            </w:pPr>
            <w:r w:rsidRPr="007A1D39">
              <w:rPr>
                <w:i/>
              </w:rPr>
              <w:t>5 011</w:t>
            </w:r>
          </w:p>
        </w:tc>
      </w:tr>
      <w:tr w:rsidR="00CA2F73" w:rsidRPr="00E8518E" w14:paraId="0A718F97" w14:textId="77777777" w:rsidTr="00726785">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48B65279" w14:textId="77777777" w:rsidR="00CA2F73" w:rsidRPr="005B63B7" w:rsidRDefault="00CA2F73" w:rsidP="00726785">
            <w:pPr>
              <w:rPr>
                <w:i/>
              </w:rPr>
            </w:pPr>
            <w:r w:rsidRPr="005B63B7">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984" w:type="dxa"/>
          </w:tcPr>
          <w:p w14:paraId="1586D7EE" w14:textId="77777777" w:rsidR="00CA2F73" w:rsidRPr="007A1D39" w:rsidRDefault="00CA2F73" w:rsidP="00726785">
            <w:pPr>
              <w:jc w:val="right"/>
              <w:rPr>
                <w:i/>
              </w:rPr>
            </w:pPr>
            <w:r w:rsidRPr="007A1D39">
              <w:rPr>
                <w:i/>
              </w:rPr>
              <w:t xml:space="preserve">618 117 </w:t>
            </w:r>
          </w:p>
        </w:tc>
        <w:tc>
          <w:tcPr>
            <w:cnfStyle w:val="000010000000" w:firstRow="0" w:lastRow="0" w:firstColumn="0" w:lastColumn="0" w:oddVBand="1" w:evenVBand="0" w:oddHBand="0" w:evenHBand="0" w:firstRowFirstColumn="0" w:firstRowLastColumn="0" w:lastRowFirstColumn="0" w:lastRowLastColumn="0"/>
            <w:tcW w:w="1559" w:type="dxa"/>
          </w:tcPr>
          <w:p w14:paraId="7116957B" w14:textId="77777777" w:rsidR="00CA2F73" w:rsidRPr="007A1D39" w:rsidRDefault="00CA2F73" w:rsidP="00726785">
            <w:pPr>
              <w:jc w:val="right"/>
              <w:rPr>
                <w:i/>
              </w:rPr>
            </w:pPr>
            <w:r w:rsidRPr="007A1D39">
              <w:rPr>
                <w:i/>
              </w:rPr>
              <w:t>0</w:t>
            </w:r>
          </w:p>
        </w:tc>
      </w:tr>
      <w:tr w:rsidR="00CA2F73" w:rsidRPr="00E8518E" w14:paraId="76980ED2" w14:textId="77777777" w:rsidTr="00726785">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419E49BB" w14:textId="77777777" w:rsidR="00CA2F73" w:rsidRPr="005B63B7" w:rsidRDefault="00CA2F73" w:rsidP="00726785">
            <w:r w:rsidRPr="005B63B7">
              <w:t>Komunitární programy</w:t>
            </w:r>
          </w:p>
        </w:tc>
        <w:tc>
          <w:tcPr>
            <w:cnfStyle w:val="000001000000" w:firstRow="0" w:lastRow="0" w:firstColumn="0" w:lastColumn="0" w:oddVBand="0" w:evenVBand="1" w:oddHBand="0" w:evenHBand="0" w:firstRowFirstColumn="0" w:firstRowLastColumn="0" w:lastRowFirstColumn="0" w:lastRowLastColumn="0"/>
            <w:tcW w:w="1984" w:type="dxa"/>
          </w:tcPr>
          <w:p w14:paraId="707F5569" w14:textId="77777777" w:rsidR="00CA2F73" w:rsidRPr="005B63B7" w:rsidRDefault="00CA2F73" w:rsidP="00726785">
            <w:pPr>
              <w:jc w:val="right"/>
            </w:pPr>
            <w:r w:rsidRPr="005B63B7">
              <w:t xml:space="preserve">2 497 921 </w:t>
            </w:r>
          </w:p>
        </w:tc>
        <w:tc>
          <w:tcPr>
            <w:cnfStyle w:val="000010000000" w:firstRow="0" w:lastRow="0" w:firstColumn="0" w:lastColumn="0" w:oddVBand="1" w:evenVBand="0" w:oddHBand="0" w:evenHBand="0" w:firstRowFirstColumn="0" w:firstRowLastColumn="0" w:lastRowFirstColumn="0" w:lastRowLastColumn="0"/>
            <w:tcW w:w="1559" w:type="dxa"/>
          </w:tcPr>
          <w:p w14:paraId="5FFC8C1D" w14:textId="77777777" w:rsidR="00CA2F73" w:rsidRPr="005B63B7" w:rsidRDefault="00CA2F73" w:rsidP="00726785">
            <w:pPr>
              <w:jc w:val="right"/>
            </w:pPr>
            <w:r w:rsidRPr="005B63B7">
              <w:t>847</w:t>
            </w:r>
          </w:p>
        </w:tc>
      </w:tr>
      <w:tr w:rsidR="00CA2F73" w:rsidRPr="00E8518E" w14:paraId="4405B749" w14:textId="77777777" w:rsidTr="00726785">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427D89C5" w14:textId="77777777" w:rsidR="00CA2F73" w:rsidRPr="005B63B7" w:rsidRDefault="00CA2F73" w:rsidP="00726785">
            <w:r w:rsidRPr="005B63B7">
              <w:t>Operační program Podnikání a inovace</w:t>
            </w:r>
          </w:p>
        </w:tc>
        <w:tc>
          <w:tcPr>
            <w:cnfStyle w:val="000001000000" w:firstRow="0" w:lastRow="0" w:firstColumn="0" w:lastColumn="0" w:oddVBand="0" w:evenVBand="1" w:oddHBand="0" w:evenHBand="0" w:firstRowFirstColumn="0" w:firstRowLastColumn="0" w:lastRowFirstColumn="0" w:lastRowLastColumn="0"/>
            <w:tcW w:w="1984" w:type="dxa"/>
          </w:tcPr>
          <w:p w14:paraId="651B3197" w14:textId="77777777" w:rsidR="00CA2F73" w:rsidRPr="005B63B7" w:rsidRDefault="00CA2F73" w:rsidP="00726785">
            <w:pPr>
              <w:jc w:val="right"/>
            </w:pPr>
            <w:r w:rsidRPr="005B63B7">
              <w:t>292 721</w:t>
            </w:r>
          </w:p>
        </w:tc>
        <w:tc>
          <w:tcPr>
            <w:cnfStyle w:val="000010000000" w:firstRow="0" w:lastRow="0" w:firstColumn="0" w:lastColumn="0" w:oddVBand="1" w:evenVBand="0" w:oddHBand="0" w:evenHBand="0" w:firstRowFirstColumn="0" w:firstRowLastColumn="0" w:lastRowFirstColumn="0" w:lastRowLastColumn="0"/>
            <w:tcW w:w="1559" w:type="dxa"/>
          </w:tcPr>
          <w:p w14:paraId="5F4A64B1" w14:textId="77777777" w:rsidR="00CA2F73" w:rsidRPr="005B63B7" w:rsidRDefault="00CA2F73" w:rsidP="00726785">
            <w:pPr>
              <w:jc w:val="right"/>
            </w:pPr>
            <w:r w:rsidRPr="005B63B7">
              <w:t>0</w:t>
            </w:r>
          </w:p>
        </w:tc>
      </w:tr>
      <w:tr w:rsidR="00CA2F73" w:rsidRPr="00E8518E" w14:paraId="015A3197" w14:textId="77777777" w:rsidTr="00726785">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2A555552" w14:textId="77777777" w:rsidR="00CA2F73" w:rsidRPr="005B63B7" w:rsidRDefault="00CA2F73" w:rsidP="00726785">
            <w:pPr>
              <w:rPr>
                <w:b/>
              </w:rPr>
            </w:pPr>
            <w:r w:rsidRPr="005B63B7">
              <w:rPr>
                <w:b/>
              </w:rPr>
              <w:t>Programové období 2021 - 2027 v tom:</w:t>
            </w:r>
          </w:p>
        </w:tc>
        <w:tc>
          <w:tcPr>
            <w:cnfStyle w:val="000001000000" w:firstRow="0" w:lastRow="0" w:firstColumn="0" w:lastColumn="0" w:oddVBand="0" w:evenVBand="1" w:oddHBand="0" w:evenHBand="0" w:firstRowFirstColumn="0" w:firstRowLastColumn="0" w:lastRowFirstColumn="0" w:lastRowLastColumn="0"/>
            <w:tcW w:w="1984" w:type="dxa"/>
          </w:tcPr>
          <w:p w14:paraId="26B6F08D" w14:textId="77777777" w:rsidR="00CA2F73" w:rsidRPr="005B63B7" w:rsidRDefault="00CA2F73" w:rsidP="00726785">
            <w:pPr>
              <w:jc w:val="right"/>
              <w:rPr>
                <w:b/>
              </w:rPr>
            </w:pPr>
            <w:r w:rsidRPr="005B63B7">
              <w:rPr>
                <w:b/>
              </w:rPr>
              <w:t xml:space="preserve">24 212 606 </w:t>
            </w:r>
          </w:p>
        </w:tc>
        <w:tc>
          <w:tcPr>
            <w:cnfStyle w:val="000010000000" w:firstRow="0" w:lastRow="0" w:firstColumn="0" w:lastColumn="0" w:oddVBand="1" w:evenVBand="0" w:oddHBand="0" w:evenHBand="0" w:firstRowFirstColumn="0" w:firstRowLastColumn="0" w:lastRowFirstColumn="0" w:lastRowLastColumn="0"/>
            <w:tcW w:w="1559" w:type="dxa"/>
          </w:tcPr>
          <w:p w14:paraId="533708D2" w14:textId="77777777" w:rsidR="00CA2F73" w:rsidRPr="005B63B7" w:rsidRDefault="00CA2F73" w:rsidP="00726785">
            <w:pPr>
              <w:jc w:val="right"/>
              <w:rPr>
                <w:b/>
              </w:rPr>
            </w:pPr>
            <w:r w:rsidRPr="005B63B7">
              <w:rPr>
                <w:b/>
              </w:rPr>
              <w:t>11 670</w:t>
            </w:r>
          </w:p>
        </w:tc>
      </w:tr>
      <w:tr w:rsidR="00CA2F73" w:rsidRPr="00E8518E" w14:paraId="031EAE9B" w14:textId="77777777" w:rsidTr="00726785">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7C2D2466" w14:textId="77777777" w:rsidR="00CA2F73" w:rsidRPr="00717CCC" w:rsidRDefault="00CA2F73" w:rsidP="00726785">
            <w:r w:rsidRPr="00717CCC">
              <w:t>Operační program Doprava 2021 +v tom:</w:t>
            </w:r>
          </w:p>
        </w:tc>
        <w:tc>
          <w:tcPr>
            <w:cnfStyle w:val="000001000000" w:firstRow="0" w:lastRow="0" w:firstColumn="0" w:lastColumn="0" w:oddVBand="0" w:evenVBand="1" w:oddHBand="0" w:evenHBand="0" w:firstRowFirstColumn="0" w:firstRowLastColumn="0" w:lastRowFirstColumn="0" w:lastRowLastColumn="0"/>
            <w:tcW w:w="1984" w:type="dxa"/>
          </w:tcPr>
          <w:p w14:paraId="6ADA663F" w14:textId="77777777" w:rsidR="00CA2F73" w:rsidRPr="00717CCC" w:rsidRDefault="00CA2F73" w:rsidP="00726785">
            <w:pPr>
              <w:jc w:val="right"/>
            </w:pPr>
            <w:r w:rsidRPr="00717CCC">
              <w:t xml:space="preserve">15 556 068 </w:t>
            </w:r>
          </w:p>
        </w:tc>
        <w:tc>
          <w:tcPr>
            <w:cnfStyle w:val="000010000000" w:firstRow="0" w:lastRow="0" w:firstColumn="0" w:lastColumn="0" w:oddVBand="1" w:evenVBand="0" w:oddHBand="0" w:evenHBand="0" w:firstRowFirstColumn="0" w:firstRowLastColumn="0" w:lastRowFirstColumn="0" w:lastRowLastColumn="0"/>
            <w:tcW w:w="1559" w:type="dxa"/>
          </w:tcPr>
          <w:p w14:paraId="57917ABE" w14:textId="77777777" w:rsidR="00CA2F73" w:rsidRPr="00717CCC" w:rsidRDefault="00CA2F73" w:rsidP="00726785">
            <w:pPr>
              <w:jc w:val="right"/>
            </w:pPr>
            <w:r w:rsidRPr="00717CCC">
              <w:t>10 161</w:t>
            </w:r>
          </w:p>
        </w:tc>
      </w:tr>
      <w:tr w:rsidR="00CA2F73" w:rsidRPr="00E8518E" w14:paraId="23EDA864" w14:textId="77777777" w:rsidTr="00726785">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4B1D3325" w14:textId="77777777" w:rsidR="00CA2F73" w:rsidRPr="00717CCC" w:rsidRDefault="00CA2F73" w:rsidP="00726785">
            <w:r w:rsidRPr="00717CCC">
              <w:rPr>
                <w:i/>
              </w:rPr>
              <w:t xml:space="preserve">       Kohezní fond (CF)</w:t>
            </w:r>
          </w:p>
        </w:tc>
        <w:tc>
          <w:tcPr>
            <w:cnfStyle w:val="000001000000" w:firstRow="0" w:lastRow="0" w:firstColumn="0" w:lastColumn="0" w:oddVBand="0" w:evenVBand="1" w:oddHBand="0" w:evenHBand="0" w:firstRowFirstColumn="0" w:firstRowLastColumn="0" w:lastRowFirstColumn="0" w:lastRowLastColumn="0"/>
            <w:tcW w:w="1984" w:type="dxa"/>
          </w:tcPr>
          <w:p w14:paraId="3A3FED2F" w14:textId="77777777" w:rsidR="00CA2F73" w:rsidRPr="00717CCC" w:rsidRDefault="00CA2F73" w:rsidP="00726785">
            <w:pPr>
              <w:jc w:val="right"/>
              <w:rPr>
                <w:i/>
              </w:rPr>
            </w:pPr>
            <w:r w:rsidRPr="00717CCC">
              <w:rPr>
                <w:i/>
              </w:rPr>
              <w:t xml:space="preserve">15 018 950 </w:t>
            </w:r>
          </w:p>
        </w:tc>
        <w:tc>
          <w:tcPr>
            <w:cnfStyle w:val="000010000000" w:firstRow="0" w:lastRow="0" w:firstColumn="0" w:lastColumn="0" w:oddVBand="1" w:evenVBand="0" w:oddHBand="0" w:evenHBand="0" w:firstRowFirstColumn="0" w:firstRowLastColumn="0" w:lastRowFirstColumn="0" w:lastRowLastColumn="0"/>
            <w:tcW w:w="1559" w:type="dxa"/>
          </w:tcPr>
          <w:p w14:paraId="417AED48" w14:textId="77777777" w:rsidR="00CA2F73" w:rsidRPr="00717CCC" w:rsidRDefault="00CA2F73" w:rsidP="00726785">
            <w:pPr>
              <w:jc w:val="right"/>
              <w:rPr>
                <w:i/>
              </w:rPr>
            </w:pPr>
            <w:r w:rsidRPr="00717CCC">
              <w:rPr>
                <w:i/>
              </w:rPr>
              <w:t>10 161</w:t>
            </w:r>
          </w:p>
        </w:tc>
      </w:tr>
      <w:tr w:rsidR="00CA2F73" w:rsidRPr="00E8518E" w14:paraId="05149927" w14:textId="77777777" w:rsidTr="00726785">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6F61D7DF" w14:textId="77777777" w:rsidR="00CA2F73" w:rsidRPr="00717CCC" w:rsidRDefault="00CA2F73" w:rsidP="00726785">
            <w:r w:rsidRPr="00717CCC">
              <w:rPr>
                <w:i/>
              </w:rPr>
              <w:t xml:space="preserve">      Strukturální fondy (ERDF)</w:t>
            </w:r>
          </w:p>
        </w:tc>
        <w:tc>
          <w:tcPr>
            <w:cnfStyle w:val="000001000000" w:firstRow="0" w:lastRow="0" w:firstColumn="0" w:lastColumn="0" w:oddVBand="0" w:evenVBand="1" w:oddHBand="0" w:evenHBand="0" w:firstRowFirstColumn="0" w:firstRowLastColumn="0" w:lastRowFirstColumn="0" w:lastRowLastColumn="0"/>
            <w:tcW w:w="1984" w:type="dxa"/>
          </w:tcPr>
          <w:p w14:paraId="17A37429" w14:textId="77777777" w:rsidR="00CA2F73" w:rsidRPr="00717CCC" w:rsidRDefault="00CA2F73" w:rsidP="00726785">
            <w:pPr>
              <w:jc w:val="right"/>
              <w:rPr>
                <w:i/>
              </w:rPr>
            </w:pPr>
            <w:r w:rsidRPr="00717CCC">
              <w:rPr>
                <w:i/>
              </w:rPr>
              <w:t>537 118</w:t>
            </w:r>
          </w:p>
        </w:tc>
        <w:tc>
          <w:tcPr>
            <w:cnfStyle w:val="000010000000" w:firstRow="0" w:lastRow="0" w:firstColumn="0" w:lastColumn="0" w:oddVBand="1" w:evenVBand="0" w:oddHBand="0" w:evenHBand="0" w:firstRowFirstColumn="0" w:firstRowLastColumn="0" w:lastRowFirstColumn="0" w:lastRowLastColumn="0"/>
            <w:tcW w:w="1559" w:type="dxa"/>
          </w:tcPr>
          <w:p w14:paraId="74ABFCF8" w14:textId="77777777" w:rsidR="00CA2F73" w:rsidRPr="00717CCC" w:rsidRDefault="00CA2F73" w:rsidP="00726785">
            <w:pPr>
              <w:jc w:val="right"/>
              <w:rPr>
                <w:i/>
              </w:rPr>
            </w:pPr>
            <w:r w:rsidRPr="00717CCC">
              <w:rPr>
                <w:i/>
              </w:rPr>
              <w:t>0</w:t>
            </w:r>
          </w:p>
        </w:tc>
      </w:tr>
      <w:tr w:rsidR="00CA2F73" w:rsidRPr="00E8518E" w14:paraId="1F472B9B" w14:textId="77777777" w:rsidTr="00726785">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024425BE" w14:textId="77777777" w:rsidR="00CA2F73" w:rsidRPr="00717CCC" w:rsidRDefault="00CA2F73" w:rsidP="00726785">
            <w:r w:rsidRPr="00717CCC">
              <w:t>Komunitární programy</w:t>
            </w:r>
          </w:p>
        </w:tc>
        <w:tc>
          <w:tcPr>
            <w:cnfStyle w:val="000001000000" w:firstRow="0" w:lastRow="0" w:firstColumn="0" w:lastColumn="0" w:oddVBand="0" w:evenVBand="1" w:oddHBand="0" w:evenHBand="0" w:firstRowFirstColumn="0" w:firstRowLastColumn="0" w:lastRowFirstColumn="0" w:lastRowLastColumn="0"/>
            <w:tcW w:w="1984" w:type="dxa"/>
          </w:tcPr>
          <w:p w14:paraId="0B68A2D3" w14:textId="77777777" w:rsidR="00CA2F73" w:rsidRPr="00717CCC" w:rsidRDefault="00CA2F73" w:rsidP="00726785">
            <w:pPr>
              <w:jc w:val="right"/>
            </w:pPr>
            <w:r w:rsidRPr="00717CCC">
              <w:t>5 120 963</w:t>
            </w:r>
          </w:p>
        </w:tc>
        <w:tc>
          <w:tcPr>
            <w:cnfStyle w:val="000010000000" w:firstRow="0" w:lastRow="0" w:firstColumn="0" w:lastColumn="0" w:oddVBand="1" w:evenVBand="0" w:oddHBand="0" w:evenHBand="0" w:firstRowFirstColumn="0" w:firstRowLastColumn="0" w:lastRowFirstColumn="0" w:lastRowLastColumn="0"/>
            <w:tcW w:w="1559" w:type="dxa"/>
          </w:tcPr>
          <w:p w14:paraId="483B1FFE" w14:textId="77777777" w:rsidR="00CA2F73" w:rsidRPr="00717CCC" w:rsidRDefault="00CA2F73" w:rsidP="00726785">
            <w:pPr>
              <w:jc w:val="right"/>
            </w:pPr>
            <w:r w:rsidRPr="00717CCC">
              <w:t>1 509</w:t>
            </w:r>
          </w:p>
        </w:tc>
      </w:tr>
      <w:tr w:rsidR="00CA2F73" w:rsidRPr="00E8518E" w14:paraId="601541FF" w14:textId="77777777" w:rsidTr="00726785">
        <w:trPr>
          <w:trHeight w:val="226"/>
        </w:trPr>
        <w:tc>
          <w:tcPr>
            <w:cnfStyle w:val="000010000000" w:firstRow="0" w:lastRow="0" w:firstColumn="0" w:lastColumn="0" w:oddVBand="1" w:evenVBand="0" w:oddHBand="0" w:evenHBand="0" w:firstRowFirstColumn="0" w:firstRowLastColumn="0" w:lastRowFirstColumn="0" w:lastRowLastColumn="0"/>
            <w:tcW w:w="4957" w:type="dxa"/>
          </w:tcPr>
          <w:p w14:paraId="0860A9C9" w14:textId="77777777" w:rsidR="00CA2F73" w:rsidRPr="00717CCC" w:rsidRDefault="00CA2F73" w:rsidP="00726785">
            <w:r w:rsidRPr="00717CCC">
              <w:t>Národní plán obnovy</w:t>
            </w:r>
          </w:p>
        </w:tc>
        <w:tc>
          <w:tcPr>
            <w:cnfStyle w:val="000001000000" w:firstRow="0" w:lastRow="0" w:firstColumn="0" w:lastColumn="0" w:oddVBand="0" w:evenVBand="1" w:oddHBand="0" w:evenHBand="0" w:firstRowFirstColumn="0" w:firstRowLastColumn="0" w:lastRowFirstColumn="0" w:lastRowLastColumn="0"/>
            <w:tcW w:w="1984" w:type="dxa"/>
          </w:tcPr>
          <w:p w14:paraId="7F5E3AA4" w14:textId="77777777" w:rsidR="00CA2F73" w:rsidRPr="00717CCC" w:rsidRDefault="00CA2F73" w:rsidP="00726785">
            <w:pPr>
              <w:jc w:val="right"/>
            </w:pPr>
            <w:r w:rsidRPr="00717CCC">
              <w:t xml:space="preserve">3 003 459 </w:t>
            </w:r>
          </w:p>
        </w:tc>
        <w:tc>
          <w:tcPr>
            <w:cnfStyle w:val="000010000000" w:firstRow="0" w:lastRow="0" w:firstColumn="0" w:lastColumn="0" w:oddVBand="1" w:evenVBand="0" w:oddHBand="0" w:evenHBand="0" w:firstRowFirstColumn="0" w:firstRowLastColumn="0" w:lastRowFirstColumn="0" w:lastRowLastColumn="0"/>
            <w:tcW w:w="1559" w:type="dxa"/>
          </w:tcPr>
          <w:p w14:paraId="5CFC8F60" w14:textId="77777777" w:rsidR="00CA2F73" w:rsidRPr="00717CCC" w:rsidRDefault="00CA2F73" w:rsidP="00726785">
            <w:pPr>
              <w:jc w:val="right"/>
            </w:pPr>
            <w:r w:rsidRPr="00717CCC">
              <w:t>0</w:t>
            </w:r>
          </w:p>
        </w:tc>
      </w:tr>
      <w:tr w:rsidR="00CA2F73" w:rsidRPr="00E8518E" w14:paraId="63802A22" w14:textId="77777777" w:rsidTr="00726785">
        <w:trPr>
          <w:cnfStyle w:val="000000100000" w:firstRow="0" w:lastRow="0" w:firstColumn="0" w:lastColumn="0" w:oddVBand="0" w:evenVBand="0" w:oddHBand="1" w:evenHBand="0" w:firstRowFirstColumn="0" w:firstRowLastColumn="0" w:lastRowFirstColumn="0" w:lastRowLastColumn="0"/>
          <w:trHeight w:val="226"/>
        </w:trPr>
        <w:tc>
          <w:tcPr>
            <w:cnfStyle w:val="000010000000" w:firstRow="0" w:lastRow="0" w:firstColumn="0" w:lastColumn="0" w:oddVBand="1" w:evenVBand="0" w:oddHBand="0" w:evenHBand="0" w:firstRowFirstColumn="0" w:firstRowLastColumn="0" w:lastRowFirstColumn="0" w:lastRowLastColumn="0"/>
            <w:tcW w:w="4957" w:type="dxa"/>
          </w:tcPr>
          <w:p w14:paraId="2A91B199" w14:textId="77777777" w:rsidR="00CA2F73" w:rsidRPr="00717CCC" w:rsidRDefault="00CA2F73" w:rsidP="00726785">
            <w:r w:rsidRPr="00717CCC">
              <w:t xml:space="preserve">BAR – </w:t>
            </w:r>
            <w:proofErr w:type="spellStart"/>
            <w:r w:rsidRPr="00717CCC">
              <w:t>Brexitová</w:t>
            </w:r>
            <w:proofErr w:type="spellEnd"/>
            <w:r w:rsidRPr="00717CCC">
              <w:t xml:space="preserve"> rezerva</w:t>
            </w:r>
          </w:p>
        </w:tc>
        <w:tc>
          <w:tcPr>
            <w:cnfStyle w:val="000001000000" w:firstRow="0" w:lastRow="0" w:firstColumn="0" w:lastColumn="0" w:oddVBand="0" w:evenVBand="1" w:oddHBand="0" w:evenHBand="0" w:firstRowFirstColumn="0" w:firstRowLastColumn="0" w:lastRowFirstColumn="0" w:lastRowLastColumn="0"/>
            <w:tcW w:w="1984" w:type="dxa"/>
          </w:tcPr>
          <w:p w14:paraId="32570BE1" w14:textId="77777777" w:rsidR="00CA2F73" w:rsidRPr="00717CCC" w:rsidRDefault="00CA2F73" w:rsidP="00726785">
            <w:pPr>
              <w:jc w:val="right"/>
            </w:pPr>
            <w:r w:rsidRPr="00717CCC">
              <w:t>532 116</w:t>
            </w:r>
          </w:p>
        </w:tc>
        <w:tc>
          <w:tcPr>
            <w:cnfStyle w:val="000010000000" w:firstRow="0" w:lastRow="0" w:firstColumn="0" w:lastColumn="0" w:oddVBand="1" w:evenVBand="0" w:oddHBand="0" w:evenHBand="0" w:firstRowFirstColumn="0" w:firstRowLastColumn="0" w:lastRowFirstColumn="0" w:lastRowLastColumn="0"/>
            <w:tcW w:w="1559" w:type="dxa"/>
          </w:tcPr>
          <w:p w14:paraId="506F93A6" w14:textId="77777777" w:rsidR="00CA2F73" w:rsidRPr="00717CCC" w:rsidRDefault="00CA2F73" w:rsidP="00726785">
            <w:pPr>
              <w:jc w:val="right"/>
            </w:pPr>
            <w:r w:rsidRPr="00717CCC">
              <w:t>0</w:t>
            </w:r>
          </w:p>
        </w:tc>
      </w:tr>
    </w:tbl>
    <w:p w14:paraId="4C799F3D" w14:textId="3A95BB18" w:rsidR="00A851ED" w:rsidRDefault="00CA2F73" w:rsidP="00BC5D6F">
      <w:pPr>
        <w:pStyle w:val="Styl1"/>
        <w:spacing w:before="120" w:after="0"/>
      </w:pPr>
      <w:r w:rsidRPr="00A851ED">
        <w:rPr>
          <w:iCs w:val="0"/>
        </w:rPr>
        <w:t xml:space="preserve">Z celkové částky prostředků EU </w:t>
      </w:r>
      <w:r w:rsidRPr="00A851ED">
        <w:rPr>
          <w:b/>
          <w:bCs/>
          <w:iCs w:val="0"/>
        </w:rPr>
        <w:t>28 786 763</w:t>
      </w:r>
      <w:r w:rsidRPr="00A851ED">
        <w:rPr>
          <w:iCs w:val="0"/>
        </w:rPr>
        <w:t xml:space="preserve"> </w:t>
      </w:r>
      <w:r w:rsidRPr="00A851ED">
        <w:rPr>
          <w:b/>
          <w:iCs w:val="0"/>
        </w:rPr>
        <w:t>tis. Kč</w:t>
      </w:r>
      <w:r w:rsidRPr="00A851ED">
        <w:rPr>
          <w:iCs w:val="0"/>
        </w:rPr>
        <w:t xml:space="preserve"> je určena částka 4 543 517 tis. Kč do jednotlivých programů programového financování (EDS/SMVS) Ministerstva dopravy. Prostředky ve výši 27 544 489 tis. Kč budou poskytnuty jako dotace Státnímu fondu dopravní infrastruktury na společné programy (projekty) EU a Č</w:t>
      </w:r>
      <w:r w:rsidR="00014DBC" w:rsidRPr="00A851ED">
        <w:rPr>
          <w:iCs w:val="0"/>
        </w:rPr>
        <w:t>R</w:t>
      </w:r>
      <w:r w:rsidR="00A851ED" w:rsidRPr="00A851ED">
        <w:rPr>
          <w:iCs w:val="0"/>
        </w:rPr>
        <w:t>.</w:t>
      </w:r>
    </w:p>
    <w:p w14:paraId="6D2BEB61" w14:textId="7DC42BF7" w:rsidR="00316A6C" w:rsidRPr="0088307E" w:rsidRDefault="00316A6C" w:rsidP="0088307E">
      <w:pPr>
        <w:pStyle w:val="Titulek"/>
        <w:spacing w:before="0"/>
      </w:pPr>
      <w:bookmarkStart w:id="288" w:name="_Toc21609498"/>
      <w:bookmarkStart w:id="289" w:name="_Toc115788017"/>
      <w:r w:rsidRPr="0088307E">
        <w:t xml:space="preserve">Graf č. </w:t>
      </w:r>
      <w:fldSimple w:instr=" SEQ Graf_č. \* ARABIC ">
        <w:r w:rsidR="00F80947">
          <w:rPr>
            <w:noProof/>
          </w:rPr>
          <w:t>9</w:t>
        </w:r>
      </w:fldSimple>
      <w:r w:rsidRPr="0088307E">
        <w:t xml:space="preserve"> Rozdělení prostředků z rozpočtu EU dle programů</w:t>
      </w:r>
      <w:bookmarkEnd w:id="288"/>
      <w:bookmarkEnd w:id="289"/>
    </w:p>
    <w:p w14:paraId="48F1EA9D" w14:textId="77777777" w:rsidR="00316A6C" w:rsidRPr="00E8518E" w:rsidRDefault="00316A6C" w:rsidP="00316A6C">
      <w:pPr>
        <w:keepNext/>
        <w:spacing w:before="240" w:after="120"/>
        <w:rPr>
          <w:rFonts w:eastAsia="Times New Roman" w:cs="Times New Roman"/>
          <w:b/>
          <w:bCs/>
          <w:color w:val="FF0000"/>
          <w:sz w:val="20"/>
          <w:szCs w:val="20"/>
          <w:lang w:eastAsia="cs-CZ"/>
        </w:rPr>
      </w:pPr>
      <w:r w:rsidRPr="00E8518E">
        <w:rPr>
          <w:noProof/>
          <w:color w:val="FF0000"/>
          <w:lang w:eastAsia="cs-CZ"/>
        </w:rPr>
        <w:drawing>
          <wp:inline distT="0" distB="0" distL="0" distR="0" wp14:anchorId="0F994152" wp14:editId="4B6F9350">
            <wp:extent cx="5760720" cy="2699385"/>
            <wp:effectExtent l="0" t="0" r="11430" b="5715"/>
            <wp:docPr id="16" name="Graf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3C264FA" w14:textId="77777777" w:rsidR="00A36B40" w:rsidRPr="0088307E" w:rsidRDefault="00A36B40" w:rsidP="007F51ED">
      <w:pPr>
        <w:pStyle w:val="Nadpis2"/>
        <w:ind w:left="578" w:hanging="578"/>
      </w:pPr>
      <w:bookmarkStart w:id="290" w:name="_Toc115788007"/>
      <w:r w:rsidRPr="0088307E">
        <w:t>Výdaje na výzkum, vývoj a inovace</w:t>
      </w:r>
      <w:bookmarkEnd w:id="275"/>
      <w:bookmarkEnd w:id="290"/>
    </w:p>
    <w:p w14:paraId="53A8796D" w14:textId="5E99C73F" w:rsidR="005779DE" w:rsidRPr="0088307E" w:rsidRDefault="005D77E4" w:rsidP="005779DE">
      <w:pPr>
        <w:pStyle w:val="Styl1"/>
      </w:pPr>
      <w:bookmarkStart w:id="291" w:name="_Toc462314413"/>
      <w:r w:rsidRPr="003F730C">
        <w:t xml:space="preserve">Pro rok 2023 jsou navrhovány výdaje na výzkum, vývoj a inovace ve výši 97 663 tis Kč (neinvestiční prostředky 67 663 tis. Kč a investiční prostředky 30 000 tis. Kč), v plné výši jde </w:t>
      </w:r>
      <w:r w:rsidRPr="003F730C">
        <w:br/>
        <w:t xml:space="preserve">o institucionální podporu. Tyto výdaje jsou určeny pro veřejnou výzkumnou instituci Centrum dopravního výzkumu, jejímž zřizovatelem je Ministerstvo dopravy. Navrhovaná částka pro 2023 je na úrovni roku 2022 a je rozdělena na neinvestiční a investiční část. </w:t>
      </w:r>
      <w:r w:rsidR="00386E07" w:rsidRPr="00386E07">
        <w:t xml:space="preserve">Tyto  </w:t>
      </w:r>
      <w:r w:rsidR="00386E07">
        <w:t xml:space="preserve">prostředky </w:t>
      </w:r>
      <w:r w:rsidR="00386E07" w:rsidRPr="00386E07">
        <w:t>jsou vedeny v informačním systému ZED</w:t>
      </w:r>
      <w:r w:rsidR="00386E07">
        <w:t xml:space="preserve">. </w:t>
      </w:r>
      <w:r w:rsidR="00386E07" w:rsidRPr="00386E07" w:rsidDel="005D77E4">
        <w:t xml:space="preserve"> </w:t>
      </w:r>
    </w:p>
    <w:p w14:paraId="014723B1" w14:textId="77777777" w:rsidR="00A36B40" w:rsidRPr="0088307E" w:rsidRDefault="00A36B40" w:rsidP="001C010B">
      <w:pPr>
        <w:pStyle w:val="Nadpis2"/>
      </w:pPr>
      <w:bookmarkStart w:id="292" w:name="_Toc115788008"/>
      <w:r w:rsidRPr="0088307E">
        <w:t>Výdaje na významné veřejné zakázky</w:t>
      </w:r>
      <w:bookmarkEnd w:id="291"/>
      <w:bookmarkEnd w:id="292"/>
    </w:p>
    <w:p w14:paraId="6A7BC6B5" w14:textId="77777777" w:rsidR="00115B57" w:rsidRPr="00C627B3" w:rsidRDefault="00115B57" w:rsidP="00115B57">
      <w:pPr>
        <w:pStyle w:val="Styl1"/>
        <w:rPr>
          <w:b/>
        </w:rPr>
      </w:pPr>
      <w:r w:rsidRPr="00C627B3">
        <w:t>Ministerstvo dopravy pro rok 202</w:t>
      </w:r>
      <w:r>
        <w:t>3</w:t>
      </w:r>
      <w:r w:rsidRPr="00C627B3">
        <w:t xml:space="preserve"> eviduje ve výdajích státního rozpočtu </w:t>
      </w:r>
      <w:r>
        <w:t>čtyři</w:t>
      </w:r>
      <w:r w:rsidRPr="00C627B3">
        <w:t xml:space="preserve"> veřejné zakázky </w:t>
      </w:r>
      <w:r w:rsidRPr="00C627B3">
        <w:br/>
        <w:t xml:space="preserve">o předpokládané hodnotě  nad 300 mil. Kč, všechny smlouvy jsou již podepsané. Konkrétně se jedná o: </w:t>
      </w:r>
      <w:r w:rsidRPr="00C627B3">
        <w:tab/>
      </w:r>
    </w:p>
    <w:p w14:paraId="29830052" w14:textId="77777777" w:rsidR="00115B57" w:rsidRPr="00C627B3" w:rsidRDefault="00115B57" w:rsidP="00115B57">
      <w:pPr>
        <w:pStyle w:val="Styl1"/>
        <w:numPr>
          <w:ilvl w:val="0"/>
          <w:numId w:val="26"/>
        </w:numPr>
        <w:spacing w:before="120" w:after="120"/>
        <w:ind w:left="714" w:hanging="357"/>
      </w:pPr>
      <w:r w:rsidRPr="00C627B3">
        <w:t xml:space="preserve">Výrobu a dodání řidičských průkazů a průkazů profesní způsobilosti řidiče </w:t>
      </w:r>
      <w:r w:rsidRPr="00C627B3">
        <w:br/>
        <w:t xml:space="preserve">(S-285-160/2018);  </w:t>
      </w:r>
    </w:p>
    <w:p w14:paraId="21B01937" w14:textId="77777777" w:rsidR="00115B57" w:rsidRPr="00C627B3" w:rsidRDefault="00115B57" w:rsidP="00115B57">
      <w:pPr>
        <w:pStyle w:val="Styl1"/>
        <w:numPr>
          <w:ilvl w:val="0"/>
          <w:numId w:val="26"/>
        </w:numPr>
        <w:spacing w:before="120" w:after="120"/>
        <w:ind w:left="714" w:hanging="357"/>
      </w:pPr>
      <w:r w:rsidRPr="00C627B3">
        <w:t>Dodávky tabulek registračních značek (S-303-150/2019);</w:t>
      </w:r>
    </w:p>
    <w:p w14:paraId="7BC41B22" w14:textId="77777777" w:rsidR="00115B57" w:rsidRDefault="00115B57" w:rsidP="00115B57">
      <w:pPr>
        <w:pStyle w:val="Styl1"/>
        <w:numPr>
          <w:ilvl w:val="0"/>
          <w:numId w:val="26"/>
        </w:numPr>
        <w:spacing w:before="120" w:after="120"/>
        <w:ind w:left="714" w:hanging="357"/>
      </w:pPr>
      <w:r w:rsidRPr="00C627B3">
        <w:t xml:space="preserve">Poskytování služeb provozu </w:t>
      </w:r>
      <w:proofErr w:type="spellStart"/>
      <w:r w:rsidRPr="00C627B3">
        <w:t>instrastruktury</w:t>
      </w:r>
      <w:proofErr w:type="spellEnd"/>
      <w:r w:rsidRPr="00C627B3">
        <w:t xml:space="preserve"> pro informační systémy Mini</w:t>
      </w:r>
      <w:r>
        <w:t>sterstva dopravy (S-8-330/2017);</w:t>
      </w:r>
    </w:p>
    <w:p w14:paraId="2D51E47C" w14:textId="77777777" w:rsidR="00115B57" w:rsidRPr="00C627B3" w:rsidRDefault="00115B57" w:rsidP="00115B57">
      <w:pPr>
        <w:pStyle w:val="Styl1"/>
        <w:numPr>
          <w:ilvl w:val="0"/>
          <w:numId w:val="26"/>
        </w:numPr>
        <w:spacing w:before="120" w:after="120"/>
        <w:ind w:left="714" w:hanging="357"/>
      </w:pPr>
      <w:r>
        <w:t>Rámcová smlouva o poskytování odborných, poradenských a dalších služeb v resortu Ministerstva dopravy (S-288-330/2019).</w:t>
      </w:r>
      <w:r w:rsidRPr="00C627B3">
        <w:t xml:space="preserve"> </w:t>
      </w:r>
    </w:p>
    <w:p w14:paraId="39B729B6" w14:textId="77777777" w:rsidR="00115B57" w:rsidRPr="00C627B3" w:rsidRDefault="00115B57" w:rsidP="00115B57">
      <w:pPr>
        <w:pStyle w:val="Styl1"/>
      </w:pPr>
      <w:r w:rsidRPr="00C627B3">
        <w:t>Podrobné údaje k jednotlivým smlouvám s uvedením celkových předpokládaných výdajů, s přehledem čerpání do roku 20</w:t>
      </w:r>
      <w:r>
        <w:t>21</w:t>
      </w:r>
      <w:r w:rsidRPr="00C627B3">
        <w:t xml:space="preserve">, </w:t>
      </w:r>
      <w:r>
        <w:t>s predikci čerpání pro roky 2022</w:t>
      </w:r>
      <w:r w:rsidRPr="00C627B3">
        <w:t xml:space="preserve"> a dále jsou uvedené v Příloze č. 10.</w:t>
      </w:r>
    </w:p>
    <w:p w14:paraId="6A2661B5" w14:textId="0572C70C" w:rsidR="00BB0B4E" w:rsidRPr="00E8518E" w:rsidRDefault="00BB0B4E" w:rsidP="00115B57">
      <w:pPr>
        <w:pStyle w:val="Styl1"/>
        <w:rPr>
          <w:color w:val="FF0000"/>
        </w:rPr>
      </w:pPr>
    </w:p>
    <w:sectPr w:rsidR="00BB0B4E" w:rsidRPr="00E8518E" w:rsidSect="00B967C7">
      <w:pgSz w:w="11906" w:h="16838"/>
      <w:pgMar w:top="1417" w:right="1417" w:bottom="851"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C9E334" w14:textId="77777777" w:rsidR="00F80947" w:rsidRDefault="00F80947" w:rsidP="000E081D">
      <w:pPr>
        <w:spacing w:line="240" w:lineRule="auto"/>
      </w:pPr>
      <w:r>
        <w:separator/>
      </w:r>
    </w:p>
  </w:endnote>
  <w:endnote w:type="continuationSeparator" w:id="0">
    <w:p w14:paraId="49D3FA69" w14:textId="77777777" w:rsidR="00F80947" w:rsidRDefault="00F80947" w:rsidP="000E081D">
      <w:pPr>
        <w:spacing w:line="240" w:lineRule="auto"/>
      </w:pPr>
      <w:r>
        <w:continuationSeparator/>
      </w:r>
    </w:p>
  </w:endnote>
  <w:endnote w:type="continuationNotice" w:id="1">
    <w:p w14:paraId="2D63DADC" w14:textId="77777777" w:rsidR="00F80947" w:rsidRDefault="00F809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32AFA" w14:textId="77777777" w:rsidR="00F80947" w:rsidRDefault="00F80947">
    <w:pPr>
      <w:pStyle w:val="Zpat"/>
      <w:jc w:val="center"/>
    </w:pPr>
  </w:p>
  <w:p w14:paraId="3104B0B5" w14:textId="77777777" w:rsidR="00F80947" w:rsidRDefault="00F8094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852056"/>
      <w:docPartObj>
        <w:docPartGallery w:val="Page Numbers (Bottom of Page)"/>
        <w:docPartUnique/>
      </w:docPartObj>
    </w:sdtPr>
    <w:sdtContent>
      <w:p w14:paraId="632F49C7" w14:textId="49F4F239" w:rsidR="00F80947" w:rsidRDefault="00F80947">
        <w:pPr>
          <w:pStyle w:val="Zpat"/>
          <w:jc w:val="center"/>
        </w:pPr>
        <w:r>
          <w:fldChar w:fldCharType="begin"/>
        </w:r>
        <w:r>
          <w:instrText>PAGE   \* MERGEFORMAT</w:instrText>
        </w:r>
        <w:r>
          <w:fldChar w:fldCharType="separate"/>
        </w:r>
        <w:r w:rsidR="00846348">
          <w:rPr>
            <w:noProof/>
          </w:rPr>
          <w:t>4</w:t>
        </w:r>
        <w:r>
          <w:fldChar w:fldCharType="end"/>
        </w:r>
      </w:p>
    </w:sdtContent>
  </w:sdt>
  <w:p w14:paraId="282E4D9B" w14:textId="77777777" w:rsidR="00F80947" w:rsidRDefault="00F8094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0812810"/>
      <w:docPartObj>
        <w:docPartGallery w:val="Page Numbers (Bottom of Page)"/>
        <w:docPartUnique/>
      </w:docPartObj>
    </w:sdtPr>
    <w:sdtContent>
      <w:p w14:paraId="7F426905" w14:textId="4B40A135" w:rsidR="00F80947" w:rsidRDefault="00F80947">
        <w:pPr>
          <w:pStyle w:val="Zpat"/>
          <w:jc w:val="center"/>
        </w:pPr>
        <w:r>
          <w:fldChar w:fldCharType="begin"/>
        </w:r>
        <w:r>
          <w:instrText>PAGE   \* MERGEFORMAT</w:instrText>
        </w:r>
        <w:r>
          <w:fldChar w:fldCharType="separate"/>
        </w:r>
        <w:r w:rsidR="00846348">
          <w:rPr>
            <w:noProof/>
          </w:rPr>
          <w:t>1</w:t>
        </w:r>
        <w:r>
          <w:fldChar w:fldCharType="end"/>
        </w:r>
      </w:p>
    </w:sdtContent>
  </w:sdt>
  <w:p w14:paraId="31C3CE51" w14:textId="77777777" w:rsidR="00F80947" w:rsidRDefault="00F8094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A3D4A" w14:textId="77777777" w:rsidR="00F80947" w:rsidRDefault="00F80947" w:rsidP="000E081D">
      <w:pPr>
        <w:spacing w:line="240" w:lineRule="auto"/>
      </w:pPr>
      <w:r>
        <w:separator/>
      </w:r>
    </w:p>
  </w:footnote>
  <w:footnote w:type="continuationSeparator" w:id="0">
    <w:p w14:paraId="0B96BDC6" w14:textId="77777777" w:rsidR="00F80947" w:rsidRDefault="00F80947" w:rsidP="000E081D">
      <w:pPr>
        <w:spacing w:line="240" w:lineRule="auto"/>
      </w:pPr>
      <w:r>
        <w:continuationSeparator/>
      </w:r>
    </w:p>
  </w:footnote>
  <w:footnote w:type="continuationNotice" w:id="1">
    <w:p w14:paraId="295BD102" w14:textId="77777777" w:rsidR="00F80947" w:rsidRDefault="00F80947">
      <w:pPr>
        <w:spacing w:line="240" w:lineRule="auto"/>
      </w:pPr>
    </w:p>
  </w:footnote>
  <w:footnote w:id="2">
    <w:p w14:paraId="328386CE" w14:textId="77777777" w:rsidR="00F80947" w:rsidRDefault="00F80947" w:rsidP="00CA2F73">
      <w:pPr>
        <w:pStyle w:val="Textpoznpodarou"/>
      </w:pPr>
      <w:r>
        <w:rPr>
          <w:rStyle w:val="Znakapoznpodarou"/>
        </w:rPr>
        <w:footnoteRef/>
      </w:r>
      <w:r>
        <w:t xml:space="preserve"> Rozvoj a obnova materiálně technické základny MD-PO, SFDI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7D8C6" w14:textId="77777777" w:rsidR="00F80947" w:rsidRDefault="00F80947" w:rsidP="005E6B5D"/>
  <w:p w14:paraId="2C53EF16" w14:textId="77777777" w:rsidR="00F80947" w:rsidRDefault="00F80947" w:rsidP="005E6B5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16107"/>
    <w:multiLevelType w:val="hybridMultilevel"/>
    <w:tmpl w:val="56E2A290"/>
    <w:lvl w:ilvl="0" w:tplc="D8BE71C2">
      <w:start w:val="1"/>
      <w:numFmt w:val="decimal"/>
      <w:lvlText w:val="%1."/>
      <w:lvlJc w:val="left"/>
      <w:pPr>
        <w:ind w:left="1287" w:hanging="360"/>
      </w:pPr>
      <w:rPr>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C1524CA"/>
    <w:multiLevelType w:val="hybridMultilevel"/>
    <w:tmpl w:val="79262FF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9C492F"/>
    <w:multiLevelType w:val="hybridMultilevel"/>
    <w:tmpl w:val="F2E4A85A"/>
    <w:lvl w:ilvl="0" w:tplc="2CB0BFFE">
      <w:start w:val="1"/>
      <w:numFmt w:val="bullet"/>
      <w:lvlText w:val=""/>
      <w:lvlJc w:val="left"/>
      <w:pPr>
        <w:ind w:left="1145" w:hanging="360"/>
      </w:pPr>
      <w:rPr>
        <w:rFonts w:ascii="Wingdings" w:hAnsi="Wingdings"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0356925"/>
    <w:multiLevelType w:val="hybridMultilevel"/>
    <w:tmpl w:val="D61C7E3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0A24794"/>
    <w:multiLevelType w:val="hybridMultilevel"/>
    <w:tmpl w:val="7FC66B38"/>
    <w:lvl w:ilvl="0" w:tplc="04050001">
      <w:start w:val="1"/>
      <w:numFmt w:val="bullet"/>
      <w:pStyle w:val="OPDnadpis4"/>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pStyle w:val="OPD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22254A"/>
    <w:multiLevelType w:val="hybridMultilevel"/>
    <w:tmpl w:val="82DE0A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4A6432"/>
    <w:multiLevelType w:val="hybridMultilevel"/>
    <w:tmpl w:val="9702BCB6"/>
    <w:lvl w:ilvl="0" w:tplc="0AACE3FE">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4C37BC"/>
    <w:multiLevelType w:val="hybridMultilevel"/>
    <w:tmpl w:val="78EEAC74"/>
    <w:lvl w:ilvl="0" w:tplc="7D7222A0">
      <w:start w:val="1"/>
      <w:numFmt w:val="bullet"/>
      <w:lvlText w:val=""/>
      <w:lvlJc w:val="left"/>
      <w:pPr>
        <w:tabs>
          <w:tab w:val="num" w:pos="644"/>
        </w:tabs>
        <w:ind w:left="644" w:hanging="360"/>
      </w:pPr>
      <w:rPr>
        <w:rFonts w:ascii="Wingdings" w:hAnsi="Wingdings" w:hint="default"/>
        <w:color w:val="auto"/>
      </w:rPr>
    </w:lvl>
    <w:lvl w:ilvl="1" w:tplc="04050003" w:tentative="1">
      <w:start w:val="1"/>
      <w:numFmt w:val="bullet"/>
      <w:lvlText w:val="o"/>
      <w:lvlJc w:val="left"/>
      <w:pPr>
        <w:tabs>
          <w:tab w:val="num" w:pos="1364"/>
        </w:tabs>
        <w:ind w:left="1364" w:hanging="360"/>
      </w:pPr>
      <w:rPr>
        <w:rFonts w:ascii="Courier New" w:hAnsi="Courier New" w:hint="default"/>
      </w:rPr>
    </w:lvl>
    <w:lvl w:ilvl="2" w:tplc="04050005" w:tentative="1">
      <w:start w:val="1"/>
      <w:numFmt w:val="bullet"/>
      <w:lvlText w:val=""/>
      <w:lvlJc w:val="left"/>
      <w:pPr>
        <w:tabs>
          <w:tab w:val="num" w:pos="2084"/>
        </w:tabs>
        <w:ind w:left="2084" w:hanging="360"/>
      </w:pPr>
      <w:rPr>
        <w:rFonts w:ascii="Wingdings" w:hAnsi="Wingdings" w:hint="default"/>
      </w:rPr>
    </w:lvl>
    <w:lvl w:ilvl="3" w:tplc="04050001" w:tentative="1">
      <w:start w:val="1"/>
      <w:numFmt w:val="bullet"/>
      <w:lvlText w:val=""/>
      <w:lvlJc w:val="left"/>
      <w:pPr>
        <w:tabs>
          <w:tab w:val="num" w:pos="2804"/>
        </w:tabs>
        <w:ind w:left="2804" w:hanging="360"/>
      </w:pPr>
      <w:rPr>
        <w:rFonts w:ascii="Symbol" w:hAnsi="Symbol" w:hint="default"/>
      </w:rPr>
    </w:lvl>
    <w:lvl w:ilvl="4" w:tplc="04050003" w:tentative="1">
      <w:start w:val="1"/>
      <w:numFmt w:val="bullet"/>
      <w:lvlText w:val="o"/>
      <w:lvlJc w:val="left"/>
      <w:pPr>
        <w:tabs>
          <w:tab w:val="num" w:pos="3524"/>
        </w:tabs>
        <w:ind w:left="3524" w:hanging="360"/>
      </w:pPr>
      <w:rPr>
        <w:rFonts w:ascii="Courier New" w:hAnsi="Courier New" w:hint="default"/>
      </w:rPr>
    </w:lvl>
    <w:lvl w:ilvl="5" w:tplc="04050005" w:tentative="1">
      <w:start w:val="1"/>
      <w:numFmt w:val="bullet"/>
      <w:lvlText w:val=""/>
      <w:lvlJc w:val="left"/>
      <w:pPr>
        <w:tabs>
          <w:tab w:val="num" w:pos="4244"/>
        </w:tabs>
        <w:ind w:left="4244" w:hanging="360"/>
      </w:pPr>
      <w:rPr>
        <w:rFonts w:ascii="Wingdings" w:hAnsi="Wingdings" w:hint="default"/>
      </w:rPr>
    </w:lvl>
    <w:lvl w:ilvl="6" w:tplc="04050001" w:tentative="1">
      <w:start w:val="1"/>
      <w:numFmt w:val="bullet"/>
      <w:lvlText w:val=""/>
      <w:lvlJc w:val="left"/>
      <w:pPr>
        <w:tabs>
          <w:tab w:val="num" w:pos="4964"/>
        </w:tabs>
        <w:ind w:left="4964" w:hanging="360"/>
      </w:pPr>
      <w:rPr>
        <w:rFonts w:ascii="Symbol" w:hAnsi="Symbol" w:hint="default"/>
      </w:rPr>
    </w:lvl>
    <w:lvl w:ilvl="7" w:tplc="04050003" w:tentative="1">
      <w:start w:val="1"/>
      <w:numFmt w:val="bullet"/>
      <w:lvlText w:val="o"/>
      <w:lvlJc w:val="left"/>
      <w:pPr>
        <w:tabs>
          <w:tab w:val="num" w:pos="5684"/>
        </w:tabs>
        <w:ind w:left="5684" w:hanging="360"/>
      </w:pPr>
      <w:rPr>
        <w:rFonts w:ascii="Courier New" w:hAnsi="Courier New" w:hint="default"/>
      </w:rPr>
    </w:lvl>
    <w:lvl w:ilvl="8" w:tplc="04050005" w:tentative="1">
      <w:start w:val="1"/>
      <w:numFmt w:val="bullet"/>
      <w:lvlText w:val=""/>
      <w:lvlJc w:val="left"/>
      <w:pPr>
        <w:tabs>
          <w:tab w:val="num" w:pos="6404"/>
        </w:tabs>
        <w:ind w:left="6404" w:hanging="360"/>
      </w:pPr>
      <w:rPr>
        <w:rFonts w:ascii="Wingdings" w:hAnsi="Wingdings" w:hint="default"/>
      </w:rPr>
    </w:lvl>
  </w:abstractNum>
  <w:abstractNum w:abstractNumId="8" w15:restartNumberingAfterBreak="0">
    <w:nsid w:val="2CCC5793"/>
    <w:multiLevelType w:val="hybridMultilevel"/>
    <w:tmpl w:val="6280294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CED4646"/>
    <w:multiLevelType w:val="hybridMultilevel"/>
    <w:tmpl w:val="7B48F3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F3290F"/>
    <w:multiLevelType w:val="hybridMultilevel"/>
    <w:tmpl w:val="E168FF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A30415"/>
    <w:multiLevelType w:val="hybridMultilevel"/>
    <w:tmpl w:val="8974B0A0"/>
    <w:lvl w:ilvl="0" w:tplc="68AAAD8E">
      <w:start w:val="1"/>
      <w:numFmt w:val="bullet"/>
      <w:lvlText w:val=""/>
      <w:lvlJc w:val="left"/>
      <w:pPr>
        <w:ind w:left="1004" w:hanging="360"/>
      </w:pPr>
      <w:rPr>
        <w:rFonts w:ascii="Wingdings" w:hAnsi="Wingdings" w:hint="default"/>
        <w:color w:val="auto"/>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32151C7D"/>
    <w:multiLevelType w:val="hybridMultilevel"/>
    <w:tmpl w:val="1F52DDF2"/>
    <w:lvl w:ilvl="0" w:tplc="04050005">
      <w:start w:val="1"/>
      <w:numFmt w:val="bullet"/>
      <w:lvlText w:val=""/>
      <w:lvlJc w:val="left"/>
      <w:pPr>
        <w:tabs>
          <w:tab w:val="num" w:pos="720"/>
        </w:tabs>
        <w:ind w:left="720" w:hanging="360"/>
      </w:pPr>
      <w:rPr>
        <w:rFonts w:ascii="Wingdings" w:hAnsi="Wingdings" w:hint="default"/>
      </w:rPr>
    </w:lvl>
    <w:lvl w:ilvl="1" w:tplc="14BE26C8">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267D16"/>
    <w:multiLevelType w:val="hybridMultilevel"/>
    <w:tmpl w:val="2A9881CA"/>
    <w:lvl w:ilvl="0" w:tplc="04050001">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E35736"/>
    <w:multiLevelType w:val="hybridMultilevel"/>
    <w:tmpl w:val="3498F354"/>
    <w:lvl w:ilvl="0" w:tplc="04050005">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35B81C5B"/>
    <w:multiLevelType w:val="hybridMultilevel"/>
    <w:tmpl w:val="079E7DB2"/>
    <w:lvl w:ilvl="0" w:tplc="0405000B">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6354032"/>
    <w:multiLevelType w:val="hybridMultilevel"/>
    <w:tmpl w:val="07327898"/>
    <w:lvl w:ilvl="0" w:tplc="3AC4FFA6">
      <w:numFmt w:val="bullet"/>
      <w:lvlText w:val="-"/>
      <w:lvlJc w:val="left"/>
      <w:pPr>
        <w:tabs>
          <w:tab w:val="num" w:pos="720"/>
        </w:tabs>
        <w:ind w:left="720" w:hanging="360"/>
      </w:pPr>
      <w:rPr>
        <w:rFonts w:ascii="Times New Roman" w:eastAsia="Times New Roman" w:hAnsi="Times New Roman" w:cs="Times New Roman" w:hint="default"/>
        <w:color w:val="auto"/>
      </w:rPr>
    </w:lvl>
    <w:lvl w:ilvl="1" w:tplc="FEDE0E38">
      <w:start w:val="1"/>
      <w:numFmt w:val="bullet"/>
      <w:lvlText w:val=""/>
      <w:lvlJc w:val="left"/>
      <w:pPr>
        <w:tabs>
          <w:tab w:val="num" w:pos="1440"/>
        </w:tabs>
        <w:ind w:left="1440" w:hanging="360"/>
      </w:pPr>
      <w:rPr>
        <w:rFonts w:ascii="Wingdings" w:hAnsi="Wingdings" w:hint="default"/>
        <w:color w:val="auto"/>
      </w:rPr>
    </w:lvl>
    <w:lvl w:ilvl="2" w:tplc="1A4299BC">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708749C"/>
    <w:multiLevelType w:val="hybridMultilevel"/>
    <w:tmpl w:val="7BD62D26"/>
    <w:lvl w:ilvl="0" w:tplc="68AAAD8E">
      <w:start w:val="1"/>
      <w:numFmt w:val="bullet"/>
      <w:lvlText w:val=""/>
      <w:lvlJc w:val="left"/>
      <w:pPr>
        <w:tabs>
          <w:tab w:val="num" w:pos="1429"/>
        </w:tabs>
        <w:ind w:left="1429" w:hanging="360"/>
      </w:pPr>
      <w:rPr>
        <w:rFonts w:ascii="Wingdings" w:hAnsi="Wingdings"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9390239"/>
    <w:multiLevelType w:val="hybridMultilevel"/>
    <w:tmpl w:val="EA00AF1E"/>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3A3E2095"/>
    <w:multiLevelType w:val="hybridMultilevel"/>
    <w:tmpl w:val="6FD4B068"/>
    <w:lvl w:ilvl="0" w:tplc="68AAAD8E">
      <w:start w:val="1"/>
      <w:numFmt w:val="bullet"/>
      <w:lvlText w:val=""/>
      <w:lvlJc w:val="left"/>
      <w:pPr>
        <w:ind w:left="1080" w:hanging="360"/>
      </w:pPr>
      <w:rPr>
        <w:rFonts w:ascii="Wingdings" w:hAnsi="Wingdings"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4F943B2"/>
    <w:multiLevelType w:val="hybridMultilevel"/>
    <w:tmpl w:val="1818BFF8"/>
    <w:lvl w:ilvl="0" w:tplc="44B2CE02">
      <w:start w:val="1"/>
      <w:numFmt w:val="bullet"/>
      <w:pStyle w:val="KOModrky"/>
      <w:lvlText w:val=""/>
      <w:lvlJc w:val="left"/>
      <w:pPr>
        <w:tabs>
          <w:tab w:val="num" w:pos="1088"/>
        </w:tabs>
        <w:ind w:left="1088" w:hanging="227"/>
      </w:pPr>
      <w:rPr>
        <w:rFonts w:ascii="Wingdings" w:hAnsi="Wingdings" w:hint="default"/>
        <w:color w:val="auto"/>
      </w:rPr>
    </w:lvl>
    <w:lvl w:ilvl="1" w:tplc="04050003" w:tentative="1">
      <w:start w:val="1"/>
      <w:numFmt w:val="bullet"/>
      <w:lvlText w:val="o"/>
      <w:lvlJc w:val="left"/>
      <w:pPr>
        <w:tabs>
          <w:tab w:val="num" w:pos="1734"/>
        </w:tabs>
        <w:ind w:left="1734" w:hanging="360"/>
      </w:pPr>
      <w:rPr>
        <w:rFonts w:ascii="Courier New" w:hAnsi="Courier New" w:cs="Courier New" w:hint="default"/>
      </w:rPr>
    </w:lvl>
    <w:lvl w:ilvl="2" w:tplc="04050005" w:tentative="1">
      <w:start w:val="1"/>
      <w:numFmt w:val="bullet"/>
      <w:lvlText w:val=""/>
      <w:lvlJc w:val="left"/>
      <w:pPr>
        <w:tabs>
          <w:tab w:val="num" w:pos="2454"/>
        </w:tabs>
        <w:ind w:left="2454" w:hanging="360"/>
      </w:pPr>
      <w:rPr>
        <w:rFonts w:ascii="Wingdings" w:hAnsi="Wingdings" w:hint="default"/>
      </w:rPr>
    </w:lvl>
    <w:lvl w:ilvl="3" w:tplc="04050001" w:tentative="1">
      <w:start w:val="1"/>
      <w:numFmt w:val="bullet"/>
      <w:lvlText w:val=""/>
      <w:lvlJc w:val="left"/>
      <w:pPr>
        <w:tabs>
          <w:tab w:val="num" w:pos="3174"/>
        </w:tabs>
        <w:ind w:left="3174" w:hanging="360"/>
      </w:pPr>
      <w:rPr>
        <w:rFonts w:ascii="Symbol" w:hAnsi="Symbol" w:hint="default"/>
      </w:rPr>
    </w:lvl>
    <w:lvl w:ilvl="4" w:tplc="04050003" w:tentative="1">
      <w:start w:val="1"/>
      <w:numFmt w:val="bullet"/>
      <w:lvlText w:val="o"/>
      <w:lvlJc w:val="left"/>
      <w:pPr>
        <w:tabs>
          <w:tab w:val="num" w:pos="3894"/>
        </w:tabs>
        <w:ind w:left="3894" w:hanging="360"/>
      </w:pPr>
      <w:rPr>
        <w:rFonts w:ascii="Courier New" w:hAnsi="Courier New" w:cs="Courier New" w:hint="default"/>
      </w:rPr>
    </w:lvl>
    <w:lvl w:ilvl="5" w:tplc="04050005" w:tentative="1">
      <w:start w:val="1"/>
      <w:numFmt w:val="bullet"/>
      <w:lvlText w:val=""/>
      <w:lvlJc w:val="left"/>
      <w:pPr>
        <w:tabs>
          <w:tab w:val="num" w:pos="4614"/>
        </w:tabs>
        <w:ind w:left="4614" w:hanging="360"/>
      </w:pPr>
      <w:rPr>
        <w:rFonts w:ascii="Wingdings" w:hAnsi="Wingdings" w:hint="default"/>
      </w:rPr>
    </w:lvl>
    <w:lvl w:ilvl="6" w:tplc="04050001" w:tentative="1">
      <w:start w:val="1"/>
      <w:numFmt w:val="bullet"/>
      <w:lvlText w:val=""/>
      <w:lvlJc w:val="left"/>
      <w:pPr>
        <w:tabs>
          <w:tab w:val="num" w:pos="5334"/>
        </w:tabs>
        <w:ind w:left="5334" w:hanging="360"/>
      </w:pPr>
      <w:rPr>
        <w:rFonts w:ascii="Symbol" w:hAnsi="Symbol" w:hint="default"/>
      </w:rPr>
    </w:lvl>
    <w:lvl w:ilvl="7" w:tplc="04050003" w:tentative="1">
      <w:start w:val="1"/>
      <w:numFmt w:val="bullet"/>
      <w:lvlText w:val="o"/>
      <w:lvlJc w:val="left"/>
      <w:pPr>
        <w:tabs>
          <w:tab w:val="num" w:pos="6054"/>
        </w:tabs>
        <w:ind w:left="6054" w:hanging="360"/>
      </w:pPr>
      <w:rPr>
        <w:rFonts w:ascii="Courier New" w:hAnsi="Courier New" w:cs="Courier New" w:hint="default"/>
      </w:rPr>
    </w:lvl>
    <w:lvl w:ilvl="8" w:tplc="04050005" w:tentative="1">
      <w:start w:val="1"/>
      <w:numFmt w:val="bullet"/>
      <w:lvlText w:val=""/>
      <w:lvlJc w:val="left"/>
      <w:pPr>
        <w:tabs>
          <w:tab w:val="num" w:pos="6774"/>
        </w:tabs>
        <w:ind w:left="6774" w:hanging="360"/>
      </w:pPr>
      <w:rPr>
        <w:rFonts w:ascii="Wingdings" w:hAnsi="Wingdings" w:hint="default"/>
      </w:rPr>
    </w:lvl>
  </w:abstractNum>
  <w:abstractNum w:abstractNumId="21" w15:restartNumberingAfterBreak="0">
    <w:nsid w:val="451E44E4"/>
    <w:multiLevelType w:val="hybridMultilevel"/>
    <w:tmpl w:val="095EDC92"/>
    <w:lvl w:ilvl="0" w:tplc="5BD09AA4">
      <w:start w:val="1"/>
      <w:numFmt w:val="bullet"/>
      <w:lvlText w:val=""/>
      <w:lvlJc w:val="left"/>
      <w:pPr>
        <w:tabs>
          <w:tab w:val="num" w:pos="720"/>
        </w:tabs>
        <w:ind w:left="720" w:hanging="360"/>
      </w:pPr>
      <w:rPr>
        <w:rFonts w:ascii="Wingdings" w:hAnsi="Wingdings"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629"/>
        </w:tabs>
        <w:ind w:left="2629"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273E93"/>
    <w:multiLevelType w:val="hybridMultilevel"/>
    <w:tmpl w:val="91AABDA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565035D"/>
    <w:multiLevelType w:val="hybridMultilevel"/>
    <w:tmpl w:val="E8708E76"/>
    <w:lvl w:ilvl="0" w:tplc="CF047120">
      <w:start w:val="1"/>
      <w:numFmt w:val="bullet"/>
      <w:lvlText w:val=""/>
      <w:lvlJc w:val="left"/>
      <w:pPr>
        <w:ind w:left="644"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4" w15:restartNumberingAfterBreak="0">
    <w:nsid w:val="45E5352C"/>
    <w:multiLevelType w:val="hybridMultilevel"/>
    <w:tmpl w:val="02466EA0"/>
    <w:lvl w:ilvl="0" w:tplc="9322EF3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6614754"/>
    <w:multiLevelType w:val="hybridMultilevel"/>
    <w:tmpl w:val="CCC098D4"/>
    <w:lvl w:ilvl="0" w:tplc="85F8DACC">
      <w:start w:val="1"/>
      <w:numFmt w:val="bullet"/>
      <w:lvlText w:val=""/>
      <w:lvlJc w:val="left"/>
      <w:pPr>
        <w:ind w:left="1259" w:hanging="360"/>
      </w:pPr>
      <w:rPr>
        <w:rFonts w:ascii="Wingdings" w:hAnsi="Wingdings" w:hint="default"/>
        <w:color w:val="auto"/>
      </w:rPr>
    </w:lvl>
    <w:lvl w:ilvl="1" w:tplc="04050003" w:tentative="1">
      <w:start w:val="1"/>
      <w:numFmt w:val="bullet"/>
      <w:lvlText w:val="o"/>
      <w:lvlJc w:val="left"/>
      <w:pPr>
        <w:ind w:left="1979" w:hanging="360"/>
      </w:pPr>
      <w:rPr>
        <w:rFonts w:ascii="Courier New" w:hAnsi="Courier New" w:cs="Courier New" w:hint="default"/>
      </w:rPr>
    </w:lvl>
    <w:lvl w:ilvl="2" w:tplc="04050005" w:tentative="1">
      <w:start w:val="1"/>
      <w:numFmt w:val="bullet"/>
      <w:lvlText w:val=""/>
      <w:lvlJc w:val="left"/>
      <w:pPr>
        <w:ind w:left="2699" w:hanging="360"/>
      </w:pPr>
      <w:rPr>
        <w:rFonts w:ascii="Wingdings" w:hAnsi="Wingdings" w:hint="default"/>
      </w:rPr>
    </w:lvl>
    <w:lvl w:ilvl="3" w:tplc="04050001" w:tentative="1">
      <w:start w:val="1"/>
      <w:numFmt w:val="bullet"/>
      <w:lvlText w:val=""/>
      <w:lvlJc w:val="left"/>
      <w:pPr>
        <w:ind w:left="3419" w:hanging="360"/>
      </w:pPr>
      <w:rPr>
        <w:rFonts w:ascii="Symbol" w:hAnsi="Symbol" w:hint="default"/>
      </w:rPr>
    </w:lvl>
    <w:lvl w:ilvl="4" w:tplc="04050003" w:tentative="1">
      <w:start w:val="1"/>
      <w:numFmt w:val="bullet"/>
      <w:lvlText w:val="o"/>
      <w:lvlJc w:val="left"/>
      <w:pPr>
        <w:ind w:left="4139" w:hanging="360"/>
      </w:pPr>
      <w:rPr>
        <w:rFonts w:ascii="Courier New" w:hAnsi="Courier New" w:cs="Courier New" w:hint="default"/>
      </w:rPr>
    </w:lvl>
    <w:lvl w:ilvl="5" w:tplc="04050005" w:tentative="1">
      <w:start w:val="1"/>
      <w:numFmt w:val="bullet"/>
      <w:lvlText w:val=""/>
      <w:lvlJc w:val="left"/>
      <w:pPr>
        <w:ind w:left="4859" w:hanging="360"/>
      </w:pPr>
      <w:rPr>
        <w:rFonts w:ascii="Wingdings" w:hAnsi="Wingdings" w:hint="default"/>
      </w:rPr>
    </w:lvl>
    <w:lvl w:ilvl="6" w:tplc="04050001" w:tentative="1">
      <w:start w:val="1"/>
      <w:numFmt w:val="bullet"/>
      <w:lvlText w:val=""/>
      <w:lvlJc w:val="left"/>
      <w:pPr>
        <w:ind w:left="5579" w:hanging="360"/>
      </w:pPr>
      <w:rPr>
        <w:rFonts w:ascii="Symbol" w:hAnsi="Symbol" w:hint="default"/>
      </w:rPr>
    </w:lvl>
    <w:lvl w:ilvl="7" w:tplc="04050003" w:tentative="1">
      <w:start w:val="1"/>
      <w:numFmt w:val="bullet"/>
      <w:lvlText w:val="o"/>
      <w:lvlJc w:val="left"/>
      <w:pPr>
        <w:ind w:left="6299" w:hanging="360"/>
      </w:pPr>
      <w:rPr>
        <w:rFonts w:ascii="Courier New" w:hAnsi="Courier New" w:cs="Courier New" w:hint="default"/>
      </w:rPr>
    </w:lvl>
    <w:lvl w:ilvl="8" w:tplc="04050005" w:tentative="1">
      <w:start w:val="1"/>
      <w:numFmt w:val="bullet"/>
      <w:lvlText w:val=""/>
      <w:lvlJc w:val="left"/>
      <w:pPr>
        <w:ind w:left="7019" w:hanging="360"/>
      </w:pPr>
      <w:rPr>
        <w:rFonts w:ascii="Wingdings" w:hAnsi="Wingdings" w:hint="default"/>
      </w:rPr>
    </w:lvl>
  </w:abstractNum>
  <w:abstractNum w:abstractNumId="26" w15:restartNumberingAfterBreak="0">
    <w:nsid w:val="4A950CD3"/>
    <w:multiLevelType w:val="hybridMultilevel"/>
    <w:tmpl w:val="4966616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B885D49"/>
    <w:multiLevelType w:val="multilevel"/>
    <w:tmpl w:val="CECAC2DA"/>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i w:val="0"/>
      </w:rPr>
    </w:lvl>
    <w:lvl w:ilvl="2">
      <w:start w:val="1"/>
      <w:numFmt w:val="decimal"/>
      <w:pStyle w:val="Nadpis3"/>
      <w:lvlText w:val="%1.%2.%3"/>
      <w:lvlJc w:val="left"/>
      <w:pPr>
        <w:tabs>
          <w:tab w:val="num" w:pos="720"/>
        </w:tabs>
        <w:ind w:left="720" w:hanging="720"/>
      </w:pPr>
      <w:rPr>
        <w:rFonts w:ascii="Times New Roman" w:hAnsi="Times New Roman" w:cs="Times New Roman" w:hint="default"/>
        <w:b/>
        <w:bCs w:val="0"/>
        <w:i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3924"/>
        </w:tabs>
        <w:ind w:left="3924" w:hanging="1584"/>
      </w:pPr>
      <w:rPr>
        <w:rFonts w:hint="default"/>
      </w:rPr>
    </w:lvl>
  </w:abstractNum>
  <w:abstractNum w:abstractNumId="28" w15:restartNumberingAfterBreak="0">
    <w:nsid w:val="4BF53BB6"/>
    <w:multiLevelType w:val="hybridMultilevel"/>
    <w:tmpl w:val="5E44EBD2"/>
    <w:lvl w:ilvl="0" w:tplc="3B103C3E">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52A97432"/>
    <w:multiLevelType w:val="hybridMultilevel"/>
    <w:tmpl w:val="C9566E84"/>
    <w:lvl w:ilvl="0" w:tplc="5D029F48">
      <w:start w:val="1"/>
      <w:numFmt w:val="bullet"/>
      <w:lvlText w:val=""/>
      <w:lvlJc w:val="left"/>
      <w:pPr>
        <w:ind w:left="720" w:hanging="360"/>
      </w:pPr>
      <w:rPr>
        <w:rFonts w:ascii="Wingdings" w:hAnsi="Wingding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4CD7CF4"/>
    <w:multiLevelType w:val="hybridMultilevel"/>
    <w:tmpl w:val="B9BE231C"/>
    <w:lvl w:ilvl="0" w:tplc="3B103C3E">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5AB803DB"/>
    <w:multiLevelType w:val="hybridMultilevel"/>
    <w:tmpl w:val="683C441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B8A07A7"/>
    <w:multiLevelType w:val="hybridMultilevel"/>
    <w:tmpl w:val="9AD44AD8"/>
    <w:lvl w:ilvl="0" w:tplc="68AAAD8E">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3" w15:restartNumberingAfterBreak="0">
    <w:nsid w:val="607C527F"/>
    <w:multiLevelType w:val="hybridMultilevel"/>
    <w:tmpl w:val="4A84361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755432"/>
    <w:multiLevelType w:val="hybridMultilevel"/>
    <w:tmpl w:val="CB40F260"/>
    <w:lvl w:ilvl="0" w:tplc="1488107E">
      <w:start w:val="1"/>
      <w:numFmt w:val="bullet"/>
      <w:lvlText w:val=""/>
      <w:lvlJc w:val="left"/>
      <w:pPr>
        <w:ind w:left="1287" w:hanging="360"/>
      </w:pPr>
      <w:rPr>
        <w:rFonts w:ascii="Wingdings" w:hAnsi="Wingdings" w:hint="default"/>
        <w:color w:val="auto"/>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5" w15:restartNumberingAfterBreak="0">
    <w:nsid w:val="6AAF1A1F"/>
    <w:multiLevelType w:val="multilevel"/>
    <w:tmpl w:val="D152D292"/>
    <w:lvl w:ilvl="0">
      <w:start w:val="1"/>
      <w:numFmt w:val="decimal"/>
      <w:pStyle w:val="Textodstavce"/>
      <w:isLgl/>
      <w:lvlText w:val="(%1)"/>
      <w:lvlJc w:val="left"/>
      <w:pPr>
        <w:tabs>
          <w:tab w:val="num" w:pos="357"/>
        </w:tabs>
        <w:ind w:left="-425"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6" w15:restartNumberingAfterBreak="0">
    <w:nsid w:val="79626681"/>
    <w:multiLevelType w:val="hybridMultilevel"/>
    <w:tmpl w:val="7D0EE4D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96D2B8B"/>
    <w:multiLevelType w:val="hybridMultilevel"/>
    <w:tmpl w:val="3E7A216A"/>
    <w:lvl w:ilvl="0" w:tplc="04050005">
      <w:start w:val="1"/>
      <w:numFmt w:val="bullet"/>
      <w:lvlText w:val=""/>
      <w:lvlJc w:val="left"/>
      <w:pPr>
        <w:ind w:left="1260" w:hanging="360"/>
      </w:pPr>
      <w:rPr>
        <w:rFonts w:ascii="Wingdings" w:hAnsi="Wingdings"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8" w15:restartNumberingAfterBreak="0">
    <w:nsid w:val="7A7B2085"/>
    <w:multiLevelType w:val="hybridMultilevel"/>
    <w:tmpl w:val="BAD2A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27"/>
  </w:num>
  <w:num w:numId="3">
    <w:abstractNumId w:val="20"/>
  </w:num>
  <w:num w:numId="4">
    <w:abstractNumId w:val="7"/>
  </w:num>
  <w:num w:numId="5">
    <w:abstractNumId w:val="16"/>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startOverride w:val="2"/>
    </w:lvlOverride>
    <w:lvlOverride w:ilvl="1">
      <w:startOverride w:val="1"/>
    </w:lvlOverride>
  </w:num>
  <w:num w:numId="8">
    <w:abstractNumId w:val="4"/>
  </w:num>
  <w:num w:numId="9">
    <w:abstractNumId w:val="5"/>
  </w:num>
  <w:num w:numId="10">
    <w:abstractNumId w:val="3"/>
  </w:num>
  <w:num w:numId="11">
    <w:abstractNumId w:val="8"/>
  </w:num>
  <w:num w:numId="12">
    <w:abstractNumId w:val="34"/>
  </w:num>
  <w:num w:numId="13">
    <w:abstractNumId w:val="18"/>
  </w:num>
  <w:num w:numId="14">
    <w:abstractNumId w:val="22"/>
  </w:num>
  <w:num w:numId="15">
    <w:abstractNumId w:val="38"/>
  </w:num>
  <w:num w:numId="16">
    <w:abstractNumId w:val="26"/>
  </w:num>
  <w:num w:numId="17">
    <w:abstractNumId w:val="23"/>
  </w:num>
  <w:num w:numId="18">
    <w:abstractNumId w:val="2"/>
  </w:num>
  <w:num w:numId="19">
    <w:abstractNumId w:val="25"/>
  </w:num>
  <w:num w:numId="20">
    <w:abstractNumId w:val="37"/>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14"/>
  </w:num>
  <w:num w:numId="24">
    <w:abstractNumId w:val="21"/>
  </w:num>
  <w:num w:numId="25">
    <w:abstractNumId w:val="1"/>
  </w:num>
  <w:num w:numId="26">
    <w:abstractNumId w:val="10"/>
  </w:num>
  <w:num w:numId="27">
    <w:abstractNumId w:val="9"/>
  </w:num>
  <w:num w:numId="28">
    <w:abstractNumId w:val="29"/>
  </w:num>
  <w:num w:numId="29">
    <w:abstractNumId w:val="6"/>
  </w:num>
  <w:num w:numId="30">
    <w:abstractNumId w:val="24"/>
  </w:num>
  <w:num w:numId="31">
    <w:abstractNumId w:val="31"/>
  </w:num>
  <w:num w:numId="32">
    <w:abstractNumId w:val="32"/>
  </w:num>
  <w:num w:numId="33">
    <w:abstractNumId w:val="19"/>
  </w:num>
  <w:num w:numId="34">
    <w:abstractNumId w:val="11"/>
  </w:num>
  <w:num w:numId="35">
    <w:abstractNumId w:val="30"/>
  </w:num>
  <w:num w:numId="36">
    <w:abstractNumId w:val="28"/>
  </w:num>
  <w:num w:numId="37">
    <w:abstractNumId w:val="27"/>
  </w:num>
  <w:num w:numId="38">
    <w:abstractNumId w:val="27"/>
    <w:lvlOverride w:ilvl="0">
      <w:startOverride w:val="3"/>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num>
  <w:num w:numId="40">
    <w:abstractNumId w:val="15"/>
  </w:num>
  <w:num w:numId="41">
    <w:abstractNumId w:val="33"/>
  </w:num>
  <w:num w:numId="42">
    <w:abstractNumId w:val="13"/>
  </w:num>
  <w:num w:numId="43">
    <w:abstractNumId w:val="3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hideSpellingErrors/>
  <w:hideGrammaticalErrors/>
  <w:proofState w:spelling="clean" w:grammar="clean"/>
  <w:documentProtection w:edit="trackedChanges"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CC6"/>
    <w:rsid w:val="0000288F"/>
    <w:rsid w:val="0000322C"/>
    <w:rsid w:val="000042F7"/>
    <w:rsid w:val="00005868"/>
    <w:rsid w:val="000062DC"/>
    <w:rsid w:val="00007DDE"/>
    <w:rsid w:val="00010495"/>
    <w:rsid w:val="00011501"/>
    <w:rsid w:val="00011EDF"/>
    <w:rsid w:val="000130A4"/>
    <w:rsid w:val="0001421C"/>
    <w:rsid w:val="00014DBC"/>
    <w:rsid w:val="00017072"/>
    <w:rsid w:val="0001748A"/>
    <w:rsid w:val="000203BC"/>
    <w:rsid w:val="000222B2"/>
    <w:rsid w:val="00022587"/>
    <w:rsid w:val="00023E57"/>
    <w:rsid w:val="00024ED6"/>
    <w:rsid w:val="00025557"/>
    <w:rsid w:val="000263D6"/>
    <w:rsid w:val="0002683A"/>
    <w:rsid w:val="000269C1"/>
    <w:rsid w:val="0002708E"/>
    <w:rsid w:val="00031BDE"/>
    <w:rsid w:val="00032087"/>
    <w:rsid w:val="00032A97"/>
    <w:rsid w:val="0003357D"/>
    <w:rsid w:val="000339E1"/>
    <w:rsid w:val="00035CD3"/>
    <w:rsid w:val="00040043"/>
    <w:rsid w:val="0004122C"/>
    <w:rsid w:val="00042342"/>
    <w:rsid w:val="0004338A"/>
    <w:rsid w:val="00045020"/>
    <w:rsid w:val="00046048"/>
    <w:rsid w:val="00052AB8"/>
    <w:rsid w:val="000531BB"/>
    <w:rsid w:val="00055DCD"/>
    <w:rsid w:val="00056392"/>
    <w:rsid w:val="000601E6"/>
    <w:rsid w:val="000636A3"/>
    <w:rsid w:val="000636D2"/>
    <w:rsid w:val="00063DD6"/>
    <w:rsid w:val="00065B71"/>
    <w:rsid w:val="00066398"/>
    <w:rsid w:val="0006723C"/>
    <w:rsid w:val="00067432"/>
    <w:rsid w:val="00067460"/>
    <w:rsid w:val="00071A4F"/>
    <w:rsid w:val="0007231E"/>
    <w:rsid w:val="00072BEE"/>
    <w:rsid w:val="00073472"/>
    <w:rsid w:val="00073E09"/>
    <w:rsid w:val="0007455A"/>
    <w:rsid w:val="0007574C"/>
    <w:rsid w:val="00076693"/>
    <w:rsid w:val="000771EB"/>
    <w:rsid w:val="000817C4"/>
    <w:rsid w:val="000835FF"/>
    <w:rsid w:val="00083E57"/>
    <w:rsid w:val="000842F7"/>
    <w:rsid w:val="00085448"/>
    <w:rsid w:val="00086F5F"/>
    <w:rsid w:val="000872F1"/>
    <w:rsid w:val="000937F0"/>
    <w:rsid w:val="00096BE7"/>
    <w:rsid w:val="00097799"/>
    <w:rsid w:val="000A05A0"/>
    <w:rsid w:val="000A0894"/>
    <w:rsid w:val="000A0E16"/>
    <w:rsid w:val="000A15A9"/>
    <w:rsid w:val="000A1EB1"/>
    <w:rsid w:val="000A5BD3"/>
    <w:rsid w:val="000A7B61"/>
    <w:rsid w:val="000B1BAA"/>
    <w:rsid w:val="000B1F1F"/>
    <w:rsid w:val="000B452F"/>
    <w:rsid w:val="000B4DF3"/>
    <w:rsid w:val="000B5188"/>
    <w:rsid w:val="000B53C0"/>
    <w:rsid w:val="000B5BCC"/>
    <w:rsid w:val="000B69E1"/>
    <w:rsid w:val="000B7AD1"/>
    <w:rsid w:val="000B7D0F"/>
    <w:rsid w:val="000C0251"/>
    <w:rsid w:val="000C0ABC"/>
    <w:rsid w:val="000C1E86"/>
    <w:rsid w:val="000C3E5E"/>
    <w:rsid w:val="000C5DEE"/>
    <w:rsid w:val="000D3612"/>
    <w:rsid w:val="000D436D"/>
    <w:rsid w:val="000D634C"/>
    <w:rsid w:val="000D6B88"/>
    <w:rsid w:val="000D6EF7"/>
    <w:rsid w:val="000D7F85"/>
    <w:rsid w:val="000E00C2"/>
    <w:rsid w:val="000E081D"/>
    <w:rsid w:val="000E1007"/>
    <w:rsid w:val="000E1ED1"/>
    <w:rsid w:val="000E39FE"/>
    <w:rsid w:val="000F16F7"/>
    <w:rsid w:val="000F2629"/>
    <w:rsid w:val="000F2641"/>
    <w:rsid w:val="001004D1"/>
    <w:rsid w:val="00101155"/>
    <w:rsid w:val="001047F7"/>
    <w:rsid w:val="001058ED"/>
    <w:rsid w:val="00105D3B"/>
    <w:rsid w:val="00105DDD"/>
    <w:rsid w:val="0010766D"/>
    <w:rsid w:val="00107D52"/>
    <w:rsid w:val="00110C1B"/>
    <w:rsid w:val="0011129C"/>
    <w:rsid w:val="0011184B"/>
    <w:rsid w:val="0011239A"/>
    <w:rsid w:val="00112A4F"/>
    <w:rsid w:val="00115862"/>
    <w:rsid w:val="00115B57"/>
    <w:rsid w:val="00115D59"/>
    <w:rsid w:val="00116485"/>
    <w:rsid w:val="00116974"/>
    <w:rsid w:val="00116AEC"/>
    <w:rsid w:val="00117161"/>
    <w:rsid w:val="001171A1"/>
    <w:rsid w:val="0012151B"/>
    <w:rsid w:val="00122904"/>
    <w:rsid w:val="00122B1D"/>
    <w:rsid w:val="00123E9D"/>
    <w:rsid w:val="001269F2"/>
    <w:rsid w:val="00130BD1"/>
    <w:rsid w:val="00130C53"/>
    <w:rsid w:val="00131916"/>
    <w:rsid w:val="00136173"/>
    <w:rsid w:val="0013706F"/>
    <w:rsid w:val="0013742A"/>
    <w:rsid w:val="00140C74"/>
    <w:rsid w:val="001415D2"/>
    <w:rsid w:val="00141A0B"/>
    <w:rsid w:val="001432A7"/>
    <w:rsid w:val="00143948"/>
    <w:rsid w:val="00143D39"/>
    <w:rsid w:val="00144267"/>
    <w:rsid w:val="00144ACB"/>
    <w:rsid w:val="0014631D"/>
    <w:rsid w:val="00146324"/>
    <w:rsid w:val="001537A3"/>
    <w:rsid w:val="001542CE"/>
    <w:rsid w:val="00155C42"/>
    <w:rsid w:val="00161362"/>
    <w:rsid w:val="00163004"/>
    <w:rsid w:val="00164D4B"/>
    <w:rsid w:val="0017612C"/>
    <w:rsid w:val="00181148"/>
    <w:rsid w:val="00182A64"/>
    <w:rsid w:val="00184E0A"/>
    <w:rsid w:val="0018783A"/>
    <w:rsid w:val="0019006E"/>
    <w:rsid w:val="00190492"/>
    <w:rsid w:val="0019099E"/>
    <w:rsid w:val="00190F3B"/>
    <w:rsid w:val="00193367"/>
    <w:rsid w:val="00195130"/>
    <w:rsid w:val="00197FCD"/>
    <w:rsid w:val="001A2288"/>
    <w:rsid w:val="001A4B2F"/>
    <w:rsid w:val="001A613F"/>
    <w:rsid w:val="001A6FC7"/>
    <w:rsid w:val="001A76C5"/>
    <w:rsid w:val="001B037B"/>
    <w:rsid w:val="001B11C1"/>
    <w:rsid w:val="001B14B1"/>
    <w:rsid w:val="001B2B11"/>
    <w:rsid w:val="001B4751"/>
    <w:rsid w:val="001B4B19"/>
    <w:rsid w:val="001C010B"/>
    <w:rsid w:val="001C12CE"/>
    <w:rsid w:val="001D01B2"/>
    <w:rsid w:val="001D1C48"/>
    <w:rsid w:val="001D3588"/>
    <w:rsid w:val="001D671B"/>
    <w:rsid w:val="001E3977"/>
    <w:rsid w:val="001E43D8"/>
    <w:rsid w:val="001E57D3"/>
    <w:rsid w:val="001E5EC4"/>
    <w:rsid w:val="001E7131"/>
    <w:rsid w:val="001E7801"/>
    <w:rsid w:val="001F0407"/>
    <w:rsid w:val="001F0528"/>
    <w:rsid w:val="001F0F2A"/>
    <w:rsid w:val="001F16A2"/>
    <w:rsid w:val="001F5688"/>
    <w:rsid w:val="001F5C00"/>
    <w:rsid w:val="00201A7A"/>
    <w:rsid w:val="00202B9D"/>
    <w:rsid w:val="002037F2"/>
    <w:rsid w:val="00205273"/>
    <w:rsid w:val="00205789"/>
    <w:rsid w:val="00206AD2"/>
    <w:rsid w:val="00212620"/>
    <w:rsid w:val="002134EC"/>
    <w:rsid w:val="002160C6"/>
    <w:rsid w:val="0021781B"/>
    <w:rsid w:val="00220130"/>
    <w:rsid w:val="00220906"/>
    <w:rsid w:val="00224056"/>
    <w:rsid w:val="00224183"/>
    <w:rsid w:val="002241F7"/>
    <w:rsid w:val="002242A2"/>
    <w:rsid w:val="0022569D"/>
    <w:rsid w:val="00226073"/>
    <w:rsid w:val="00226C94"/>
    <w:rsid w:val="0022794A"/>
    <w:rsid w:val="00230345"/>
    <w:rsid w:val="00232042"/>
    <w:rsid w:val="0023222D"/>
    <w:rsid w:val="00233298"/>
    <w:rsid w:val="00235B7F"/>
    <w:rsid w:val="00237DB4"/>
    <w:rsid w:val="00244BD2"/>
    <w:rsid w:val="0025008A"/>
    <w:rsid w:val="002508EC"/>
    <w:rsid w:val="00251759"/>
    <w:rsid w:val="0025262B"/>
    <w:rsid w:val="0025530A"/>
    <w:rsid w:val="00255650"/>
    <w:rsid w:val="00255CE7"/>
    <w:rsid w:val="002571DB"/>
    <w:rsid w:val="00260323"/>
    <w:rsid w:val="00261CF9"/>
    <w:rsid w:val="00262A11"/>
    <w:rsid w:val="0026316A"/>
    <w:rsid w:val="00271095"/>
    <w:rsid w:val="002729F5"/>
    <w:rsid w:val="00281A1A"/>
    <w:rsid w:val="00282736"/>
    <w:rsid w:val="0028302B"/>
    <w:rsid w:val="0028681F"/>
    <w:rsid w:val="0029029B"/>
    <w:rsid w:val="002913C8"/>
    <w:rsid w:val="00291D1F"/>
    <w:rsid w:val="00294285"/>
    <w:rsid w:val="002A1DCB"/>
    <w:rsid w:val="002A365A"/>
    <w:rsid w:val="002A3F1C"/>
    <w:rsid w:val="002A440F"/>
    <w:rsid w:val="002A658A"/>
    <w:rsid w:val="002A7006"/>
    <w:rsid w:val="002A72D3"/>
    <w:rsid w:val="002A7C8D"/>
    <w:rsid w:val="002B1243"/>
    <w:rsid w:val="002B172F"/>
    <w:rsid w:val="002B4A5E"/>
    <w:rsid w:val="002B6A78"/>
    <w:rsid w:val="002C1194"/>
    <w:rsid w:val="002C13D3"/>
    <w:rsid w:val="002C3788"/>
    <w:rsid w:val="002C39E4"/>
    <w:rsid w:val="002C533D"/>
    <w:rsid w:val="002C6533"/>
    <w:rsid w:val="002C756F"/>
    <w:rsid w:val="002D0930"/>
    <w:rsid w:val="002D0B03"/>
    <w:rsid w:val="002D4093"/>
    <w:rsid w:val="002D41EF"/>
    <w:rsid w:val="002D6EA1"/>
    <w:rsid w:val="002D7CC6"/>
    <w:rsid w:val="002E0D5A"/>
    <w:rsid w:val="002E1BFA"/>
    <w:rsid w:val="002E4704"/>
    <w:rsid w:val="002E4D8B"/>
    <w:rsid w:val="002E4E2B"/>
    <w:rsid w:val="002E7960"/>
    <w:rsid w:val="002F0A07"/>
    <w:rsid w:val="002F0D3C"/>
    <w:rsid w:val="002F1811"/>
    <w:rsid w:val="002F34A8"/>
    <w:rsid w:val="002F47D3"/>
    <w:rsid w:val="002F6B59"/>
    <w:rsid w:val="002F71C7"/>
    <w:rsid w:val="002F735C"/>
    <w:rsid w:val="002F7C49"/>
    <w:rsid w:val="0030260C"/>
    <w:rsid w:val="00303D6B"/>
    <w:rsid w:val="00305769"/>
    <w:rsid w:val="00310B88"/>
    <w:rsid w:val="00312836"/>
    <w:rsid w:val="003157C6"/>
    <w:rsid w:val="00316A6C"/>
    <w:rsid w:val="00317FDC"/>
    <w:rsid w:val="00320AD2"/>
    <w:rsid w:val="00320DB1"/>
    <w:rsid w:val="00323319"/>
    <w:rsid w:val="0032407E"/>
    <w:rsid w:val="0032478C"/>
    <w:rsid w:val="00327798"/>
    <w:rsid w:val="00332383"/>
    <w:rsid w:val="003330A1"/>
    <w:rsid w:val="00335598"/>
    <w:rsid w:val="00336739"/>
    <w:rsid w:val="003375E9"/>
    <w:rsid w:val="00340285"/>
    <w:rsid w:val="003404F2"/>
    <w:rsid w:val="0034196D"/>
    <w:rsid w:val="00342CC6"/>
    <w:rsid w:val="00345FE1"/>
    <w:rsid w:val="00347D30"/>
    <w:rsid w:val="00347E0D"/>
    <w:rsid w:val="003505CC"/>
    <w:rsid w:val="00350724"/>
    <w:rsid w:val="00350A4C"/>
    <w:rsid w:val="0035351F"/>
    <w:rsid w:val="003541DC"/>
    <w:rsid w:val="003545E9"/>
    <w:rsid w:val="003575D5"/>
    <w:rsid w:val="00360A73"/>
    <w:rsid w:val="0036251C"/>
    <w:rsid w:val="00362D6E"/>
    <w:rsid w:val="00363483"/>
    <w:rsid w:val="003650E4"/>
    <w:rsid w:val="00367790"/>
    <w:rsid w:val="00374DD4"/>
    <w:rsid w:val="00374DFB"/>
    <w:rsid w:val="00375B9B"/>
    <w:rsid w:val="00386E07"/>
    <w:rsid w:val="003870F8"/>
    <w:rsid w:val="00387352"/>
    <w:rsid w:val="00387D62"/>
    <w:rsid w:val="0039128B"/>
    <w:rsid w:val="003949CB"/>
    <w:rsid w:val="003A08D6"/>
    <w:rsid w:val="003A0AB1"/>
    <w:rsid w:val="003A0B78"/>
    <w:rsid w:val="003A13DA"/>
    <w:rsid w:val="003A2017"/>
    <w:rsid w:val="003A20EE"/>
    <w:rsid w:val="003B3E63"/>
    <w:rsid w:val="003B4B26"/>
    <w:rsid w:val="003B4CF4"/>
    <w:rsid w:val="003B5841"/>
    <w:rsid w:val="003B6999"/>
    <w:rsid w:val="003C011C"/>
    <w:rsid w:val="003C11E0"/>
    <w:rsid w:val="003C568E"/>
    <w:rsid w:val="003C7403"/>
    <w:rsid w:val="003D6B06"/>
    <w:rsid w:val="003D6D34"/>
    <w:rsid w:val="003E4CA8"/>
    <w:rsid w:val="003E5705"/>
    <w:rsid w:val="003E7DA5"/>
    <w:rsid w:val="003F0052"/>
    <w:rsid w:val="003F026C"/>
    <w:rsid w:val="003F1B51"/>
    <w:rsid w:val="003F1D77"/>
    <w:rsid w:val="003F349A"/>
    <w:rsid w:val="003F3B96"/>
    <w:rsid w:val="003F710B"/>
    <w:rsid w:val="003F7453"/>
    <w:rsid w:val="00402666"/>
    <w:rsid w:val="00402AD5"/>
    <w:rsid w:val="00403FE2"/>
    <w:rsid w:val="00406ACD"/>
    <w:rsid w:val="00406D8F"/>
    <w:rsid w:val="00412A68"/>
    <w:rsid w:val="00413CE9"/>
    <w:rsid w:val="00414940"/>
    <w:rsid w:val="00416139"/>
    <w:rsid w:val="004161DD"/>
    <w:rsid w:val="00421A88"/>
    <w:rsid w:val="004226DB"/>
    <w:rsid w:val="00422A53"/>
    <w:rsid w:val="00422F90"/>
    <w:rsid w:val="00423CD3"/>
    <w:rsid w:val="004256AA"/>
    <w:rsid w:val="00425ABB"/>
    <w:rsid w:val="00426A6B"/>
    <w:rsid w:val="00427E0D"/>
    <w:rsid w:val="00430A33"/>
    <w:rsid w:val="00431B90"/>
    <w:rsid w:val="004327DD"/>
    <w:rsid w:val="00433023"/>
    <w:rsid w:val="00433D86"/>
    <w:rsid w:val="00433EE9"/>
    <w:rsid w:val="00435995"/>
    <w:rsid w:val="00436C64"/>
    <w:rsid w:val="004371E3"/>
    <w:rsid w:val="00437616"/>
    <w:rsid w:val="00442E48"/>
    <w:rsid w:val="00444F53"/>
    <w:rsid w:val="004450E8"/>
    <w:rsid w:val="00457968"/>
    <w:rsid w:val="00460067"/>
    <w:rsid w:val="0046074B"/>
    <w:rsid w:val="0046125A"/>
    <w:rsid w:val="004618BA"/>
    <w:rsid w:val="00461F1D"/>
    <w:rsid w:val="00464285"/>
    <w:rsid w:val="00464855"/>
    <w:rsid w:val="0046525A"/>
    <w:rsid w:val="004655A4"/>
    <w:rsid w:val="004661FF"/>
    <w:rsid w:val="004672A8"/>
    <w:rsid w:val="004678AB"/>
    <w:rsid w:val="0047075B"/>
    <w:rsid w:val="00470796"/>
    <w:rsid w:val="004717A0"/>
    <w:rsid w:val="004719A6"/>
    <w:rsid w:val="004746D7"/>
    <w:rsid w:val="004747D3"/>
    <w:rsid w:val="004757E1"/>
    <w:rsid w:val="0047653F"/>
    <w:rsid w:val="004825F5"/>
    <w:rsid w:val="00482B49"/>
    <w:rsid w:val="00483BEA"/>
    <w:rsid w:val="004852F4"/>
    <w:rsid w:val="00485912"/>
    <w:rsid w:val="00486D02"/>
    <w:rsid w:val="0049013C"/>
    <w:rsid w:val="004909FE"/>
    <w:rsid w:val="00490F91"/>
    <w:rsid w:val="004919EE"/>
    <w:rsid w:val="00491AE6"/>
    <w:rsid w:val="00493C2E"/>
    <w:rsid w:val="004A2F06"/>
    <w:rsid w:val="004A2FE5"/>
    <w:rsid w:val="004A394F"/>
    <w:rsid w:val="004A3DDA"/>
    <w:rsid w:val="004A562C"/>
    <w:rsid w:val="004B171E"/>
    <w:rsid w:val="004B1CB4"/>
    <w:rsid w:val="004B2259"/>
    <w:rsid w:val="004B2F70"/>
    <w:rsid w:val="004B30CA"/>
    <w:rsid w:val="004B388C"/>
    <w:rsid w:val="004C0D86"/>
    <w:rsid w:val="004C1838"/>
    <w:rsid w:val="004C20FF"/>
    <w:rsid w:val="004C2547"/>
    <w:rsid w:val="004C2AE3"/>
    <w:rsid w:val="004C49D4"/>
    <w:rsid w:val="004C4BA5"/>
    <w:rsid w:val="004C57F1"/>
    <w:rsid w:val="004C5C28"/>
    <w:rsid w:val="004C683E"/>
    <w:rsid w:val="004D0049"/>
    <w:rsid w:val="004D2E15"/>
    <w:rsid w:val="004D58A5"/>
    <w:rsid w:val="004D5A2B"/>
    <w:rsid w:val="004D5F55"/>
    <w:rsid w:val="004E21CE"/>
    <w:rsid w:val="004E2DB6"/>
    <w:rsid w:val="004E5F55"/>
    <w:rsid w:val="004F0323"/>
    <w:rsid w:val="004F0BE8"/>
    <w:rsid w:val="004F2FD7"/>
    <w:rsid w:val="004F4050"/>
    <w:rsid w:val="004F53D2"/>
    <w:rsid w:val="005005C1"/>
    <w:rsid w:val="005016A4"/>
    <w:rsid w:val="00502277"/>
    <w:rsid w:val="00502899"/>
    <w:rsid w:val="00506A61"/>
    <w:rsid w:val="0051172E"/>
    <w:rsid w:val="0051310C"/>
    <w:rsid w:val="00520005"/>
    <w:rsid w:val="0052082E"/>
    <w:rsid w:val="0052265E"/>
    <w:rsid w:val="00523A2E"/>
    <w:rsid w:val="0052402E"/>
    <w:rsid w:val="00524047"/>
    <w:rsid w:val="00525069"/>
    <w:rsid w:val="00527D9F"/>
    <w:rsid w:val="005310AB"/>
    <w:rsid w:val="00531FD9"/>
    <w:rsid w:val="0053414F"/>
    <w:rsid w:val="00534536"/>
    <w:rsid w:val="0053563E"/>
    <w:rsid w:val="00535DE4"/>
    <w:rsid w:val="00535F18"/>
    <w:rsid w:val="00537C02"/>
    <w:rsid w:val="005418CD"/>
    <w:rsid w:val="005430F0"/>
    <w:rsid w:val="00544EEE"/>
    <w:rsid w:val="0054512D"/>
    <w:rsid w:val="00545BD6"/>
    <w:rsid w:val="00545C09"/>
    <w:rsid w:val="005469A7"/>
    <w:rsid w:val="005472B1"/>
    <w:rsid w:val="00550241"/>
    <w:rsid w:val="00550D5A"/>
    <w:rsid w:val="00554765"/>
    <w:rsid w:val="005549A7"/>
    <w:rsid w:val="00554D10"/>
    <w:rsid w:val="0056133A"/>
    <w:rsid w:val="00561D71"/>
    <w:rsid w:val="0056269B"/>
    <w:rsid w:val="0056427E"/>
    <w:rsid w:val="00567007"/>
    <w:rsid w:val="00567770"/>
    <w:rsid w:val="0057092C"/>
    <w:rsid w:val="00570CCB"/>
    <w:rsid w:val="00572152"/>
    <w:rsid w:val="00572CFE"/>
    <w:rsid w:val="005734BF"/>
    <w:rsid w:val="0057450B"/>
    <w:rsid w:val="005758F9"/>
    <w:rsid w:val="00577507"/>
    <w:rsid w:val="005779DE"/>
    <w:rsid w:val="00581375"/>
    <w:rsid w:val="005820C6"/>
    <w:rsid w:val="00582602"/>
    <w:rsid w:val="00583985"/>
    <w:rsid w:val="0058547E"/>
    <w:rsid w:val="0058574C"/>
    <w:rsid w:val="00586150"/>
    <w:rsid w:val="0058617B"/>
    <w:rsid w:val="0058624D"/>
    <w:rsid w:val="005906B8"/>
    <w:rsid w:val="00591FCC"/>
    <w:rsid w:val="00592010"/>
    <w:rsid w:val="00592AE9"/>
    <w:rsid w:val="00592C34"/>
    <w:rsid w:val="005974F4"/>
    <w:rsid w:val="005A0ACC"/>
    <w:rsid w:val="005A4208"/>
    <w:rsid w:val="005A5091"/>
    <w:rsid w:val="005B1CCA"/>
    <w:rsid w:val="005B2CB2"/>
    <w:rsid w:val="005B44CB"/>
    <w:rsid w:val="005B5111"/>
    <w:rsid w:val="005B5118"/>
    <w:rsid w:val="005B5878"/>
    <w:rsid w:val="005B5DFE"/>
    <w:rsid w:val="005B62D4"/>
    <w:rsid w:val="005C3EBD"/>
    <w:rsid w:val="005C45F8"/>
    <w:rsid w:val="005C480E"/>
    <w:rsid w:val="005C4BFE"/>
    <w:rsid w:val="005C67B9"/>
    <w:rsid w:val="005D06F6"/>
    <w:rsid w:val="005D0B98"/>
    <w:rsid w:val="005D0C75"/>
    <w:rsid w:val="005D2336"/>
    <w:rsid w:val="005D3F44"/>
    <w:rsid w:val="005D4D19"/>
    <w:rsid w:val="005D52B8"/>
    <w:rsid w:val="005D57C3"/>
    <w:rsid w:val="005D61F5"/>
    <w:rsid w:val="005D6532"/>
    <w:rsid w:val="005D6577"/>
    <w:rsid w:val="005D6C8D"/>
    <w:rsid w:val="005D6CE7"/>
    <w:rsid w:val="005D77E4"/>
    <w:rsid w:val="005E2F0D"/>
    <w:rsid w:val="005E324C"/>
    <w:rsid w:val="005E5561"/>
    <w:rsid w:val="005E6B5D"/>
    <w:rsid w:val="005E7A72"/>
    <w:rsid w:val="005F4BAD"/>
    <w:rsid w:val="005F4E8D"/>
    <w:rsid w:val="005F7166"/>
    <w:rsid w:val="005F7C46"/>
    <w:rsid w:val="00600CFF"/>
    <w:rsid w:val="00600E5D"/>
    <w:rsid w:val="00602512"/>
    <w:rsid w:val="00602E93"/>
    <w:rsid w:val="0060402A"/>
    <w:rsid w:val="00604271"/>
    <w:rsid w:val="00604306"/>
    <w:rsid w:val="00604CC3"/>
    <w:rsid w:val="00605CC7"/>
    <w:rsid w:val="006076E7"/>
    <w:rsid w:val="00611986"/>
    <w:rsid w:val="00611A31"/>
    <w:rsid w:val="006121FD"/>
    <w:rsid w:val="00616204"/>
    <w:rsid w:val="00621FE8"/>
    <w:rsid w:val="00623C21"/>
    <w:rsid w:val="00625122"/>
    <w:rsid w:val="00625FC3"/>
    <w:rsid w:val="00626359"/>
    <w:rsid w:val="006313B2"/>
    <w:rsid w:val="00633E5F"/>
    <w:rsid w:val="00635147"/>
    <w:rsid w:val="006352F2"/>
    <w:rsid w:val="006353B9"/>
    <w:rsid w:val="0063792F"/>
    <w:rsid w:val="00637B5D"/>
    <w:rsid w:val="00637FFB"/>
    <w:rsid w:val="006403AC"/>
    <w:rsid w:val="00640EFA"/>
    <w:rsid w:val="00642032"/>
    <w:rsid w:val="00642386"/>
    <w:rsid w:val="00643264"/>
    <w:rsid w:val="006437F0"/>
    <w:rsid w:val="00645EFB"/>
    <w:rsid w:val="006465A8"/>
    <w:rsid w:val="00647926"/>
    <w:rsid w:val="00647FDF"/>
    <w:rsid w:val="00652481"/>
    <w:rsid w:val="0065633A"/>
    <w:rsid w:val="006570BC"/>
    <w:rsid w:val="006618D7"/>
    <w:rsid w:val="00661A18"/>
    <w:rsid w:val="00662192"/>
    <w:rsid w:val="006627F2"/>
    <w:rsid w:val="00662839"/>
    <w:rsid w:val="00663987"/>
    <w:rsid w:val="006646F3"/>
    <w:rsid w:val="00667AF9"/>
    <w:rsid w:val="00667E2D"/>
    <w:rsid w:val="00670C99"/>
    <w:rsid w:val="00670EFD"/>
    <w:rsid w:val="00670FCB"/>
    <w:rsid w:val="00671387"/>
    <w:rsid w:val="00672188"/>
    <w:rsid w:val="0067251C"/>
    <w:rsid w:val="006730CA"/>
    <w:rsid w:val="00675DF2"/>
    <w:rsid w:val="00676795"/>
    <w:rsid w:val="006775E7"/>
    <w:rsid w:val="00677FCF"/>
    <w:rsid w:val="00681742"/>
    <w:rsid w:val="00684281"/>
    <w:rsid w:val="0068747D"/>
    <w:rsid w:val="00687558"/>
    <w:rsid w:val="00690D70"/>
    <w:rsid w:val="006914B8"/>
    <w:rsid w:val="006937A0"/>
    <w:rsid w:val="00694D31"/>
    <w:rsid w:val="00695135"/>
    <w:rsid w:val="006A00FF"/>
    <w:rsid w:val="006A09EA"/>
    <w:rsid w:val="006B18EF"/>
    <w:rsid w:val="006B2976"/>
    <w:rsid w:val="006B34C1"/>
    <w:rsid w:val="006B3975"/>
    <w:rsid w:val="006B75C3"/>
    <w:rsid w:val="006B79C8"/>
    <w:rsid w:val="006C0ADF"/>
    <w:rsid w:val="006C0F37"/>
    <w:rsid w:val="006C1B8B"/>
    <w:rsid w:val="006C4427"/>
    <w:rsid w:val="006C7D56"/>
    <w:rsid w:val="006C7E5B"/>
    <w:rsid w:val="006D04FA"/>
    <w:rsid w:val="006D2024"/>
    <w:rsid w:val="006D204E"/>
    <w:rsid w:val="006D3855"/>
    <w:rsid w:val="006D6099"/>
    <w:rsid w:val="006D6436"/>
    <w:rsid w:val="006E2528"/>
    <w:rsid w:val="006E3EA6"/>
    <w:rsid w:val="006E498B"/>
    <w:rsid w:val="006E6C06"/>
    <w:rsid w:val="006F134C"/>
    <w:rsid w:val="006F225C"/>
    <w:rsid w:val="006F389B"/>
    <w:rsid w:val="0070066A"/>
    <w:rsid w:val="00700B1F"/>
    <w:rsid w:val="00700F7E"/>
    <w:rsid w:val="00703E01"/>
    <w:rsid w:val="007047F4"/>
    <w:rsid w:val="00704C31"/>
    <w:rsid w:val="00705BF3"/>
    <w:rsid w:val="00706451"/>
    <w:rsid w:val="00707BF8"/>
    <w:rsid w:val="00712028"/>
    <w:rsid w:val="00712C60"/>
    <w:rsid w:val="00714AA8"/>
    <w:rsid w:val="007171C5"/>
    <w:rsid w:val="00717CCC"/>
    <w:rsid w:val="0072128D"/>
    <w:rsid w:val="0072156B"/>
    <w:rsid w:val="00723009"/>
    <w:rsid w:val="007233F6"/>
    <w:rsid w:val="00723715"/>
    <w:rsid w:val="007264DA"/>
    <w:rsid w:val="00726785"/>
    <w:rsid w:val="00730183"/>
    <w:rsid w:val="0073047A"/>
    <w:rsid w:val="007321CE"/>
    <w:rsid w:val="00732933"/>
    <w:rsid w:val="00732A5C"/>
    <w:rsid w:val="007333DE"/>
    <w:rsid w:val="007342CD"/>
    <w:rsid w:val="00734522"/>
    <w:rsid w:val="00737B11"/>
    <w:rsid w:val="00740230"/>
    <w:rsid w:val="00740E0B"/>
    <w:rsid w:val="0074536A"/>
    <w:rsid w:val="00746653"/>
    <w:rsid w:val="00746DBC"/>
    <w:rsid w:val="00746FF9"/>
    <w:rsid w:val="00747754"/>
    <w:rsid w:val="00750C12"/>
    <w:rsid w:val="00755422"/>
    <w:rsid w:val="00762E13"/>
    <w:rsid w:val="00763B96"/>
    <w:rsid w:val="00766267"/>
    <w:rsid w:val="00766B6E"/>
    <w:rsid w:val="00770117"/>
    <w:rsid w:val="00772E80"/>
    <w:rsid w:val="00773C89"/>
    <w:rsid w:val="00776B6E"/>
    <w:rsid w:val="00776D61"/>
    <w:rsid w:val="00781D7E"/>
    <w:rsid w:val="00791552"/>
    <w:rsid w:val="0079349A"/>
    <w:rsid w:val="00794C0C"/>
    <w:rsid w:val="00795E91"/>
    <w:rsid w:val="00796BC0"/>
    <w:rsid w:val="007A4787"/>
    <w:rsid w:val="007A47EB"/>
    <w:rsid w:val="007B2F4B"/>
    <w:rsid w:val="007B40ED"/>
    <w:rsid w:val="007B44BD"/>
    <w:rsid w:val="007B52B0"/>
    <w:rsid w:val="007C243A"/>
    <w:rsid w:val="007C6EE7"/>
    <w:rsid w:val="007D1551"/>
    <w:rsid w:val="007D2A71"/>
    <w:rsid w:val="007D421B"/>
    <w:rsid w:val="007D43D4"/>
    <w:rsid w:val="007D4648"/>
    <w:rsid w:val="007D47E8"/>
    <w:rsid w:val="007D633C"/>
    <w:rsid w:val="007E0821"/>
    <w:rsid w:val="007E0F9B"/>
    <w:rsid w:val="007E1ACB"/>
    <w:rsid w:val="007E30A7"/>
    <w:rsid w:val="007E51FB"/>
    <w:rsid w:val="007E76D5"/>
    <w:rsid w:val="007F0228"/>
    <w:rsid w:val="007F14C5"/>
    <w:rsid w:val="007F3B9D"/>
    <w:rsid w:val="007F40A9"/>
    <w:rsid w:val="007F4210"/>
    <w:rsid w:val="007F48C8"/>
    <w:rsid w:val="007F51ED"/>
    <w:rsid w:val="007F721F"/>
    <w:rsid w:val="008000D0"/>
    <w:rsid w:val="00804AEF"/>
    <w:rsid w:val="00806C96"/>
    <w:rsid w:val="00810AD7"/>
    <w:rsid w:val="00810CEA"/>
    <w:rsid w:val="00811B60"/>
    <w:rsid w:val="008123CB"/>
    <w:rsid w:val="00814834"/>
    <w:rsid w:val="00815536"/>
    <w:rsid w:val="00816BE6"/>
    <w:rsid w:val="00820C28"/>
    <w:rsid w:val="00820D43"/>
    <w:rsid w:val="00822E6E"/>
    <w:rsid w:val="008236E8"/>
    <w:rsid w:val="00823FD9"/>
    <w:rsid w:val="00825BD2"/>
    <w:rsid w:val="00826F3D"/>
    <w:rsid w:val="00830B4E"/>
    <w:rsid w:val="0083242F"/>
    <w:rsid w:val="008326B0"/>
    <w:rsid w:val="00835EF6"/>
    <w:rsid w:val="00836D9C"/>
    <w:rsid w:val="00841077"/>
    <w:rsid w:val="00842FF0"/>
    <w:rsid w:val="00845055"/>
    <w:rsid w:val="00846348"/>
    <w:rsid w:val="008509E2"/>
    <w:rsid w:val="008511D7"/>
    <w:rsid w:val="00851965"/>
    <w:rsid w:val="00851D6A"/>
    <w:rsid w:val="00852382"/>
    <w:rsid w:val="008532FA"/>
    <w:rsid w:val="00854DDC"/>
    <w:rsid w:val="00855AD2"/>
    <w:rsid w:val="00855B9A"/>
    <w:rsid w:val="00855CFA"/>
    <w:rsid w:val="00857587"/>
    <w:rsid w:val="00857E9C"/>
    <w:rsid w:val="00860150"/>
    <w:rsid w:val="008601CC"/>
    <w:rsid w:val="00860524"/>
    <w:rsid w:val="00860CC7"/>
    <w:rsid w:val="008623D0"/>
    <w:rsid w:val="00870FDC"/>
    <w:rsid w:val="00871AD3"/>
    <w:rsid w:val="00876F5F"/>
    <w:rsid w:val="00880046"/>
    <w:rsid w:val="008804FA"/>
    <w:rsid w:val="00880B40"/>
    <w:rsid w:val="008811AE"/>
    <w:rsid w:val="0088307E"/>
    <w:rsid w:val="00886BAC"/>
    <w:rsid w:val="00886FD2"/>
    <w:rsid w:val="0089128B"/>
    <w:rsid w:val="008938B9"/>
    <w:rsid w:val="00893D04"/>
    <w:rsid w:val="00895323"/>
    <w:rsid w:val="008A1F72"/>
    <w:rsid w:val="008A2ACA"/>
    <w:rsid w:val="008A5042"/>
    <w:rsid w:val="008A57D3"/>
    <w:rsid w:val="008A7590"/>
    <w:rsid w:val="008A7B08"/>
    <w:rsid w:val="008B0438"/>
    <w:rsid w:val="008B1425"/>
    <w:rsid w:val="008B1AB6"/>
    <w:rsid w:val="008B1B97"/>
    <w:rsid w:val="008B33E9"/>
    <w:rsid w:val="008B3A9C"/>
    <w:rsid w:val="008B3DA5"/>
    <w:rsid w:val="008B4E0F"/>
    <w:rsid w:val="008B655F"/>
    <w:rsid w:val="008C15A3"/>
    <w:rsid w:val="008C15E2"/>
    <w:rsid w:val="008C1678"/>
    <w:rsid w:val="008C24F7"/>
    <w:rsid w:val="008C2FA3"/>
    <w:rsid w:val="008C7EA3"/>
    <w:rsid w:val="008D363F"/>
    <w:rsid w:val="008D41D5"/>
    <w:rsid w:val="008D4374"/>
    <w:rsid w:val="008D483B"/>
    <w:rsid w:val="008D573B"/>
    <w:rsid w:val="008D5D76"/>
    <w:rsid w:val="008D6A15"/>
    <w:rsid w:val="008D7F62"/>
    <w:rsid w:val="008E1EBC"/>
    <w:rsid w:val="008E20F6"/>
    <w:rsid w:val="008E4AC9"/>
    <w:rsid w:val="008E64CB"/>
    <w:rsid w:val="008E79BB"/>
    <w:rsid w:val="008F01B4"/>
    <w:rsid w:val="008F0A56"/>
    <w:rsid w:val="008F2721"/>
    <w:rsid w:val="008F3222"/>
    <w:rsid w:val="008F52F2"/>
    <w:rsid w:val="008F68DC"/>
    <w:rsid w:val="008F6AE3"/>
    <w:rsid w:val="008F7597"/>
    <w:rsid w:val="008F7D8A"/>
    <w:rsid w:val="009011EC"/>
    <w:rsid w:val="00902029"/>
    <w:rsid w:val="00902A37"/>
    <w:rsid w:val="00903C73"/>
    <w:rsid w:val="00905890"/>
    <w:rsid w:val="009058D2"/>
    <w:rsid w:val="00905AF1"/>
    <w:rsid w:val="00906739"/>
    <w:rsid w:val="009072E6"/>
    <w:rsid w:val="00910074"/>
    <w:rsid w:val="00910632"/>
    <w:rsid w:val="009106F8"/>
    <w:rsid w:val="00910DCB"/>
    <w:rsid w:val="00911780"/>
    <w:rsid w:val="00911825"/>
    <w:rsid w:val="00920B28"/>
    <w:rsid w:val="00920C8E"/>
    <w:rsid w:val="009210B6"/>
    <w:rsid w:val="00921864"/>
    <w:rsid w:val="0092426B"/>
    <w:rsid w:val="00924D70"/>
    <w:rsid w:val="00927113"/>
    <w:rsid w:val="009275E0"/>
    <w:rsid w:val="00927934"/>
    <w:rsid w:val="009300E5"/>
    <w:rsid w:val="009301FC"/>
    <w:rsid w:val="009361F8"/>
    <w:rsid w:val="00941B24"/>
    <w:rsid w:val="00943046"/>
    <w:rsid w:val="009431FD"/>
    <w:rsid w:val="00950096"/>
    <w:rsid w:val="00951FB4"/>
    <w:rsid w:val="00954192"/>
    <w:rsid w:val="00956A67"/>
    <w:rsid w:val="00956FCB"/>
    <w:rsid w:val="009576E4"/>
    <w:rsid w:val="009600A1"/>
    <w:rsid w:val="00961AEB"/>
    <w:rsid w:val="00962597"/>
    <w:rsid w:val="00964F4F"/>
    <w:rsid w:val="0096581A"/>
    <w:rsid w:val="0096585E"/>
    <w:rsid w:val="0096699D"/>
    <w:rsid w:val="009675A9"/>
    <w:rsid w:val="00971236"/>
    <w:rsid w:val="009718A8"/>
    <w:rsid w:val="00975A0B"/>
    <w:rsid w:val="00980C65"/>
    <w:rsid w:val="00981AF2"/>
    <w:rsid w:val="00986224"/>
    <w:rsid w:val="009867B5"/>
    <w:rsid w:val="00987380"/>
    <w:rsid w:val="00987BA6"/>
    <w:rsid w:val="00990896"/>
    <w:rsid w:val="0099190C"/>
    <w:rsid w:val="00992180"/>
    <w:rsid w:val="0099386D"/>
    <w:rsid w:val="009A036B"/>
    <w:rsid w:val="009A25D0"/>
    <w:rsid w:val="009A4F94"/>
    <w:rsid w:val="009A55E6"/>
    <w:rsid w:val="009A5984"/>
    <w:rsid w:val="009A5C4F"/>
    <w:rsid w:val="009A7B88"/>
    <w:rsid w:val="009B207A"/>
    <w:rsid w:val="009B20C1"/>
    <w:rsid w:val="009B2A33"/>
    <w:rsid w:val="009B34E6"/>
    <w:rsid w:val="009B3F35"/>
    <w:rsid w:val="009B54A7"/>
    <w:rsid w:val="009B5808"/>
    <w:rsid w:val="009B5D6E"/>
    <w:rsid w:val="009C3C73"/>
    <w:rsid w:val="009C4BCF"/>
    <w:rsid w:val="009C71A0"/>
    <w:rsid w:val="009D035B"/>
    <w:rsid w:val="009D0E0C"/>
    <w:rsid w:val="009D13DB"/>
    <w:rsid w:val="009D4ADA"/>
    <w:rsid w:val="009E15C7"/>
    <w:rsid w:val="009E56BB"/>
    <w:rsid w:val="009E6404"/>
    <w:rsid w:val="009E7668"/>
    <w:rsid w:val="009F0C23"/>
    <w:rsid w:val="009F43A7"/>
    <w:rsid w:val="009F5B6B"/>
    <w:rsid w:val="009F618E"/>
    <w:rsid w:val="009F7346"/>
    <w:rsid w:val="009F7752"/>
    <w:rsid w:val="009F7B53"/>
    <w:rsid w:val="009F7BD5"/>
    <w:rsid w:val="00A00538"/>
    <w:rsid w:val="00A04B60"/>
    <w:rsid w:val="00A05CB5"/>
    <w:rsid w:val="00A063FA"/>
    <w:rsid w:val="00A06831"/>
    <w:rsid w:val="00A07849"/>
    <w:rsid w:val="00A117BA"/>
    <w:rsid w:val="00A12003"/>
    <w:rsid w:val="00A127D0"/>
    <w:rsid w:val="00A12950"/>
    <w:rsid w:val="00A13925"/>
    <w:rsid w:val="00A14096"/>
    <w:rsid w:val="00A20D0E"/>
    <w:rsid w:val="00A220A0"/>
    <w:rsid w:val="00A25498"/>
    <w:rsid w:val="00A312BB"/>
    <w:rsid w:val="00A31DB1"/>
    <w:rsid w:val="00A33571"/>
    <w:rsid w:val="00A3404B"/>
    <w:rsid w:val="00A34DBA"/>
    <w:rsid w:val="00A3658D"/>
    <w:rsid w:val="00A36B40"/>
    <w:rsid w:val="00A37456"/>
    <w:rsid w:val="00A41E2C"/>
    <w:rsid w:val="00A434D3"/>
    <w:rsid w:val="00A45B93"/>
    <w:rsid w:val="00A4652C"/>
    <w:rsid w:val="00A4786A"/>
    <w:rsid w:val="00A51058"/>
    <w:rsid w:val="00A52449"/>
    <w:rsid w:val="00A5591F"/>
    <w:rsid w:val="00A55A41"/>
    <w:rsid w:val="00A66629"/>
    <w:rsid w:val="00A66B15"/>
    <w:rsid w:val="00A67EA5"/>
    <w:rsid w:val="00A701DB"/>
    <w:rsid w:val="00A7042B"/>
    <w:rsid w:val="00A705D0"/>
    <w:rsid w:val="00A70B94"/>
    <w:rsid w:val="00A71477"/>
    <w:rsid w:val="00A73168"/>
    <w:rsid w:val="00A7404E"/>
    <w:rsid w:val="00A757F0"/>
    <w:rsid w:val="00A76297"/>
    <w:rsid w:val="00A76694"/>
    <w:rsid w:val="00A809AF"/>
    <w:rsid w:val="00A851ED"/>
    <w:rsid w:val="00A87D5F"/>
    <w:rsid w:val="00A916CD"/>
    <w:rsid w:val="00A94C69"/>
    <w:rsid w:val="00A95104"/>
    <w:rsid w:val="00A95698"/>
    <w:rsid w:val="00A956CC"/>
    <w:rsid w:val="00A958FB"/>
    <w:rsid w:val="00A96BAE"/>
    <w:rsid w:val="00AA0782"/>
    <w:rsid w:val="00AA7B95"/>
    <w:rsid w:val="00AB1D51"/>
    <w:rsid w:val="00AB27D2"/>
    <w:rsid w:val="00AB52D0"/>
    <w:rsid w:val="00AB7113"/>
    <w:rsid w:val="00AB78C7"/>
    <w:rsid w:val="00AB7F75"/>
    <w:rsid w:val="00AC16D8"/>
    <w:rsid w:val="00AC21BD"/>
    <w:rsid w:val="00AC587D"/>
    <w:rsid w:val="00AC5D43"/>
    <w:rsid w:val="00AC6E83"/>
    <w:rsid w:val="00AD15D8"/>
    <w:rsid w:val="00AD15DA"/>
    <w:rsid w:val="00AD1E95"/>
    <w:rsid w:val="00AD1F22"/>
    <w:rsid w:val="00AD2D26"/>
    <w:rsid w:val="00AD357D"/>
    <w:rsid w:val="00AD73D1"/>
    <w:rsid w:val="00AE186B"/>
    <w:rsid w:val="00AE2574"/>
    <w:rsid w:val="00AE387F"/>
    <w:rsid w:val="00AE4BD3"/>
    <w:rsid w:val="00AE62C5"/>
    <w:rsid w:val="00AE6B4E"/>
    <w:rsid w:val="00AE7FAC"/>
    <w:rsid w:val="00AF258E"/>
    <w:rsid w:val="00AF2A84"/>
    <w:rsid w:val="00AF2F16"/>
    <w:rsid w:val="00AF305D"/>
    <w:rsid w:val="00AF4694"/>
    <w:rsid w:val="00AF4B13"/>
    <w:rsid w:val="00AF5225"/>
    <w:rsid w:val="00B0044D"/>
    <w:rsid w:val="00B00C9B"/>
    <w:rsid w:val="00B0121D"/>
    <w:rsid w:val="00B0254A"/>
    <w:rsid w:val="00B06578"/>
    <w:rsid w:val="00B06722"/>
    <w:rsid w:val="00B06B95"/>
    <w:rsid w:val="00B10425"/>
    <w:rsid w:val="00B130AF"/>
    <w:rsid w:val="00B15F38"/>
    <w:rsid w:val="00B1756C"/>
    <w:rsid w:val="00B1782C"/>
    <w:rsid w:val="00B179D7"/>
    <w:rsid w:val="00B17A86"/>
    <w:rsid w:val="00B20298"/>
    <w:rsid w:val="00B20749"/>
    <w:rsid w:val="00B246BE"/>
    <w:rsid w:val="00B2541F"/>
    <w:rsid w:val="00B2724C"/>
    <w:rsid w:val="00B27B26"/>
    <w:rsid w:val="00B308FD"/>
    <w:rsid w:val="00B33AE8"/>
    <w:rsid w:val="00B36209"/>
    <w:rsid w:val="00B3696F"/>
    <w:rsid w:val="00B424E5"/>
    <w:rsid w:val="00B42E9B"/>
    <w:rsid w:val="00B443D8"/>
    <w:rsid w:val="00B45B44"/>
    <w:rsid w:val="00B5106F"/>
    <w:rsid w:val="00B510CB"/>
    <w:rsid w:val="00B52224"/>
    <w:rsid w:val="00B537FA"/>
    <w:rsid w:val="00B53B0F"/>
    <w:rsid w:val="00B543D7"/>
    <w:rsid w:val="00B5653E"/>
    <w:rsid w:val="00B56F51"/>
    <w:rsid w:val="00B57FAD"/>
    <w:rsid w:val="00B605E1"/>
    <w:rsid w:val="00B61C96"/>
    <w:rsid w:val="00B62E81"/>
    <w:rsid w:val="00B63C58"/>
    <w:rsid w:val="00B63D3B"/>
    <w:rsid w:val="00B70B2C"/>
    <w:rsid w:val="00B72178"/>
    <w:rsid w:val="00B728BD"/>
    <w:rsid w:val="00B72E65"/>
    <w:rsid w:val="00B73030"/>
    <w:rsid w:val="00B74E3F"/>
    <w:rsid w:val="00B75E55"/>
    <w:rsid w:val="00B81A9B"/>
    <w:rsid w:val="00B83198"/>
    <w:rsid w:val="00B83B99"/>
    <w:rsid w:val="00B83DC8"/>
    <w:rsid w:val="00B86892"/>
    <w:rsid w:val="00B90F89"/>
    <w:rsid w:val="00B916A1"/>
    <w:rsid w:val="00B92B34"/>
    <w:rsid w:val="00B94E81"/>
    <w:rsid w:val="00B95A03"/>
    <w:rsid w:val="00B95BC3"/>
    <w:rsid w:val="00B95D85"/>
    <w:rsid w:val="00B95E2F"/>
    <w:rsid w:val="00B967C7"/>
    <w:rsid w:val="00B96F07"/>
    <w:rsid w:val="00B97E47"/>
    <w:rsid w:val="00BA1C1A"/>
    <w:rsid w:val="00BA2969"/>
    <w:rsid w:val="00BA3897"/>
    <w:rsid w:val="00BA4D2C"/>
    <w:rsid w:val="00BA4EEA"/>
    <w:rsid w:val="00BB040D"/>
    <w:rsid w:val="00BB0B4E"/>
    <w:rsid w:val="00BB459E"/>
    <w:rsid w:val="00BB513B"/>
    <w:rsid w:val="00BB5816"/>
    <w:rsid w:val="00BB62FD"/>
    <w:rsid w:val="00BB7F56"/>
    <w:rsid w:val="00BC0776"/>
    <w:rsid w:val="00BC414A"/>
    <w:rsid w:val="00BC4BFF"/>
    <w:rsid w:val="00BC5D6F"/>
    <w:rsid w:val="00BC6428"/>
    <w:rsid w:val="00BC6EF6"/>
    <w:rsid w:val="00BC7488"/>
    <w:rsid w:val="00BD005E"/>
    <w:rsid w:val="00BD2242"/>
    <w:rsid w:val="00BD28A7"/>
    <w:rsid w:val="00BD2A3D"/>
    <w:rsid w:val="00BD2A50"/>
    <w:rsid w:val="00BD5F7C"/>
    <w:rsid w:val="00BD6919"/>
    <w:rsid w:val="00BD7493"/>
    <w:rsid w:val="00BD795D"/>
    <w:rsid w:val="00BE1DE9"/>
    <w:rsid w:val="00BE2623"/>
    <w:rsid w:val="00BE5DDF"/>
    <w:rsid w:val="00BE62EE"/>
    <w:rsid w:val="00BE6537"/>
    <w:rsid w:val="00BE723A"/>
    <w:rsid w:val="00BF05BD"/>
    <w:rsid w:val="00BF4634"/>
    <w:rsid w:val="00BF59D4"/>
    <w:rsid w:val="00BF6DE4"/>
    <w:rsid w:val="00BF77A6"/>
    <w:rsid w:val="00C015AE"/>
    <w:rsid w:val="00C021D6"/>
    <w:rsid w:val="00C02263"/>
    <w:rsid w:val="00C02AA9"/>
    <w:rsid w:val="00C03BEE"/>
    <w:rsid w:val="00C07453"/>
    <w:rsid w:val="00C0761A"/>
    <w:rsid w:val="00C11B17"/>
    <w:rsid w:val="00C14965"/>
    <w:rsid w:val="00C14A62"/>
    <w:rsid w:val="00C1529C"/>
    <w:rsid w:val="00C154F6"/>
    <w:rsid w:val="00C16394"/>
    <w:rsid w:val="00C170FB"/>
    <w:rsid w:val="00C23A76"/>
    <w:rsid w:val="00C26186"/>
    <w:rsid w:val="00C26276"/>
    <w:rsid w:val="00C30A27"/>
    <w:rsid w:val="00C33531"/>
    <w:rsid w:val="00C33E2A"/>
    <w:rsid w:val="00C34217"/>
    <w:rsid w:val="00C34844"/>
    <w:rsid w:val="00C36BFF"/>
    <w:rsid w:val="00C41FEC"/>
    <w:rsid w:val="00C42388"/>
    <w:rsid w:val="00C44FA9"/>
    <w:rsid w:val="00C4666C"/>
    <w:rsid w:val="00C476BB"/>
    <w:rsid w:val="00C50D3D"/>
    <w:rsid w:val="00C53292"/>
    <w:rsid w:val="00C57F1A"/>
    <w:rsid w:val="00C601A8"/>
    <w:rsid w:val="00C617CF"/>
    <w:rsid w:val="00C623B9"/>
    <w:rsid w:val="00C625C2"/>
    <w:rsid w:val="00C6390B"/>
    <w:rsid w:val="00C6501B"/>
    <w:rsid w:val="00C65879"/>
    <w:rsid w:val="00C66DA7"/>
    <w:rsid w:val="00C72B67"/>
    <w:rsid w:val="00C73CA7"/>
    <w:rsid w:val="00C76F93"/>
    <w:rsid w:val="00C77204"/>
    <w:rsid w:val="00C77948"/>
    <w:rsid w:val="00C81B34"/>
    <w:rsid w:val="00C81EE0"/>
    <w:rsid w:val="00C822CB"/>
    <w:rsid w:val="00C83010"/>
    <w:rsid w:val="00C84EEC"/>
    <w:rsid w:val="00C85F69"/>
    <w:rsid w:val="00C86296"/>
    <w:rsid w:val="00C87A21"/>
    <w:rsid w:val="00C91526"/>
    <w:rsid w:val="00C9245E"/>
    <w:rsid w:val="00C93E79"/>
    <w:rsid w:val="00C95DAE"/>
    <w:rsid w:val="00C96D5F"/>
    <w:rsid w:val="00CA22EB"/>
    <w:rsid w:val="00CA24A2"/>
    <w:rsid w:val="00CA2C79"/>
    <w:rsid w:val="00CA2F73"/>
    <w:rsid w:val="00CA4522"/>
    <w:rsid w:val="00CA4955"/>
    <w:rsid w:val="00CA6123"/>
    <w:rsid w:val="00CA6322"/>
    <w:rsid w:val="00CA6E2E"/>
    <w:rsid w:val="00CA73F9"/>
    <w:rsid w:val="00CB07DA"/>
    <w:rsid w:val="00CB0F19"/>
    <w:rsid w:val="00CB1C42"/>
    <w:rsid w:val="00CB3004"/>
    <w:rsid w:val="00CB5349"/>
    <w:rsid w:val="00CB5445"/>
    <w:rsid w:val="00CB58DE"/>
    <w:rsid w:val="00CC2301"/>
    <w:rsid w:val="00CC40A4"/>
    <w:rsid w:val="00CC49DC"/>
    <w:rsid w:val="00CD0B32"/>
    <w:rsid w:val="00CD209F"/>
    <w:rsid w:val="00CD51FA"/>
    <w:rsid w:val="00CD5258"/>
    <w:rsid w:val="00CD773E"/>
    <w:rsid w:val="00CE03FD"/>
    <w:rsid w:val="00CE2936"/>
    <w:rsid w:val="00CE322F"/>
    <w:rsid w:val="00CE4C44"/>
    <w:rsid w:val="00CE53AD"/>
    <w:rsid w:val="00CE6B30"/>
    <w:rsid w:val="00CE6C9C"/>
    <w:rsid w:val="00CE76D0"/>
    <w:rsid w:val="00CF46C9"/>
    <w:rsid w:val="00CF4767"/>
    <w:rsid w:val="00CF4AED"/>
    <w:rsid w:val="00CF4BB2"/>
    <w:rsid w:val="00D00A45"/>
    <w:rsid w:val="00D05C1A"/>
    <w:rsid w:val="00D07521"/>
    <w:rsid w:val="00D1308C"/>
    <w:rsid w:val="00D1426E"/>
    <w:rsid w:val="00D17886"/>
    <w:rsid w:val="00D17ABE"/>
    <w:rsid w:val="00D222B2"/>
    <w:rsid w:val="00D2318A"/>
    <w:rsid w:val="00D23403"/>
    <w:rsid w:val="00D24ABA"/>
    <w:rsid w:val="00D25B00"/>
    <w:rsid w:val="00D2637B"/>
    <w:rsid w:val="00D26F55"/>
    <w:rsid w:val="00D32539"/>
    <w:rsid w:val="00D334F0"/>
    <w:rsid w:val="00D33A0D"/>
    <w:rsid w:val="00D33F83"/>
    <w:rsid w:val="00D355B6"/>
    <w:rsid w:val="00D4003B"/>
    <w:rsid w:val="00D422A4"/>
    <w:rsid w:val="00D4300A"/>
    <w:rsid w:val="00D46822"/>
    <w:rsid w:val="00D5093B"/>
    <w:rsid w:val="00D51C4C"/>
    <w:rsid w:val="00D51FC1"/>
    <w:rsid w:val="00D52DFD"/>
    <w:rsid w:val="00D533D3"/>
    <w:rsid w:val="00D56AEE"/>
    <w:rsid w:val="00D56DF3"/>
    <w:rsid w:val="00D6105E"/>
    <w:rsid w:val="00D6118C"/>
    <w:rsid w:val="00D6295B"/>
    <w:rsid w:val="00D62ED6"/>
    <w:rsid w:val="00D63137"/>
    <w:rsid w:val="00D639E9"/>
    <w:rsid w:val="00D658D7"/>
    <w:rsid w:val="00D67FFC"/>
    <w:rsid w:val="00D71937"/>
    <w:rsid w:val="00D72A35"/>
    <w:rsid w:val="00D72F3D"/>
    <w:rsid w:val="00D734A5"/>
    <w:rsid w:val="00D74EF2"/>
    <w:rsid w:val="00D75C2D"/>
    <w:rsid w:val="00D83DEE"/>
    <w:rsid w:val="00D85A12"/>
    <w:rsid w:val="00D85F13"/>
    <w:rsid w:val="00D86297"/>
    <w:rsid w:val="00D86ED0"/>
    <w:rsid w:val="00D910C9"/>
    <w:rsid w:val="00D9175C"/>
    <w:rsid w:val="00D927AD"/>
    <w:rsid w:val="00D92D54"/>
    <w:rsid w:val="00D96749"/>
    <w:rsid w:val="00D978F6"/>
    <w:rsid w:val="00DA109A"/>
    <w:rsid w:val="00DA1D71"/>
    <w:rsid w:val="00DA3A89"/>
    <w:rsid w:val="00DA42E9"/>
    <w:rsid w:val="00DA5F32"/>
    <w:rsid w:val="00DA689C"/>
    <w:rsid w:val="00DB49C4"/>
    <w:rsid w:val="00DB4FBF"/>
    <w:rsid w:val="00DB5031"/>
    <w:rsid w:val="00DB7982"/>
    <w:rsid w:val="00DC30CF"/>
    <w:rsid w:val="00DC4596"/>
    <w:rsid w:val="00DC5E41"/>
    <w:rsid w:val="00DC64B4"/>
    <w:rsid w:val="00DC69FE"/>
    <w:rsid w:val="00DD0BDE"/>
    <w:rsid w:val="00DD2C8C"/>
    <w:rsid w:val="00DD3C9D"/>
    <w:rsid w:val="00DD4791"/>
    <w:rsid w:val="00DD5022"/>
    <w:rsid w:val="00DD6C96"/>
    <w:rsid w:val="00DD6F9E"/>
    <w:rsid w:val="00DE3635"/>
    <w:rsid w:val="00DE475F"/>
    <w:rsid w:val="00DE5E5C"/>
    <w:rsid w:val="00DE67B1"/>
    <w:rsid w:val="00DE7DDE"/>
    <w:rsid w:val="00DF0689"/>
    <w:rsid w:val="00DF234C"/>
    <w:rsid w:val="00DF5CD4"/>
    <w:rsid w:val="00E01950"/>
    <w:rsid w:val="00E0328C"/>
    <w:rsid w:val="00E04111"/>
    <w:rsid w:val="00E04A47"/>
    <w:rsid w:val="00E074C6"/>
    <w:rsid w:val="00E0764A"/>
    <w:rsid w:val="00E076EA"/>
    <w:rsid w:val="00E07733"/>
    <w:rsid w:val="00E15865"/>
    <w:rsid w:val="00E15A4D"/>
    <w:rsid w:val="00E22FC8"/>
    <w:rsid w:val="00E24034"/>
    <w:rsid w:val="00E26368"/>
    <w:rsid w:val="00E27268"/>
    <w:rsid w:val="00E30070"/>
    <w:rsid w:val="00E30AA6"/>
    <w:rsid w:val="00E31FF7"/>
    <w:rsid w:val="00E32497"/>
    <w:rsid w:val="00E32A1E"/>
    <w:rsid w:val="00E358B0"/>
    <w:rsid w:val="00E35CFB"/>
    <w:rsid w:val="00E371D5"/>
    <w:rsid w:val="00E41381"/>
    <w:rsid w:val="00E447C1"/>
    <w:rsid w:val="00E512B2"/>
    <w:rsid w:val="00E52382"/>
    <w:rsid w:val="00E53CC3"/>
    <w:rsid w:val="00E55CA7"/>
    <w:rsid w:val="00E627F9"/>
    <w:rsid w:val="00E649A9"/>
    <w:rsid w:val="00E6578D"/>
    <w:rsid w:val="00E65B37"/>
    <w:rsid w:val="00E65E0F"/>
    <w:rsid w:val="00E67D13"/>
    <w:rsid w:val="00E710A9"/>
    <w:rsid w:val="00E71F6F"/>
    <w:rsid w:val="00E72F30"/>
    <w:rsid w:val="00E73036"/>
    <w:rsid w:val="00E744DD"/>
    <w:rsid w:val="00E74986"/>
    <w:rsid w:val="00E7564D"/>
    <w:rsid w:val="00E759CA"/>
    <w:rsid w:val="00E7650A"/>
    <w:rsid w:val="00E76904"/>
    <w:rsid w:val="00E77360"/>
    <w:rsid w:val="00E814A8"/>
    <w:rsid w:val="00E822F4"/>
    <w:rsid w:val="00E8415D"/>
    <w:rsid w:val="00E8518E"/>
    <w:rsid w:val="00E87263"/>
    <w:rsid w:val="00E91407"/>
    <w:rsid w:val="00E91F32"/>
    <w:rsid w:val="00E9256D"/>
    <w:rsid w:val="00E95CB6"/>
    <w:rsid w:val="00E95E33"/>
    <w:rsid w:val="00E97481"/>
    <w:rsid w:val="00EA414B"/>
    <w:rsid w:val="00EA5C45"/>
    <w:rsid w:val="00EA6139"/>
    <w:rsid w:val="00EB08FD"/>
    <w:rsid w:val="00EB1236"/>
    <w:rsid w:val="00EB40EF"/>
    <w:rsid w:val="00EB42A1"/>
    <w:rsid w:val="00EB4B8C"/>
    <w:rsid w:val="00EB5B72"/>
    <w:rsid w:val="00EB5F07"/>
    <w:rsid w:val="00EB5FB3"/>
    <w:rsid w:val="00EB7194"/>
    <w:rsid w:val="00EC0900"/>
    <w:rsid w:val="00EC246C"/>
    <w:rsid w:val="00EC29C3"/>
    <w:rsid w:val="00EC2B60"/>
    <w:rsid w:val="00EC4B6C"/>
    <w:rsid w:val="00ED1974"/>
    <w:rsid w:val="00ED48F4"/>
    <w:rsid w:val="00ED54E8"/>
    <w:rsid w:val="00ED5EBC"/>
    <w:rsid w:val="00ED7004"/>
    <w:rsid w:val="00EE2711"/>
    <w:rsid w:val="00EE2D61"/>
    <w:rsid w:val="00EE7FE1"/>
    <w:rsid w:val="00EF1036"/>
    <w:rsid w:val="00EF4D56"/>
    <w:rsid w:val="00EF4F30"/>
    <w:rsid w:val="00F04969"/>
    <w:rsid w:val="00F05261"/>
    <w:rsid w:val="00F0595B"/>
    <w:rsid w:val="00F0784A"/>
    <w:rsid w:val="00F07B29"/>
    <w:rsid w:val="00F10E9B"/>
    <w:rsid w:val="00F11D45"/>
    <w:rsid w:val="00F1563E"/>
    <w:rsid w:val="00F15BB5"/>
    <w:rsid w:val="00F22264"/>
    <w:rsid w:val="00F23ED8"/>
    <w:rsid w:val="00F24499"/>
    <w:rsid w:val="00F252D5"/>
    <w:rsid w:val="00F2553E"/>
    <w:rsid w:val="00F2736A"/>
    <w:rsid w:val="00F27CFF"/>
    <w:rsid w:val="00F27EBE"/>
    <w:rsid w:val="00F30024"/>
    <w:rsid w:val="00F3318F"/>
    <w:rsid w:val="00F34BB1"/>
    <w:rsid w:val="00F40322"/>
    <w:rsid w:val="00F40E65"/>
    <w:rsid w:val="00F45D1F"/>
    <w:rsid w:val="00F4660F"/>
    <w:rsid w:val="00F46CDA"/>
    <w:rsid w:val="00F472F7"/>
    <w:rsid w:val="00F47C33"/>
    <w:rsid w:val="00F47E74"/>
    <w:rsid w:val="00F54BDF"/>
    <w:rsid w:val="00F55241"/>
    <w:rsid w:val="00F57B0B"/>
    <w:rsid w:val="00F60201"/>
    <w:rsid w:val="00F60261"/>
    <w:rsid w:val="00F61800"/>
    <w:rsid w:val="00F624F2"/>
    <w:rsid w:val="00F64B67"/>
    <w:rsid w:val="00F6584B"/>
    <w:rsid w:val="00F65BC7"/>
    <w:rsid w:val="00F677B6"/>
    <w:rsid w:val="00F71198"/>
    <w:rsid w:val="00F715BF"/>
    <w:rsid w:val="00F7240F"/>
    <w:rsid w:val="00F74C83"/>
    <w:rsid w:val="00F80947"/>
    <w:rsid w:val="00F8208C"/>
    <w:rsid w:val="00F86013"/>
    <w:rsid w:val="00F869ED"/>
    <w:rsid w:val="00F91FFD"/>
    <w:rsid w:val="00F92508"/>
    <w:rsid w:val="00F936BB"/>
    <w:rsid w:val="00F95343"/>
    <w:rsid w:val="00F953B1"/>
    <w:rsid w:val="00F95B31"/>
    <w:rsid w:val="00F96AC1"/>
    <w:rsid w:val="00F97097"/>
    <w:rsid w:val="00FA1DC5"/>
    <w:rsid w:val="00FA2539"/>
    <w:rsid w:val="00FA7EEC"/>
    <w:rsid w:val="00FA7EFE"/>
    <w:rsid w:val="00FB088E"/>
    <w:rsid w:val="00FB4D0E"/>
    <w:rsid w:val="00FC0C76"/>
    <w:rsid w:val="00FC2BC8"/>
    <w:rsid w:val="00FC5374"/>
    <w:rsid w:val="00FC675E"/>
    <w:rsid w:val="00FC6A62"/>
    <w:rsid w:val="00FD016E"/>
    <w:rsid w:val="00FD6ED3"/>
    <w:rsid w:val="00FD79CE"/>
    <w:rsid w:val="00FE2887"/>
    <w:rsid w:val="00FE2CE1"/>
    <w:rsid w:val="00FE379D"/>
    <w:rsid w:val="00FE7C9C"/>
    <w:rsid w:val="00FF0003"/>
    <w:rsid w:val="00FF287F"/>
    <w:rsid w:val="00FF2B4A"/>
    <w:rsid w:val="00FF34AD"/>
    <w:rsid w:val="00FF3BE9"/>
    <w:rsid w:val="00FF616A"/>
    <w:rsid w:val="00FF62B5"/>
    <w:rsid w:val="00FF6B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8DE0F66"/>
  <w15:chartTrackingRefBased/>
  <w15:docId w15:val="{D4F9E7A9-5D55-4CEE-BC3D-98808DB4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3706F"/>
    <w:pPr>
      <w:spacing w:after="0"/>
      <w:jc w:val="both"/>
    </w:pPr>
    <w:rPr>
      <w:rFonts w:ascii="Times New Roman" w:hAnsi="Times New Roman"/>
      <w:sz w:val="24"/>
    </w:rPr>
  </w:style>
  <w:style w:type="paragraph" w:styleId="Nadpis1">
    <w:name w:val="heading 1"/>
    <w:basedOn w:val="Normln"/>
    <w:next w:val="Normln"/>
    <w:link w:val="Nadpis1Char"/>
    <w:qFormat/>
    <w:rsid w:val="00AF2F16"/>
    <w:pPr>
      <w:keepNext/>
      <w:numPr>
        <w:numId w:val="2"/>
      </w:numPr>
      <w:overflowPunct w:val="0"/>
      <w:autoSpaceDE w:val="0"/>
      <w:autoSpaceDN w:val="0"/>
      <w:adjustRightInd w:val="0"/>
      <w:spacing w:after="240" w:line="240" w:lineRule="auto"/>
      <w:outlineLvl w:val="0"/>
    </w:pPr>
    <w:rPr>
      <w:rFonts w:eastAsia="Times New Roman" w:cs="Times New Roman"/>
      <w:b/>
      <w:caps/>
      <w:sz w:val="28"/>
      <w:szCs w:val="20"/>
      <w:lang w:eastAsia="cs-CZ"/>
    </w:rPr>
  </w:style>
  <w:style w:type="paragraph" w:styleId="Nadpis2">
    <w:name w:val="heading 2"/>
    <w:basedOn w:val="Normln"/>
    <w:next w:val="Normln"/>
    <w:link w:val="Nadpis2Char"/>
    <w:qFormat/>
    <w:rsid w:val="00AF2F16"/>
    <w:pPr>
      <w:keepNext/>
      <w:numPr>
        <w:ilvl w:val="1"/>
        <w:numId w:val="2"/>
      </w:numPr>
      <w:spacing w:before="240" w:after="240" w:line="240" w:lineRule="auto"/>
      <w:outlineLvl w:val="1"/>
    </w:pPr>
    <w:rPr>
      <w:rFonts w:eastAsia="Times New Roman" w:cs="Arial"/>
      <w:b/>
      <w:bCs/>
      <w:iCs/>
      <w:sz w:val="26"/>
      <w:szCs w:val="28"/>
      <w:lang w:eastAsia="cs-CZ"/>
    </w:rPr>
  </w:style>
  <w:style w:type="paragraph" w:styleId="Nadpis3">
    <w:name w:val="heading 3"/>
    <w:basedOn w:val="Normln"/>
    <w:next w:val="Normln"/>
    <w:link w:val="Nadpis3Char"/>
    <w:qFormat/>
    <w:rsid w:val="007B2F4B"/>
    <w:pPr>
      <w:keepNext/>
      <w:numPr>
        <w:ilvl w:val="2"/>
        <w:numId w:val="2"/>
      </w:numPr>
      <w:spacing w:before="240" w:after="120" w:line="240" w:lineRule="auto"/>
      <w:outlineLvl w:val="2"/>
    </w:pPr>
    <w:rPr>
      <w:rFonts w:eastAsia="Times New Roman" w:cs="Arial"/>
      <w:b/>
      <w:bCs/>
      <w:szCs w:val="26"/>
      <w:lang w:eastAsia="cs-CZ"/>
    </w:rPr>
  </w:style>
  <w:style w:type="paragraph" w:styleId="Nadpis4">
    <w:name w:val="heading 4"/>
    <w:basedOn w:val="Normln"/>
    <w:next w:val="Normln"/>
    <w:link w:val="Nadpis4Char"/>
    <w:qFormat/>
    <w:rsid w:val="004D58A5"/>
    <w:pPr>
      <w:keepNext/>
      <w:spacing w:before="240" w:after="60" w:line="240" w:lineRule="auto"/>
      <w:outlineLvl w:val="3"/>
    </w:pPr>
    <w:rPr>
      <w:rFonts w:eastAsia="Times New Roman" w:cs="Times New Roman"/>
      <w:b/>
      <w:bCs/>
      <w:szCs w:val="28"/>
      <w:u w:val="single"/>
      <w:lang w:eastAsia="cs-CZ"/>
    </w:rPr>
  </w:style>
  <w:style w:type="paragraph" w:styleId="Nadpis5">
    <w:name w:val="heading 5"/>
    <w:basedOn w:val="Normln"/>
    <w:next w:val="Normln"/>
    <w:link w:val="Nadpis5Char"/>
    <w:qFormat/>
    <w:rsid w:val="00F3318F"/>
    <w:pPr>
      <w:numPr>
        <w:ilvl w:val="4"/>
        <w:numId w:val="2"/>
      </w:numPr>
      <w:spacing w:before="240" w:after="60" w:line="240" w:lineRule="auto"/>
      <w:outlineLvl w:val="4"/>
    </w:pPr>
    <w:rPr>
      <w:rFonts w:eastAsia="Times New Roman" w:cs="Times New Roman"/>
      <w:b/>
      <w:bCs/>
      <w:i/>
      <w:iCs/>
      <w:sz w:val="26"/>
      <w:szCs w:val="26"/>
      <w:lang w:eastAsia="cs-CZ"/>
    </w:rPr>
  </w:style>
  <w:style w:type="paragraph" w:styleId="Nadpis6">
    <w:name w:val="heading 6"/>
    <w:basedOn w:val="Normln"/>
    <w:next w:val="Normln"/>
    <w:link w:val="Nadpis6Char"/>
    <w:qFormat/>
    <w:rsid w:val="00F3318F"/>
    <w:pPr>
      <w:numPr>
        <w:ilvl w:val="5"/>
        <w:numId w:val="2"/>
      </w:numPr>
      <w:spacing w:before="240" w:after="60" w:line="240" w:lineRule="auto"/>
      <w:outlineLvl w:val="5"/>
    </w:pPr>
    <w:rPr>
      <w:rFonts w:eastAsia="Times New Roman" w:cs="Times New Roman"/>
      <w:b/>
      <w:bCs/>
      <w:lang w:eastAsia="cs-CZ"/>
    </w:rPr>
  </w:style>
  <w:style w:type="paragraph" w:styleId="Nadpis7">
    <w:name w:val="heading 7"/>
    <w:basedOn w:val="Normln"/>
    <w:next w:val="Normln"/>
    <w:link w:val="Nadpis7Char"/>
    <w:qFormat/>
    <w:rsid w:val="000D634C"/>
    <w:pPr>
      <w:keepNext/>
      <w:spacing w:before="240" w:after="120"/>
      <w:ind w:firstLine="284"/>
      <w:outlineLvl w:val="6"/>
    </w:pPr>
    <w:rPr>
      <w:rFonts w:eastAsia="Times New Roman" w:cs="Times New Roman"/>
      <w:b/>
      <w:szCs w:val="24"/>
      <w:lang w:eastAsia="cs-CZ"/>
    </w:rPr>
  </w:style>
  <w:style w:type="paragraph" w:styleId="Nadpis8">
    <w:name w:val="heading 8"/>
    <w:basedOn w:val="obyctext"/>
    <w:next w:val="Normln"/>
    <w:link w:val="Nadpis8Char"/>
    <w:qFormat/>
    <w:rsid w:val="00CF4AED"/>
    <w:pPr>
      <w:keepNext/>
      <w:tabs>
        <w:tab w:val="left" w:pos="426"/>
      </w:tabs>
      <w:spacing w:before="240" w:after="120"/>
      <w:ind w:firstLine="0"/>
      <w:outlineLvl w:val="7"/>
    </w:pPr>
    <w:rPr>
      <w:u w:val="single"/>
    </w:rPr>
  </w:style>
  <w:style w:type="paragraph" w:styleId="Nadpis9">
    <w:name w:val="heading 9"/>
    <w:basedOn w:val="Normln"/>
    <w:next w:val="Normln"/>
    <w:link w:val="Nadpis9Char"/>
    <w:qFormat/>
    <w:rsid w:val="00CF4AED"/>
    <w:pPr>
      <w:keepNext/>
      <w:spacing w:before="240" w:after="120"/>
      <w:outlineLvl w:val="8"/>
    </w:pPr>
    <w:rPr>
      <w:rFonts w:cs="Times New Roman"/>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8A7590"/>
    <w:pPr>
      <w:tabs>
        <w:tab w:val="left" w:pos="180"/>
        <w:tab w:val="right" w:leader="dot" w:pos="9060"/>
      </w:tabs>
      <w:spacing w:line="240" w:lineRule="auto"/>
      <w:jc w:val="center"/>
    </w:pPr>
    <w:rPr>
      <w:rFonts w:eastAsia="Times New Roman" w:cs="Times New Roman"/>
      <w:b/>
      <w:noProof/>
      <w:szCs w:val="24"/>
      <w:lang w:eastAsia="cs-CZ"/>
    </w:rPr>
  </w:style>
  <w:style w:type="character" w:customStyle="1" w:styleId="Nadpis1Char">
    <w:name w:val="Nadpis 1 Char"/>
    <w:basedOn w:val="Standardnpsmoodstavce"/>
    <w:link w:val="Nadpis1"/>
    <w:rsid w:val="00AF2F16"/>
    <w:rPr>
      <w:rFonts w:ascii="Times New Roman" w:eastAsia="Times New Roman" w:hAnsi="Times New Roman" w:cs="Times New Roman"/>
      <w:b/>
      <w:caps/>
      <w:sz w:val="28"/>
      <w:szCs w:val="20"/>
      <w:lang w:eastAsia="cs-CZ"/>
    </w:rPr>
  </w:style>
  <w:style w:type="character" w:customStyle="1" w:styleId="Nadpis2Char">
    <w:name w:val="Nadpis 2 Char"/>
    <w:basedOn w:val="Standardnpsmoodstavce"/>
    <w:link w:val="Nadpis2"/>
    <w:rsid w:val="00AF2F16"/>
    <w:rPr>
      <w:rFonts w:ascii="Times New Roman" w:eastAsia="Times New Roman" w:hAnsi="Times New Roman" w:cs="Arial"/>
      <w:b/>
      <w:bCs/>
      <w:iCs/>
      <w:sz w:val="26"/>
      <w:szCs w:val="28"/>
      <w:lang w:eastAsia="cs-CZ"/>
    </w:rPr>
  </w:style>
  <w:style w:type="character" w:customStyle="1" w:styleId="Nadpis3Char">
    <w:name w:val="Nadpis 3 Char"/>
    <w:basedOn w:val="Standardnpsmoodstavce"/>
    <w:link w:val="Nadpis3"/>
    <w:rsid w:val="007B2F4B"/>
    <w:rPr>
      <w:rFonts w:ascii="Times New Roman" w:eastAsia="Times New Roman" w:hAnsi="Times New Roman" w:cs="Arial"/>
      <w:b/>
      <w:bCs/>
      <w:sz w:val="24"/>
      <w:szCs w:val="26"/>
      <w:lang w:eastAsia="cs-CZ"/>
    </w:rPr>
  </w:style>
  <w:style w:type="character" w:customStyle="1" w:styleId="Nadpis4Char">
    <w:name w:val="Nadpis 4 Char"/>
    <w:basedOn w:val="Standardnpsmoodstavce"/>
    <w:link w:val="Nadpis4"/>
    <w:rsid w:val="004D58A5"/>
    <w:rPr>
      <w:rFonts w:ascii="Times New Roman" w:eastAsia="Times New Roman" w:hAnsi="Times New Roman" w:cs="Times New Roman"/>
      <w:b/>
      <w:bCs/>
      <w:sz w:val="24"/>
      <w:szCs w:val="28"/>
      <w:u w:val="single"/>
      <w:lang w:eastAsia="cs-CZ"/>
    </w:rPr>
  </w:style>
  <w:style w:type="character" w:customStyle="1" w:styleId="Nadpis5Char">
    <w:name w:val="Nadpis 5 Char"/>
    <w:basedOn w:val="Standardnpsmoodstavce"/>
    <w:link w:val="Nadpis5"/>
    <w:rsid w:val="00F3318F"/>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rsid w:val="00F3318F"/>
    <w:rPr>
      <w:rFonts w:ascii="Times New Roman" w:eastAsia="Times New Roman" w:hAnsi="Times New Roman" w:cs="Times New Roman"/>
      <w:b/>
      <w:bCs/>
      <w:sz w:val="24"/>
      <w:lang w:eastAsia="cs-CZ"/>
    </w:rPr>
  </w:style>
  <w:style w:type="character" w:customStyle="1" w:styleId="Nadpis7Char">
    <w:name w:val="Nadpis 7 Char"/>
    <w:basedOn w:val="Standardnpsmoodstavce"/>
    <w:link w:val="Nadpis7"/>
    <w:rsid w:val="000D634C"/>
    <w:rPr>
      <w:rFonts w:ascii="Times New Roman" w:eastAsia="Times New Roman" w:hAnsi="Times New Roman" w:cs="Times New Roman"/>
      <w:b/>
      <w:sz w:val="24"/>
      <w:szCs w:val="24"/>
      <w:lang w:eastAsia="cs-CZ"/>
    </w:rPr>
  </w:style>
  <w:style w:type="character" w:customStyle="1" w:styleId="Nadpis8Char">
    <w:name w:val="Nadpis 8 Char"/>
    <w:basedOn w:val="Standardnpsmoodstavce"/>
    <w:link w:val="Nadpis8"/>
    <w:rsid w:val="00CF4AED"/>
    <w:rPr>
      <w:rFonts w:ascii="Times New Roman" w:eastAsia="Times New Roman" w:hAnsi="Times New Roman" w:cs="Times New Roman"/>
      <w:sz w:val="24"/>
      <w:szCs w:val="24"/>
      <w:u w:val="single"/>
      <w:lang w:eastAsia="cs-CZ"/>
    </w:rPr>
  </w:style>
  <w:style w:type="character" w:customStyle="1" w:styleId="Nadpis9Char">
    <w:name w:val="Nadpis 9 Char"/>
    <w:basedOn w:val="Standardnpsmoodstavce"/>
    <w:link w:val="Nadpis9"/>
    <w:rsid w:val="00CF4AED"/>
    <w:rPr>
      <w:rFonts w:ascii="Times New Roman" w:hAnsi="Times New Roman" w:cs="Times New Roman"/>
      <w:b/>
      <w:sz w:val="24"/>
      <w:szCs w:val="24"/>
      <w:u w:val="single"/>
    </w:rPr>
  </w:style>
  <w:style w:type="paragraph" w:styleId="Titulek">
    <w:name w:val="caption"/>
    <w:basedOn w:val="Normln"/>
    <w:next w:val="Normln"/>
    <w:qFormat/>
    <w:rsid w:val="00A4652C"/>
    <w:pPr>
      <w:keepNext/>
      <w:spacing w:before="120" w:after="120" w:line="240" w:lineRule="auto"/>
    </w:pPr>
    <w:rPr>
      <w:rFonts w:eastAsia="Times New Roman" w:cs="Times New Roman"/>
      <w:b/>
      <w:bCs/>
      <w:sz w:val="20"/>
      <w:szCs w:val="20"/>
      <w:lang w:eastAsia="cs-CZ"/>
    </w:rPr>
  </w:style>
  <w:style w:type="paragraph" w:customStyle="1" w:styleId="KOModrky">
    <w:name w:val="KOModrážky"/>
    <w:basedOn w:val="Normln"/>
    <w:rsid w:val="00F3318F"/>
    <w:pPr>
      <w:numPr>
        <w:numId w:val="3"/>
      </w:numPr>
      <w:spacing w:line="240" w:lineRule="auto"/>
    </w:pPr>
    <w:rPr>
      <w:rFonts w:eastAsia="Times New Roman" w:cs="Times New Roman"/>
      <w:szCs w:val="24"/>
      <w:lang w:eastAsia="cs-CZ"/>
    </w:rPr>
  </w:style>
  <w:style w:type="paragraph" w:customStyle="1" w:styleId="obyctext">
    <w:name w:val="obyctext"/>
    <w:basedOn w:val="Normln"/>
    <w:link w:val="obyctextChar"/>
    <w:rsid w:val="00F3318F"/>
    <w:pPr>
      <w:spacing w:before="120" w:after="80" w:line="240" w:lineRule="auto"/>
      <w:ind w:firstLine="539"/>
    </w:pPr>
    <w:rPr>
      <w:rFonts w:eastAsia="Times New Roman" w:cs="Times New Roman"/>
      <w:szCs w:val="24"/>
      <w:lang w:eastAsia="cs-CZ"/>
    </w:rPr>
  </w:style>
  <w:style w:type="character" w:customStyle="1" w:styleId="obyctextChar">
    <w:name w:val="obyctext Char"/>
    <w:link w:val="obyctext"/>
    <w:rsid w:val="00F3318F"/>
    <w:rPr>
      <w:rFonts w:ascii="Times New Roman" w:eastAsia="Times New Roman" w:hAnsi="Times New Roman" w:cs="Times New Roman"/>
      <w:sz w:val="24"/>
      <w:szCs w:val="24"/>
      <w:lang w:eastAsia="cs-CZ"/>
    </w:rPr>
  </w:style>
  <w:style w:type="paragraph" w:styleId="Zkladntext">
    <w:name w:val="Body Text"/>
    <w:basedOn w:val="Normln"/>
    <w:link w:val="ZkladntextChar"/>
    <w:rsid w:val="004371E3"/>
    <w:pPr>
      <w:spacing w:line="240" w:lineRule="auto"/>
    </w:pPr>
    <w:rPr>
      <w:rFonts w:eastAsia="Times New Roman" w:cs="Times New Roman"/>
      <w:bCs/>
      <w:iCs/>
      <w:szCs w:val="24"/>
      <w:lang w:eastAsia="cs-CZ"/>
    </w:rPr>
  </w:style>
  <w:style w:type="character" w:customStyle="1" w:styleId="ZkladntextChar">
    <w:name w:val="Základní text Char"/>
    <w:basedOn w:val="Standardnpsmoodstavce"/>
    <w:link w:val="Zkladntext"/>
    <w:rsid w:val="004371E3"/>
    <w:rPr>
      <w:rFonts w:ascii="Times New Roman" w:eastAsia="Times New Roman" w:hAnsi="Times New Roman" w:cs="Times New Roman"/>
      <w:bCs/>
      <w:iCs/>
      <w:sz w:val="24"/>
      <w:szCs w:val="24"/>
      <w:lang w:eastAsia="cs-CZ"/>
    </w:rPr>
  </w:style>
  <w:style w:type="paragraph" w:customStyle="1" w:styleId="xl54">
    <w:name w:val="xl54"/>
    <w:basedOn w:val="Normln"/>
    <w:rsid w:val="004371E3"/>
    <w:pPr>
      <w:pBdr>
        <w:left w:val="single" w:sz="4" w:space="0" w:color="auto"/>
        <w:right w:val="single" w:sz="8" w:space="0" w:color="auto"/>
      </w:pBdr>
      <w:spacing w:before="100" w:beforeAutospacing="1" w:after="100" w:afterAutospacing="1" w:line="240" w:lineRule="auto"/>
      <w:jc w:val="right"/>
    </w:pPr>
    <w:rPr>
      <w:rFonts w:eastAsia="Times New Roman" w:cs="Times New Roman"/>
      <w:szCs w:val="24"/>
      <w:lang w:eastAsia="cs-CZ"/>
    </w:rPr>
  </w:style>
  <w:style w:type="paragraph" w:customStyle="1" w:styleId="Nvod">
    <w:name w:val="Návod"/>
    <w:basedOn w:val="Normln"/>
    <w:rsid w:val="004371E3"/>
    <w:pPr>
      <w:overflowPunct w:val="0"/>
      <w:autoSpaceDE w:val="0"/>
      <w:autoSpaceDN w:val="0"/>
      <w:adjustRightInd w:val="0"/>
      <w:spacing w:line="240" w:lineRule="auto"/>
      <w:ind w:left="340" w:hanging="340"/>
    </w:pPr>
    <w:rPr>
      <w:rFonts w:eastAsia="Times New Roman" w:cs="Times New Roman"/>
      <w:szCs w:val="20"/>
      <w:lang w:eastAsia="cs-CZ"/>
    </w:rPr>
  </w:style>
  <w:style w:type="paragraph" w:customStyle="1" w:styleId="MDSR">
    <w:name w:val="MDS ČR"/>
    <w:basedOn w:val="Normln"/>
    <w:link w:val="MDSRChar"/>
    <w:rsid w:val="00F624F2"/>
    <w:pPr>
      <w:suppressAutoHyphens/>
      <w:overflowPunct w:val="0"/>
      <w:autoSpaceDE w:val="0"/>
      <w:autoSpaceDN w:val="0"/>
      <w:adjustRightInd w:val="0"/>
      <w:spacing w:before="120" w:line="240" w:lineRule="auto"/>
      <w:ind w:firstLine="567"/>
      <w:textAlignment w:val="baseline"/>
    </w:pPr>
    <w:rPr>
      <w:rFonts w:eastAsia="Times New Roman" w:cs="Times New Roman"/>
      <w:szCs w:val="20"/>
      <w:lang w:eastAsia="cs-CZ"/>
    </w:rPr>
  </w:style>
  <w:style w:type="paragraph" w:customStyle="1" w:styleId="Style5">
    <w:name w:val="Style5"/>
    <w:basedOn w:val="Normln"/>
    <w:rsid w:val="00F624F2"/>
    <w:pPr>
      <w:widowControl w:val="0"/>
      <w:autoSpaceDE w:val="0"/>
      <w:autoSpaceDN w:val="0"/>
      <w:adjustRightInd w:val="0"/>
      <w:spacing w:line="276" w:lineRule="exact"/>
    </w:pPr>
    <w:rPr>
      <w:rFonts w:eastAsia="MS Mincho" w:cs="Times New Roman"/>
      <w:szCs w:val="24"/>
      <w:lang w:eastAsia="ja-JP"/>
    </w:rPr>
  </w:style>
  <w:style w:type="character" w:customStyle="1" w:styleId="FontStyle26">
    <w:name w:val="Font Style26"/>
    <w:rsid w:val="00F624F2"/>
    <w:rPr>
      <w:rFonts w:ascii="Times New Roman" w:hAnsi="Times New Roman" w:cs="Times New Roman" w:hint="default"/>
      <w:b/>
      <w:bCs/>
      <w:sz w:val="22"/>
      <w:szCs w:val="22"/>
    </w:rPr>
  </w:style>
  <w:style w:type="paragraph" w:styleId="Textbubliny">
    <w:name w:val="Balloon Text"/>
    <w:basedOn w:val="Normln"/>
    <w:link w:val="TextbublinyChar"/>
    <w:semiHidden/>
    <w:unhideWhenUsed/>
    <w:rsid w:val="00BD28A7"/>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BD28A7"/>
    <w:rPr>
      <w:rFonts w:ascii="Segoe UI" w:hAnsi="Segoe UI" w:cs="Segoe UI"/>
      <w:sz w:val="18"/>
      <w:szCs w:val="18"/>
    </w:rPr>
  </w:style>
  <w:style w:type="paragraph" w:styleId="Zkladntextodsazen">
    <w:name w:val="Body Text Indent"/>
    <w:basedOn w:val="Normln"/>
    <w:link w:val="ZkladntextodsazenChar"/>
    <w:unhideWhenUsed/>
    <w:rsid w:val="00BD28A7"/>
    <w:pPr>
      <w:spacing w:after="120"/>
      <w:ind w:left="283"/>
    </w:pPr>
  </w:style>
  <w:style w:type="character" w:customStyle="1" w:styleId="ZkladntextodsazenChar">
    <w:name w:val="Základní text odsazený Char"/>
    <w:basedOn w:val="Standardnpsmoodstavce"/>
    <w:link w:val="Zkladntextodsazen"/>
    <w:rsid w:val="00BD28A7"/>
  </w:style>
  <w:style w:type="paragraph" w:styleId="Zkladntextodsazen2">
    <w:name w:val="Body Text Indent 2"/>
    <w:basedOn w:val="Normln"/>
    <w:link w:val="Zkladntextodsazen2Char"/>
    <w:rsid w:val="00BD28A7"/>
    <w:pPr>
      <w:spacing w:after="120" w:line="480" w:lineRule="auto"/>
      <w:ind w:left="283"/>
    </w:pPr>
    <w:rPr>
      <w:rFonts w:eastAsia="Times New Roman" w:cs="Times New Roman"/>
      <w:szCs w:val="24"/>
      <w:lang w:eastAsia="cs-CZ"/>
    </w:rPr>
  </w:style>
  <w:style w:type="character" w:customStyle="1" w:styleId="Zkladntextodsazen2Char">
    <w:name w:val="Základní text odsazený 2 Char"/>
    <w:basedOn w:val="Standardnpsmoodstavce"/>
    <w:link w:val="Zkladntextodsazen2"/>
    <w:rsid w:val="00BD28A7"/>
    <w:rPr>
      <w:rFonts w:ascii="Times New Roman" w:eastAsia="Times New Roman" w:hAnsi="Times New Roman" w:cs="Times New Roman"/>
      <w:sz w:val="24"/>
      <w:szCs w:val="24"/>
      <w:lang w:eastAsia="cs-CZ"/>
    </w:rPr>
  </w:style>
  <w:style w:type="numbering" w:customStyle="1" w:styleId="Bezseznamu1">
    <w:name w:val="Bez seznamu1"/>
    <w:next w:val="Bezseznamu"/>
    <w:semiHidden/>
    <w:unhideWhenUsed/>
    <w:rsid w:val="00BD28A7"/>
  </w:style>
  <w:style w:type="paragraph" w:styleId="Zpat">
    <w:name w:val="footer"/>
    <w:basedOn w:val="Normln"/>
    <w:link w:val="ZpatChar"/>
    <w:rsid w:val="00BD28A7"/>
    <w:pPr>
      <w:tabs>
        <w:tab w:val="center" w:pos="4536"/>
        <w:tab w:val="right" w:pos="9072"/>
      </w:tabs>
      <w:spacing w:line="240" w:lineRule="auto"/>
    </w:pPr>
    <w:rPr>
      <w:rFonts w:eastAsia="Times New Roman" w:cs="Times New Roman"/>
      <w:szCs w:val="24"/>
      <w:lang w:eastAsia="cs-CZ"/>
    </w:rPr>
  </w:style>
  <w:style w:type="character" w:customStyle="1" w:styleId="ZpatChar">
    <w:name w:val="Zápatí Char"/>
    <w:basedOn w:val="Standardnpsmoodstavce"/>
    <w:link w:val="Zpat"/>
    <w:rsid w:val="00BD28A7"/>
    <w:rPr>
      <w:rFonts w:ascii="Times New Roman" w:eastAsia="Times New Roman" w:hAnsi="Times New Roman" w:cs="Times New Roman"/>
      <w:sz w:val="24"/>
      <w:szCs w:val="24"/>
      <w:lang w:eastAsia="cs-CZ"/>
    </w:rPr>
  </w:style>
  <w:style w:type="character" w:styleId="slostrnky">
    <w:name w:val="page number"/>
    <w:basedOn w:val="Standardnpsmoodstavce"/>
    <w:rsid w:val="00BD28A7"/>
  </w:style>
  <w:style w:type="paragraph" w:styleId="Zkladntextodsazen3">
    <w:name w:val="Body Text Indent 3"/>
    <w:basedOn w:val="Normln"/>
    <w:link w:val="Zkladntextodsazen3Char"/>
    <w:rsid w:val="00BD28A7"/>
    <w:pPr>
      <w:spacing w:after="120" w:line="240" w:lineRule="auto"/>
      <w:ind w:left="283"/>
    </w:pPr>
    <w:rPr>
      <w:rFonts w:eastAsia="Times New Roman" w:cs="Times New Roman"/>
      <w:sz w:val="16"/>
      <w:szCs w:val="16"/>
      <w:lang w:eastAsia="cs-CZ"/>
    </w:rPr>
  </w:style>
  <w:style w:type="character" w:customStyle="1" w:styleId="Zkladntextodsazen3Char">
    <w:name w:val="Základní text odsazený 3 Char"/>
    <w:basedOn w:val="Standardnpsmoodstavce"/>
    <w:link w:val="Zkladntextodsazen3"/>
    <w:rsid w:val="00BD28A7"/>
    <w:rPr>
      <w:rFonts w:ascii="Times New Roman" w:eastAsia="Times New Roman" w:hAnsi="Times New Roman" w:cs="Times New Roman"/>
      <w:sz w:val="16"/>
      <w:szCs w:val="16"/>
      <w:lang w:eastAsia="cs-CZ"/>
    </w:rPr>
  </w:style>
  <w:style w:type="paragraph" w:customStyle="1" w:styleId="xl33">
    <w:name w:val="xl33"/>
    <w:basedOn w:val="Normln"/>
    <w:rsid w:val="00BD28A7"/>
    <w:pPr>
      <w:pBdr>
        <w:left w:val="single" w:sz="8" w:space="0" w:color="auto"/>
      </w:pBdr>
      <w:spacing w:before="100" w:beforeAutospacing="1" w:after="100" w:afterAutospacing="1" w:line="240" w:lineRule="auto"/>
    </w:pPr>
    <w:rPr>
      <w:rFonts w:eastAsia="Times New Roman" w:cs="Times New Roman"/>
      <w:b/>
      <w:bCs/>
      <w:szCs w:val="24"/>
      <w:lang w:eastAsia="cs-CZ"/>
    </w:rPr>
  </w:style>
  <w:style w:type="table" w:styleId="Mkatabulky">
    <w:name w:val="Table Grid"/>
    <w:basedOn w:val="Normlntabulka"/>
    <w:uiPriority w:val="39"/>
    <w:rsid w:val="00BD28A7"/>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rsid w:val="00BD28A7"/>
    <w:pPr>
      <w:spacing w:after="120" w:line="480" w:lineRule="auto"/>
    </w:pPr>
    <w:rPr>
      <w:rFonts w:eastAsia="Times New Roman" w:cs="Times New Roman"/>
      <w:szCs w:val="24"/>
      <w:lang w:eastAsia="cs-CZ"/>
    </w:rPr>
  </w:style>
  <w:style w:type="character" w:customStyle="1" w:styleId="Zkladntext2Char">
    <w:name w:val="Základní text 2 Char"/>
    <w:basedOn w:val="Standardnpsmoodstavce"/>
    <w:link w:val="Zkladntext2"/>
    <w:rsid w:val="00BD28A7"/>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BD28A7"/>
    <w:pPr>
      <w:spacing w:after="120" w:line="240" w:lineRule="auto"/>
    </w:pPr>
    <w:rPr>
      <w:rFonts w:eastAsia="Times New Roman" w:cs="Times New Roman"/>
      <w:sz w:val="16"/>
      <w:szCs w:val="16"/>
      <w:lang w:eastAsia="cs-CZ"/>
    </w:rPr>
  </w:style>
  <w:style w:type="character" w:customStyle="1" w:styleId="Zkladntext3Char">
    <w:name w:val="Základní text 3 Char"/>
    <w:basedOn w:val="Standardnpsmoodstavce"/>
    <w:link w:val="Zkladntext3"/>
    <w:rsid w:val="00BD28A7"/>
    <w:rPr>
      <w:rFonts w:ascii="Times New Roman" w:eastAsia="Times New Roman" w:hAnsi="Times New Roman" w:cs="Times New Roman"/>
      <w:sz w:val="16"/>
      <w:szCs w:val="16"/>
      <w:lang w:eastAsia="cs-CZ"/>
    </w:rPr>
  </w:style>
  <w:style w:type="paragraph" w:customStyle="1" w:styleId="Odstavec">
    <w:name w:val="Odstavec"/>
    <w:basedOn w:val="Normln"/>
    <w:rsid w:val="00BD28A7"/>
    <w:pPr>
      <w:spacing w:before="120" w:line="240" w:lineRule="auto"/>
      <w:ind w:firstLine="709"/>
    </w:pPr>
    <w:rPr>
      <w:rFonts w:eastAsia="Times New Roman" w:cs="Times New Roman"/>
      <w:bCs/>
      <w:szCs w:val="24"/>
      <w:lang w:eastAsia="cs-CZ"/>
    </w:rPr>
  </w:style>
  <w:style w:type="paragraph" w:styleId="Normlnweb">
    <w:name w:val="Normal (Web)"/>
    <w:basedOn w:val="Normln"/>
    <w:rsid w:val="00BD28A7"/>
    <w:pPr>
      <w:spacing w:before="100" w:beforeAutospacing="1" w:after="100" w:afterAutospacing="1" w:line="240" w:lineRule="atLeast"/>
    </w:pPr>
    <w:rPr>
      <w:rFonts w:ascii="Verdana" w:eastAsia="Arial Unicode MS" w:hAnsi="Verdana" w:cs="Arial Unicode MS"/>
      <w:color w:val="1A3F76"/>
      <w:sz w:val="20"/>
      <w:szCs w:val="20"/>
      <w:lang w:eastAsia="cs-CZ"/>
    </w:rPr>
  </w:style>
  <w:style w:type="paragraph" w:styleId="Zhlav">
    <w:name w:val="header"/>
    <w:basedOn w:val="Normln"/>
    <w:link w:val="ZhlavChar"/>
    <w:uiPriority w:val="99"/>
    <w:rsid w:val="00BD28A7"/>
    <w:pPr>
      <w:tabs>
        <w:tab w:val="center" w:pos="4536"/>
        <w:tab w:val="right" w:pos="9072"/>
      </w:tabs>
      <w:spacing w:line="240" w:lineRule="auto"/>
    </w:pPr>
    <w:rPr>
      <w:rFonts w:eastAsia="Times New Roman" w:cs="Times New Roman"/>
      <w:szCs w:val="24"/>
      <w:lang w:eastAsia="cs-CZ"/>
    </w:rPr>
  </w:style>
  <w:style w:type="character" w:customStyle="1" w:styleId="ZhlavChar">
    <w:name w:val="Záhlaví Char"/>
    <w:basedOn w:val="Standardnpsmoodstavce"/>
    <w:link w:val="Zhlav"/>
    <w:uiPriority w:val="99"/>
    <w:rsid w:val="00BD28A7"/>
    <w:rPr>
      <w:rFonts w:ascii="Times New Roman" w:eastAsia="Times New Roman" w:hAnsi="Times New Roman" w:cs="Times New Roman"/>
      <w:sz w:val="24"/>
      <w:szCs w:val="24"/>
      <w:lang w:eastAsia="cs-CZ"/>
    </w:rPr>
  </w:style>
  <w:style w:type="paragraph" w:styleId="Obsah2">
    <w:name w:val="toc 2"/>
    <w:basedOn w:val="Normln"/>
    <w:next w:val="Normln"/>
    <w:autoRedefine/>
    <w:uiPriority w:val="39"/>
    <w:rsid w:val="00BD28A7"/>
    <w:pPr>
      <w:tabs>
        <w:tab w:val="left" w:pos="540"/>
        <w:tab w:val="right" w:leader="dot" w:pos="9060"/>
      </w:tabs>
      <w:spacing w:line="240" w:lineRule="auto"/>
      <w:ind w:left="900" w:hanging="840"/>
    </w:pPr>
    <w:rPr>
      <w:rFonts w:eastAsia="Times New Roman" w:cs="Arial"/>
      <w:bCs/>
      <w:noProof/>
      <w:szCs w:val="24"/>
      <w:lang w:eastAsia="cs-CZ"/>
    </w:rPr>
  </w:style>
  <w:style w:type="character" w:styleId="Hypertextovodkaz">
    <w:name w:val="Hyperlink"/>
    <w:uiPriority w:val="99"/>
    <w:rsid w:val="00BD28A7"/>
    <w:rPr>
      <w:color w:val="0000FF"/>
      <w:u w:val="single"/>
    </w:rPr>
  </w:style>
  <w:style w:type="paragraph" w:styleId="Obsah3">
    <w:name w:val="toc 3"/>
    <w:basedOn w:val="Normln"/>
    <w:next w:val="Normln"/>
    <w:autoRedefine/>
    <w:uiPriority w:val="39"/>
    <w:rsid w:val="00F2553E"/>
    <w:pPr>
      <w:tabs>
        <w:tab w:val="left" w:pos="900"/>
        <w:tab w:val="right" w:leader="dot" w:pos="9060"/>
      </w:tabs>
      <w:spacing w:line="240" w:lineRule="auto"/>
      <w:ind w:left="900" w:hanging="720"/>
      <w:jc w:val="left"/>
    </w:pPr>
    <w:rPr>
      <w:rFonts w:eastAsia="Times New Roman" w:cs="Times New Roman"/>
      <w:b/>
      <w:noProof/>
      <w:szCs w:val="24"/>
      <w:lang w:eastAsia="cs-CZ"/>
      <w14:scene3d>
        <w14:camera w14:prst="orthographicFront"/>
        <w14:lightRig w14:rig="threePt" w14:dir="t">
          <w14:rot w14:lat="0" w14:lon="0" w14:rev="0"/>
        </w14:lightRig>
      </w14:scene3d>
    </w:rPr>
  </w:style>
  <w:style w:type="character" w:styleId="Siln">
    <w:name w:val="Strong"/>
    <w:qFormat/>
    <w:rsid w:val="00BD28A7"/>
    <w:rPr>
      <w:b/>
      <w:bCs/>
    </w:rPr>
  </w:style>
  <w:style w:type="paragraph" w:styleId="Seznamobrzk">
    <w:name w:val="table of figures"/>
    <w:aliases w:val="Seznam grafů"/>
    <w:basedOn w:val="Normln"/>
    <w:next w:val="Normln"/>
    <w:uiPriority w:val="99"/>
    <w:rsid w:val="00BD28A7"/>
    <w:pPr>
      <w:spacing w:line="240" w:lineRule="auto"/>
    </w:pPr>
    <w:rPr>
      <w:rFonts w:eastAsia="Times New Roman" w:cs="Times New Roman"/>
      <w:szCs w:val="24"/>
      <w:lang w:eastAsia="cs-CZ"/>
    </w:rPr>
  </w:style>
  <w:style w:type="paragraph" w:customStyle="1" w:styleId="ostavec">
    <w:name w:val="ostavec"/>
    <w:basedOn w:val="Normln"/>
    <w:rsid w:val="00BD28A7"/>
    <w:pPr>
      <w:spacing w:before="120" w:after="120" w:line="240" w:lineRule="auto"/>
    </w:pPr>
    <w:rPr>
      <w:rFonts w:ascii="Arial" w:eastAsia="Times New Roman" w:hAnsi="Arial" w:cs="Times New Roman"/>
      <w:color w:val="000000"/>
      <w:szCs w:val="20"/>
    </w:rPr>
  </w:style>
  <w:style w:type="character" w:styleId="Sledovanodkaz">
    <w:name w:val="FollowedHyperlink"/>
    <w:rsid w:val="00BD28A7"/>
    <w:rPr>
      <w:color w:val="800080"/>
      <w:u w:val="single"/>
    </w:rPr>
  </w:style>
  <w:style w:type="character" w:customStyle="1" w:styleId="CharChar">
    <w:name w:val="Char Char"/>
    <w:rsid w:val="00BD28A7"/>
    <w:rPr>
      <w:smallCaps/>
      <w:sz w:val="32"/>
      <w:szCs w:val="24"/>
      <w:lang w:val="cs-CZ" w:eastAsia="cs-CZ" w:bidi="ar-SA"/>
    </w:rPr>
  </w:style>
  <w:style w:type="character" w:customStyle="1" w:styleId="FontStyle27">
    <w:name w:val="Font Style27"/>
    <w:rsid w:val="00BD28A7"/>
    <w:rPr>
      <w:rFonts w:ascii="Times New Roman" w:hAnsi="Times New Roman" w:cs="Times New Roman"/>
      <w:sz w:val="22"/>
      <w:szCs w:val="22"/>
    </w:rPr>
  </w:style>
  <w:style w:type="character" w:customStyle="1" w:styleId="ardata-autor">
    <w:name w:val="ardata-autor"/>
    <w:rsid w:val="00BD28A7"/>
  </w:style>
  <w:style w:type="character" w:customStyle="1" w:styleId="apple-converted-space">
    <w:name w:val="apple-converted-space"/>
    <w:rsid w:val="00BD28A7"/>
  </w:style>
  <w:style w:type="paragraph" w:customStyle="1" w:styleId="OPDnadpis4">
    <w:name w:val="OPD nadpis4"/>
    <w:basedOn w:val="Nadpis4"/>
    <w:link w:val="OPDnadpis4Char"/>
    <w:rsid w:val="00BD28A7"/>
    <w:pPr>
      <w:numPr>
        <w:numId w:val="8"/>
      </w:numPr>
      <w:spacing w:before="0" w:after="240"/>
    </w:pPr>
    <w:rPr>
      <w:bCs w:val="0"/>
      <w:szCs w:val="24"/>
      <w:lang w:eastAsia="en-US"/>
    </w:rPr>
  </w:style>
  <w:style w:type="character" w:customStyle="1" w:styleId="OPDnadpis4Char">
    <w:name w:val="OPD nadpis4 Char"/>
    <w:link w:val="OPDnadpis4"/>
    <w:locked/>
    <w:rsid w:val="00BD28A7"/>
    <w:rPr>
      <w:rFonts w:ascii="Times New Roman" w:eastAsia="Times New Roman" w:hAnsi="Times New Roman" w:cs="Times New Roman"/>
      <w:b/>
      <w:sz w:val="24"/>
      <w:szCs w:val="24"/>
    </w:rPr>
  </w:style>
  <w:style w:type="character" w:styleId="Odkaznakoment">
    <w:name w:val="annotation reference"/>
    <w:rsid w:val="00BD28A7"/>
    <w:rPr>
      <w:sz w:val="16"/>
      <w:szCs w:val="16"/>
    </w:rPr>
  </w:style>
  <w:style w:type="paragraph" w:styleId="Textkomente">
    <w:name w:val="annotation text"/>
    <w:basedOn w:val="Normln"/>
    <w:link w:val="TextkomenteChar"/>
    <w:rsid w:val="00BD28A7"/>
    <w:pPr>
      <w:spacing w:line="240" w:lineRule="auto"/>
    </w:pPr>
    <w:rPr>
      <w:rFonts w:eastAsia="Times New Roman" w:cs="Times New Roman"/>
      <w:sz w:val="20"/>
      <w:szCs w:val="20"/>
      <w:lang w:eastAsia="cs-CZ"/>
    </w:rPr>
  </w:style>
  <w:style w:type="character" w:customStyle="1" w:styleId="TextkomenteChar">
    <w:name w:val="Text komentáře Char"/>
    <w:basedOn w:val="Standardnpsmoodstavce"/>
    <w:link w:val="Textkomente"/>
    <w:rsid w:val="00BD28A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BD28A7"/>
    <w:rPr>
      <w:b/>
      <w:bCs/>
    </w:rPr>
  </w:style>
  <w:style w:type="character" w:customStyle="1" w:styleId="PedmtkomenteChar">
    <w:name w:val="Předmět komentáře Char"/>
    <w:basedOn w:val="TextkomenteChar"/>
    <w:link w:val="Pedmtkomente"/>
    <w:rsid w:val="00BD28A7"/>
    <w:rPr>
      <w:rFonts w:ascii="Times New Roman" w:eastAsia="Times New Roman" w:hAnsi="Times New Roman" w:cs="Times New Roman"/>
      <w:b/>
      <w:bCs/>
      <w:sz w:val="20"/>
      <w:szCs w:val="20"/>
      <w:lang w:eastAsia="cs-CZ"/>
    </w:rPr>
  </w:style>
  <w:style w:type="paragraph" w:styleId="Odstavecseseznamem">
    <w:name w:val="List Paragraph"/>
    <w:aliases w:val="Fiche List Paragraph,Dot pt,List Paragraph Char Char Char,Indicator Text,Numbered Para 1,List Paragraph à moi,Odsek zoznamu4,LISTA,Listaszerű bekezdés2,Listaszerű bekezdés3,Listaszerű bekezdés1,3,Odstavec se seznamem2,List Paragraph"/>
    <w:basedOn w:val="Normln"/>
    <w:link w:val="OdstavecseseznamemChar"/>
    <w:uiPriority w:val="34"/>
    <w:qFormat/>
    <w:rsid w:val="00BD28A7"/>
    <w:pPr>
      <w:spacing w:line="240" w:lineRule="auto"/>
      <w:ind w:left="708"/>
    </w:pPr>
    <w:rPr>
      <w:rFonts w:eastAsia="Times New Roman" w:cs="Times New Roman"/>
      <w:szCs w:val="24"/>
      <w:lang w:eastAsia="cs-CZ"/>
    </w:rPr>
  </w:style>
  <w:style w:type="table" w:styleId="Svtltabulkasmkou1zvraznn5">
    <w:name w:val="Grid Table 1 Light Accent 5"/>
    <w:basedOn w:val="Normlntabulka"/>
    <w:uiPriority w:val="46"/>
    <w:rsid w:val="00A809A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5E324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Tabulkasmkou2zvraznn6">
    <w:name w:val="Grid Table 2 Accent 6"/>
    <w:basedOn w:val="Normlntabulka"/>
    <w:uiPriority w:val="47"/>
    <w:rsid w:val="0052265E"/>
    <w:pPr>
      <w:spacing w:after="0"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Svtltabulkasmkou1zvraznn2">
    <w:name w:val="Grid Table 1 Light Accent 2"/>
    <w:basedOn w:val="Normlntabulka"/>
    <w:uiPriority w:val="46"/>
    <w:rsid w:val="00E22FC8"/>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Svtltabulkasmkou1">
    <w:name w:val="Grid Table 1 Light"/>
    <w:basedOn w:val="Normlntabulka"/>
    <w:uiPriority w:val="46"/>
    <w:rsid w:val="00E22F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mkatabulky">
    <w:name w:val="Grid Table Light"/>
    <w:basedOn w:val="Normlntabulka"/>
    <w:uiPriority w:val="40"/>
    <w:rsid w:val="007047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adpisobsahu">
    <w:name w:val="TOC Heading"/>
    <w:basedOn w:val="Nadpis1"/>
    <w:next w:val="Normln"/>
    <w:uiPriority w:val="39"/>
    <w:unhideWhenUsed/>
    <w:qFormat/>
    <w:rsid w:val="00CD5258"/>
    <w:pPr>
      <w:keepLines/>
      <w:numPr>
        <w:numId w:val="0"/>
      </w:numPr>
      <w:overflowPunct/>
      <w:autoSpaceDE/>
      <w:autoSpaceDN/>
      <w:adjustRightInd/>
      <w:spacing w:before="240" w:line="259" w:lineRule="auto"/>
      <w:outlineLvl w:val="9"/>
    </w:pPr>
    <w:rPr>
      <w:rFonts w:asciiTheme="majorHAnsi" w:eastAsiaTheme="majorEastAsia" w:hAnsiTheme="majorHAnsi" w:cstheme="majorBidi"/>
      <w:b w:val="0"/>
      <w:color w:val="2E74B5" w:themeColor="accent1" w:themeShade="BF"/>
      <w:sz w:val="32"/>
      <w:szCs w:val="32"/>
    </w:rPr>
  </w:style>
  <w:style w:type="table" w:styleId="Prosttabulka2">
    <w:name w:val="Plain Table 2"/>
    <w:basedOn w:val="Normlntabulka"/>
    <w:uiPriority w:val="42"/>
    <w:rsid w:val="00D4300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Znormal">
    <w:name w:val="Zúnormal"/>
    <w:basedOn w:val="Normln"/>
    <w:link w:val="ZnormalChar"/>
    <w:rsid w:val="002D41EF"/>
    <w:pPr>
      <w:spacing w:before="120" w:line="240" w:lineRule="auto"/>
      <w:ind w:firstLine="708"/>
    </w:pPr>
    <w:rPr>
      <w:rFonts w:eastAsia="Times New Roman" w:cs="Times New Roman"/>
      <w:szCs w:val="20"/>
      <w:lang w:eastAsia="cs-CZ"/>
    </w:rPr>
  </w:style>
  <w:style w:type="character" w:customStyle="1" w:styleId="ZnormalChar">
    <w:name w:val="Zúnormal Char"/>
    <w:link w:val="Znormal"/>
    <w:rsid w:val="002D41EF"/>
    <w:rPr>
      <w:rFonts w:ascii="Times New Roman" w:eastAsia="Times New Roman" w:hAnsi="Times New Roman" w:cs="Times New Roman"/>
      <w:sz w:val="24"/>
      <w:szCs w:val="20"/>
      <w:lang w:eastAsia="cs-CZ"/>
    </w:rPr>
  </w:style>
  <w:style w:type="paragraph" w:customStyle="1" w:styleId="Default">
    <w:name w:val="Default"/>
    <w:rsid w:val="00BB459E"/>
    <w:pPr>
      <w:autoSpaceDE w:val="0"/>
      <w:autoSpaceDN w:val="0"/>
      <w:adjustRightInd w:val="0"/>
      <w:spacing w:after="0" w:line="240" w:lineRule="auto"/>
    </w:pPr>
    <w:rPr>
      <w:rFonts w:ascii="Arial" w:hAnsi="Arial" w:cs="Arial"/>
      <w:color w:val="000000"/>
      <w:sz w:val="24"/>
      <w:szCs w:val="24"/>
    </w:rPr>
  </w:style>
  <w:style w:type="table" w:customStyle="1" w:styleId="Svtltabulkasmkou1zvraznn11">
    <w:name w:val="Světlá tabulka s mřížkou 1 – zvýraznění 11"/>
    <w:basedOn w:val="Normlntabulka"/>
    <w:next w:val="Svtltabulkasmkou1zvraznn1"/>
    <w:uiPriority w:val="46"/>
    <w:rsid w:val="009A036B"/>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tyl1">
    <w:name w:val="Styl1"/>
    <w:basedOn w:val="Normln"/>
    <w:qFormat/>
    <w:rsid w:val="00FC5374"/>
    <w:pPr>
      <w:keepLines/>
      <w:spacing w:before="240" w:after="240" w:line="276" w:lineRule="auto"/>
    </w:pPr>
    <w:rPr>
      <w:rFonts w:eastAsia="Times New Roman" w:cs="Times New Roman"/>
      <w:iCs/>
      <w:szCs w:val="24"/>
      <w:lang w:eastAsia="cs-CZ"/>
    </w:rPr>
  </w:style>
  <w:style w:type="paragraph" w:customStyle="1" w:styleId="Textbodu">
    <w:name w:val="Text bodu"/>
    <w:basedOn w:val="Normln"/>
    <w:rsid w:val="008C1678"/>
    <w:pPr>
      <w:numPr>
        <w:ilvl w:val="2"/>
        <w:numId w:val="21"/>
      </w:numPr>
      <w:spacing w:line="240" w:lineRule="auto"/>
    </w:pPr>
    <w:rPr>
      <w:rFonts w:cs="Times New Roman"/>
      <w:szCs w:val="24"/>
      <w:lang w:eastAsia="cs-CZ"/>
    </w:rPr>
  </w:style>
  <w:style w:type="paragraph" w:customStyle="1" w:styleId="Textpsmene">
    <w:name w:val="Text písmene"/>
    <w:basedOn w:val="Normln"/>
    <w:rsid w:val="008C1678"/>
    <w:pPr>
      <w:numPr>
        <w:ilvl w:val="1"/>
        <w:numId w:val="21"/>
      </w:numPr>
      <w:spacing w:line="240" w:lineRule="auto"/>
    </w:pPr>
    <w:rPr>
      <w:rFonts w:cs="Times New Roman"/>
      <w:szCs w:val="24"/>
      <w:lang w:eastAsia="cs-CZ"/>
    </w:rPr>
  </w:style>
  <w:style w:type="paragraph" w:customStyle="1" w:styleId="Textodstavce">
    <w:name w:val="Text odstavce"/>
    <w:basedOn w:val="Normln"/>
    <w:rsid w:val="008C1678"/>
    <w:pPr>
      <w:numPr>
        <w:numId w:val="21"/>
      </w:numPr>
      <w:spacing w:before="120" w:after="120" w:line="240" w:lineRule="auto"/>
      <w:ind w:left="0"/>
    </w:pPr>
    <w:rPr>
      <w:rFonts w:cs="Times New Roman"/>
      <w:szCs w:val="24"/>
      <w:lang w:eastAsia="cs-CZ"/>
    </w:rPr>
  </w:style>
  <w:style w:type="table" w:customStyle="1" w:styleId="Svtltabulkasmkou1zvraznn51">
    <w:name w:val="Světlá tabulka s mřížkou 1 – zvýraznění 51"/>
    <w:basedOn w:val="Normlntabulka"/>
    <w:next w:val="Svtltabulkasmkou1zvraznn5"/>
    <w:uiPriority w:val="46"/>
    <w:rsid w:val="00190F3B"/>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OdstavecseseznamemChar">
    <w:name w:val="Odstavec se seznamem Char"/>
    <w:aliases w:val="Fiche List Paragraph Char,Dot pt Char,List Paragraph Char Char Char Char,Indicator Text Char,Numbered Para 1 Char,List Paragraph à moi Char,Odsek zoznamu4 Char,LISTA Char,Listaszerű bekezdés2 Char,Listaszerű bekezdés3 Char"/>
    <w:link w:val="Odstavecseseznamem"/>
    <w:uiPriority w:val="34"/>
    <w:locked/>
    <w:rsid w:val="00CF4BB2"/>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CF4BB2"/>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CF4BB2"/>
    <w:rPr>
      <w:rFonts w:ascii="Times New Roman" w:hAnsi="Times New Roman"/>
      <w:sz w:val="20"/>
      <w:szCs w:val="20"/>
    </w:rPr>
  </w:style>
  <w:style w:type="character" w:styleId="Znakapoznpodarou">
    <w:name w:val="footnote reference"/>
    <w:basedOn w:val="Standardnpsmoodstavce"/>
    <w:uiPriority w:val="99"/>
    <w:semiHidden/>
    <w:unhideWhenUsed/>
    <w:rsid w:val="00CF4BB2"/>
    <w:rPr>
      <w:vertAlign w:val="superscript"/>
    </w:rPr>
  </w:style>
  <w:style w:type="table" w:customStyle="1" w:styleId="Svtltabulkasmkou1zvraznn52">
    <w:name w:val="Světlá tabulka s mřížkou 1 – zvýraznění 52"/>
    <w:basedOn w:val="Normlntabulka"/>
    <w:next w:val="Svtltabulkasmkou1zvraznn5"/>
    <w:uiPriority w:val="46"/>
    <w:rsid w:val="0091007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Textvysvtlivek">
    <w:name w:val="endnote text"/>
    <w:basedOn w:val="Normln"/>
    <w:link w:val="TextvysvtlivekChar"/>
    <w:uiPriority w:val="99"/>
    <w:semiHidden/>
    <w:unhideWhenUsed/>
    <w:rsid w:val="00316A6C"/>
    <w:pPr>
      <w:spacing w:line="240" w:lineRule="auto"/>
    </w:pPr>
    <w:rPr>
      <w:sz w:val="20"/>
      <w:szCs w:val="20"/>
    </w:rPr>
  </w:style>
  <w:style w:type="character" w:customStyle="1" w:styleId="TextvysvtlivekChar">
    <w:name w:val="Text vysvětlivek Char"/>
    <w:basedOn w:val="Standardnpsmoodstavce"/>
    <w:link w:val="Textvysvtlivek"/>
    <w:uiPriority w:val="99"/>
    <w:semiHidden/>
    <w:rsid w:val="00316A6C"/>
    <w:rPr>
      <w:rFonts w:ascii="Times New Roman" w:hAnsi="Times New Roman"/>
      <w:sz w:val="20"/>
      <w:szCs w:val="20"/>
    </w:rPr>
  </w:style>
  <w:style w:type="character" w:styleId="Odkaznavysvtlivky">
    <w:name w:val="endnote reference"/>
    <w:basedOn w:val="Standardnpsmoodstavce"/>
    <w:uiPriority w:val="99"/>
    <w:semiHidden/>
    <w:unhideWhenUsed/>
    <w:rsid w:val="00316A6C"/>
    <w:rPr>
      <w:vertAlign w:val="superscript"/>
    </w:rPr>
  </w:style>
  <w:style w:type="table" w:customStyle="1" w:styleId="Svtltabulkasmkou1zvraznn53">
    <w:name w:val="Světlá tabulka s mřížkou 1 – zvýraznění 53"/>
    <w:basedOn w:val="Normlntabulka"/>
    <w:next w:val="Svtltabulkasmkou1zvraznn5"/>
    <w:uiPriority w:val="46"/>
    <w:rsid w:val="004B2F70"/>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paragraph" w:styleId="Bezmezer">
    <w:name w:val="No Spacing"/>
    <w:uiPriority w:val="1"/>
    <w:qFormat/>
    <w:rsid w:val="00A4652C"/>
    <w:pPr>
      <w:spacing w:after="0" w:line="240" w:lineRule="auto"/>
      <w:jc w:val="both"/>
    </w:pPr>
    <w:rPr>
      <w:rFonts w:ascii="Times New Roman" w:hAnsi="Times New Roman"/>
      <w:sz w:val="24"/>
    </w:rPr>
  </w:style>
  <w:style w:type="paragraph" w:customStyle="1" w:styleId="Dopisspozdravem">
    <w:name w:val="Dopis s pozdravem"/>
    <w:basedOn w:val="Normln"/>
    <w:rsid w:val="00525069"/>
    <w:pPr>
      <w:spacing w:before="240" w:after="960" w:line="240" w:lineRule="auto"/>
      <w:jc w:val="left"/>
    </w:pPr>
    <w:rPr>
      <w:rFonts w:ascii="Arial" w:hAnsi="Arial" w:cs="Arial"/>
      <w:szCs w:val="24"/>
      <w:lang w:eastAsia="cs-CZ"/>
    </w:rPr>
  </w:style>
  <w:style w:type="paragraph" w:styleId="Rejstk1">
    <w:name w:val="index 1"/>
    <w:basedOn w:val="Normln"/>
    <w:next w:val="Normln"/>
    <w:autoRedefine/>
    <w:uiPriority w:val="99"/>
    <w:semiHidden/>
    <w:unhideWhenUsed/>
    <w:rsid w:val="00BB0B4E"/>
    <w:pPr>
      <w:spacing w:line="240" w:lineRule="auto"/>
      <w:ind w:left="240" w:hanging="240"/>
    </w:pPr>
  </w:style>
  <w:style w:type="table" w:customStyle="1" w:styleId="Svtltabulkasmkou1zvraznn1112">
    <w:name w:val="Světlá tabulka s mřížkou 1 – zvýraznění 1112"/>
    <w:basedOn w:val="Normlntabulka"/>
    <w:next w:val="Svtltabulkasmkou1zvraznn1"/>
    <w:uiPriority w:val="46"/>
    <w:rsid w:val="00F953B1"/>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MDSRChar">
    <w:name w:val="MDS ČR Char"/>
    <w:link w:val="MDSR"/>
    <w:locked/>
    <w:rsid w:val="00CA2F73"/>
    <w:rPr>
      <w:rFonts w:ascii="Times New Roman" w:eastAsia="Times New Roman" w:hAnsi="Times New Roman" w:cs="Times New Roman"/>
      <w:sz w:val="24"/>
      <w:szCs w:val="20"/>
      <w:lang w:eastAsia="cs-CZ"/>
    </w:rPr>
  </w:style>
  <w:style w:type="paragraph" w:styleId="Revize">
    <w:name w:val="Revision"/>
    <w:hidden/>
    <w:uiPriority w:val="99"/>
    <w:semiHidden/>
    <w:rsid w:val="00014DBC"/>
    <w:pPr>
      <w:spacing w:after="0" w:line="240" w:lineRule="auto"/>
    </w:pPr>
    <w:rPr>
      <w:rFonts w:ascii="Times New Roman" w:hAnsi="Times New Roman"/>
      <w:sz w:val="24"/>
    </w:rPr>
  </w:style>
  <w:style w:type="table" w:customStyle="1" w:styleId="Svtltabulkasmkou1zvraznn54">
    <w:name w:val="Světlá tabulka s mřížkou 1 – zvýraznění 54"/>
    <w:basedOn w:val="Normlntabulka"/>
    <w:next w:val="Svtltabulkasmkou1zvraznn5"/>
    <w:uiPriority w:val="46"/>
    <w:rsid w:val="002A440F"/>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normaltextrun">
    <w:name w:val="normaltextrun"/>
    <w:basedOn w:val="Standardnpsmoodstavce"/>
    <w:rsid w:val="00327798"/>
  </w:style>
  <w:style w:type="character" w:customStyle="1" w:styleId="scxw261567984">
    <w:name w:val="scxw261567984"/>
    <w:basedOn w:val="Standardnpsmoodstavce"/>
    <w:rsid w:val="00327798"/>
  </w:style>
  <w:style w:type="character" w:customStyle="1" w:styleId="contextualspellingandgrammarerror">
    <w:name w:val="contextualspellingandgrammarerror"/>
    <w:basedOn w:val="Standardnpsmoodstavce"/>
    <w:rsid w:val="00327798"/>
  </w:style>
  <w:style w:type="character" w:customStyle="1" w:styleId="spellingerror">
    <w:name w:val="spellingerror"/>
    <w:basedOn w:val="Standardnpsmoodstavce"/>
    <w:rsid w:val="00327798"/>
  </w:style>
  <w:style w:type="character" w:customStyle="1" w:styleId="eop">
    <w:name w:val="eop"/>
    <w:basedOn w:val="Standardnpsmoodstavce"/>
    <w:rsid w:val="003277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55375">
      <w:bodyDiv w:val="1"/>
      <w:marLeft w:val="0"/>
      <w:marRight w:val="0"/>
      <w:marTop w:val="0"/>
      <w:marBottom w:val="0"/>
      <w:divBdr>
        <w:top w:val="none" w:sz="0" w:space="0" w:color="auto"/>
        <w:left w:val="none" w:sz="0" w:space="0" w:color="auto"/>
        <w:bottom w:val="none" w:sz="0" w:space="0" w:color="auto"/>
        <w:right w:val="none" w:sz="0" w:space="0" w:color="auto"/>
      </w:divBdr>
    </w:div>
    <w:div w:id="503054923">
      <w:bodyDiv w:val="1"/>
      <w:marLeft w:val="0"/>
      <w:marRight w:val="0"/>
      <w:marTop w:val="0"/>
      <w:marBottom w:val="0"/>
      <w:divBdr>
        <w:top w:val="none" w:sz="0" w:space="0" w:color="auto"/>
        <w:left w:val="none" w:sz="0" w:space="0" w:color="auto"/>
        <w:bottom w:val="none" w:sz="0" w:space="0" w:color="auto"/>
        <w:right w:val="none" w:sz="0" w:space="0" w:color="auto"/>
      </w:divBdr>
    </w:div>
    <w:div w:id="809711805">
      <w:bodyDiv w:val="1"/>
      <w:marLeft w:val="0"/>
      <w:marRight w:val="0"/>
      <w:marTop w:val="0"/>
      <w:marBottom w:val="0"/>
      <w:divBdr>
        <w:top w:val="none" w:sz="0" w:space="0" w:color="auto"/>
        <w:left w:val="none" w:sz="0" w:space="0" w:color="auto"/>
        <w:bottom w:val="none" w:sz="0" w:space="0" w:color="auto"/>
        <w:right w:val="none" w:sz="0" w:space="0" w:color="auto"/>
      </w:divBdr>
    </w:div>
    <w:div w:id="811826255">
      <w:bodyDiv w:val="1"/>
      <w:marLeft w:val="0"/>
      <w:marRight w:val="0"/>
      <w:marTop w:val="0"/>
      <w:marBottom w:val="0"/>
      <w:divBdr>
        <w:top w:val="none" w:sz="0" w:space="0" w:color="auto"/>
        <w:left w:val="none" w:sz="0" w:space="0" w:color="auto"/>
        <w:bottom w:val="none" w:sz="0" w:space="0" w:color="auto"/>
        <w:right w:val="none" w:sz="0" w:space="0" w:color="auto"/>
      </w:divBdr>
    </w:div>
    <w:div w:id="836577316">
      <w:bodyDiv w:val="1"/>
      <w:marLeft w:val="0"/>
      <w:marRight w:val="0"/>
      <w:marTop w:val="0"/>
      <w:marBottom w:val="0"/>
      <w:divBdr>
        <w:top w:val="none" w:sz="0" w:space="0" w:color="auto"/>
        <w:left w:val="none" w:sz="0" w:space="0" w:color="auto"/>
        <w:bottom w:val="none" w:sz="0" w:space="0" w:color="auto"/>
        <w:right w:val="none" w:sz="0" w:space="0" w:color="auto"/>
      </w:divBdr>
    </w:div>
    <w:div w:id="950238815">
      <w:bodyDiv w:val="1"/>
      <w:marLeft w:val="0"/>
      <w:marRight w:val="0"/>
      <w:marTop w:val="0"/>
      <w:marBottom w:val="0"/>
      <w:divBdr>
        <w:top w:val="none" w:sz="0" w:space="0" w:color="auto"/>
        <w:left w:val="none" w:sz="0" w:space="0" w:color="auto"/>
        <w:bottom w:val="none" w:sz="0" w:space="0" w:color="auto"/>
        <w:right w:val="none" w:sz="0" w:space="0" w:color="auto"/>
      </w:divBdr>
    </w:div>
    <w:div w:id="1039360931">
      <w:bodyDiv w:val="1"/>
      <w:marLeft w:val="0"/>
      <w:marRight w:val="0"/>
      <w:marTop w:val="0"/>
      <w:marBottom w:val="0"/>
      <w:divBdr>
        <w:top w:val="none" w:sz="0" w:space="0" w:color="auto"/>
        <w:left w:val="none" w:sz="0" w:space="0" w:color="auto"/>
        <w:bottom w:val="none" w:sz="0" w:space="0" w:color="auto"/>
        <w:right w:val="none" w:sz="0" w:space="0" w:color="auto"/>
      </w:divBdr>
    </w:div>
    <w:div w:id="1052003418">
      <w:bodyDiv w:val="1"/>
      <w:marLeft w:val="0"/>
      <w:marRight w:val="0"/>
      <w:marTop w:val="0"/>
      <w:marBottom w:val="0"/>
      <w:divBdr>
        <w:top w:val="none" w:sz="0" w:space="0" w:color="auto"/>
        <w:left w:val="none" w:sz="0" w:space="0" w:color="auto"/>
        <w:bottom w:val="none" w:sz="0" w:space="0" w:color="auto"/>
        <w:right w:val="none" w:sz="0" w:space="0" w:color="auto"/>
      </w:divBdr>
    </w:div>
    <w:div w:id="1511025267">
      <w:bodyDiv w:val="1"/>
      <w:marLeft w:val="0"/>
      <w:marRight w:val="0"/>
      <w:marTop w:val="0"/>
      <w:marBottom w:val="0"/>
      <w:divBdr>
        <w:top w:val="none" w:sz="0" w:space="0" w:color="auto"/>
        <w:left w:val="none" w:sz="0" w:space="0" w:color="auto"/>
        <w:bottom w:val="none" w:sz="0" w:space="0" w:color="auto"/>
        <w:right w:val="none" w:sz="0" w:space="0" w:color="auto"/>
      </w:divBdr>
    </w:div>
    <w:div w:id="1675256741">
      <w:bodyDiv w:val="1"/>
      <w:marLeft w:val="0"/>
      <w:marRight w:val="0"/>
      <w:marTop w:val="0"/>
      <w:marBottom w:val="0"/>
      <w:divBdr>
        <w:top w:val="none" w:sz="0" w:space="0" w:color="auto"/>
        <w:left w:val="none" w:sz="0" w:space="0" w:color="auto"/>
        <w:bottom w:val="none" w:sz="0" w:space="0" w:color="auto"/>
        <w:right w:val="none" w:sz="0" w:space="0" w:color="auto"/>
      </w:divBdr>
    </w:div>
    <w:div w:id="1675959879">
      <w:bodyDiv w:val="1"/>
      <w:marLeft w:val="0"/>
      <w:marRight w:val="0"/>
      <w:marTop w:val="0"/>
      <w:marBottom w:val="0"/>
      <w:divBdr>
        <w:top w:val="none" w:sz="0" w:space="0" w:color="auto"/>
        <w:left w:val="none" w:sz="0" w:space="0" w:color="auto"/>
        <w:bottom w:val="none" w:sz="0" w:space="0" w:color="auto"/>
        <w:right w:val="none" w:sz="0" w:space="0" w:color="auto"/>
      </w:divBdr>
    </w:div>
    <w:div w:id="1831601045">
      <w:bodyDiv w:val="1"/>
      <w:marLeft w:val="0"/>
      <w:marRight w:val="0"/>
      <w:marTop w:val="0"/>
      <w:marBottom w:val="0"/>
      <w:divBdr>
        <w:top w:val="none" w:sz="0" w:space="0" w:color="auto"/>
        <w:left w:val="none" w:sz="0" w:space="0" w:color="auto"/>
        <w:bottom w:val="none" w:sz="0" w:space="0" w:color="auto"/>
        <w:right w:val="none" w:sz="0" w:space="0" w:color="auto"/>
      </w:divBdr>
    </w:div>
    <w:div w:id="190212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5.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hart" Target="charts/chart3.xml"/><Relationship Id="rId25"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chart" Target="charts/chart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chart" Target="charts/chart8.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chart" Target="charts/chart7.xml"/><Relationship Id="rId10" Type="http://schemas.openxmlformats.org/officeDocument/2006/relationships/image" Target="media/image3.jpe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List_aplikace_Microsoft_Excel.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List_aplikace_Microsoft_Excel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List_aplikace_Microsoft_Excel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List_aplikace_Microsoft_Excel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List_aplikace_Microsoft_Excel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List_aplikace_Microsoft_Excel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1" Type="http://schemas.openxmlformats.org/officeDocument/2006/relationships/package" Target="../embeddings/List_aplikace_Microsoft_Excel6.xlsx"/></Relationships>
</file>

<file path=word/charts/_rels/chart8.xml.rels><?xml version="1.0" encoding="UTF-8" standalone="yes"?>
<Relationships xmlns="http://schemas.openxmlformats.org/package/2006/relationships"><Relationship Id="rId3" Type="http://schemas.openxmlformats.org/officeDocument/2006/relationships/package" Target="../embeddings/List_aplikace_Microsoft_Excel7.xlsx"/><Relationship Id="rId2" Type="http://schemas.microsoft.com/office/2011/relationships/chartColorStyle" Target="colors7.xml"/><Relationship Id="rId1" Type="http://schemas.microsoft.com/office/2011/relationships/chartStyle" Target="style7.xml"/></Relationships>
</file>

<file path=word/charts/_rels/chart9.xml.rels><?xml version="1.0" encoding="UTF-8" standalone="yes"?>
<Relationships xmlns="http://schemas.openxmlformats.org/package/2006/relationships"><Relationship Id="rId3" Type="http://schemas.openxmlformats.org/officeDocument/2006/relationships/package" Target="../embeddings/List_aplikace_Microsoft_Excel8.xlsx"/><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2022</c:v>
                </c:pt>
              </c:strCache>
            </c:strRef>
          </c:tx>
          <c:spPr>
            <a:solidFill>
              <a:schemeClr val="accent1"/>
            </a:solidFill>
            <a:ln>
              <a:noFill/>
            </a:ln>
            <a:effectLst/>
          </c:spPr>
          <c:invertIfNegative val="0"/>
          <c:dLbls>
            <c:dLbl>
              <c:idx val="1"/>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CDC-45E3-B646-B4AFE616EAB7}"/>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List1!$B$2:$B$3</c:f>
              <c:numCache>
                <c:formatCode>#,##0</c:formatCode>
                <c:ptCount val="2"/>
                <c:pt idx="0">
                  <c:v>48755702</c:v>
                </c:pt>
                <c:pt idx="1">
                  <c:v>107226660</c:v>
                </c:pt>
              </c:numCache>
            </c:numRef>
          </c:val>
          <c:extLst>
            <c:ext xmlns:c16="http://schemas.microsoft.com/office/drawing/2014/chart" uri="{C3380CC4-5D6E-409C-BE32-E72D297353CC}">
              <c16:uniqueId val="{00000000-4DAD-4D16-A582-585BF2393114}"/>
            </c:ext>
          </c:extLst>
        </c:ser>
        <c:ser>
          <c:idx val="1"/>
          <c:order val="1"/>
          <c:tx>
            <c:strRef>
              <c:f>List1!$C$1</c:f>
              <c:strCache>
                <c:ptCount val="1"/>
                <c:pt idx="0">
                  <c:v>2023</c:v>
                </c:pt>
              </c:strCache>
            </c:strRef>
          </c:tx>
          <c:spPr>
            <a:solidFill>
              <a:schemeClr val="accent2"/>
            </a:solidFill>
            <a:ln>
              <a:noFill/>
            </a:ln>
            <a:effectLst/>
          </c:spPr>
          <c:invertIfNegative val="0"/>
          <c:dLbls>
            <c:dLbl>
              <c:idx val="1"/>
              <c:layout>
                <c:manualLayout>
                  <c:x val="-2.2050716648291876E-3"/>
                  <c:y val="-2.3101211627455632E-17"/>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DAD-4D16-A582-585BF239311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Příjmy</c:v>
                </c:pt>
                <c:pt idx="1">
                  <c:v>Výdaje</c:v>
                </c:pt>
              </c:strCache>
            </c:strRef>
          </c:cat>
          <c:val>
            <c:numRef>
              <c:f>List1!$C$2:$C$3</c:f>
              <c:numCache>
                <c:formatCode>#,##0</c:formatCode>
                <c:ptCount val="2"/>
                <c:pt idx="0">
                  <c:v>29053763</c:v>
                </c:pt>
                <c:pt idx="1">
                  <c:v>112700867</c:v>
                </c:pt>
              </c:numCache>
            </c:numRef>
          </c:val>
          <c:extLst>
            <c:ext xmlns:c16="http://schemas.microsoft.com/office/drawing/2014/chart" uri="{C3380CC4-5D6E-409C-BE32-E72D297353CC}">
              <c16:uniqueId val="{00000002-4DAD-4D16-A582-585BF2393114}"/>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2022</c:v>
                </c:pt>
              </c:strCache>
            </c:strRef>
          </c:tx>
          <c:spPr>
            <a:solidFill>
              <a:schemeClr val="accent1"/>
            </a:solidFill>
            <a:ln>
              <a:noFill/>
            </a:ln>
            <a:effectLst/>
          </c:spPr>
          <c:invertIfNegative val="0"/>
          <c:dLbls>
            <c:dLbl>
              <c:idx val="0"/>
              <c:layout>
                <c:manualLayout>
                  <c:x val="-2.2050716648291274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2F0-4C82-A5B1-95C9008B344D}"/>
                </c:ext>
              </c:extLst>
            </c:dLbl>
            <c:dLbl>
              <c:idx val="1"/>
              <c:layout>
                <c:manualLayout>
                  <c:x val="-2.205071664829107E-3"/>
                  <c:y val="5.0403225806451612E-3"/>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F2F0-4C82-A5B1-95C9008B34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List1!$B$2:$B$3</c:f>
              <c:numCache>
                <c:formatCode>#,##0</c:formatCode>
                <c:ptCount val="2"/>
                <c:pt idx="0">
                  <c:v>74735</c:v>
                </c:pt>
                <c:pt idx="1">
                  <c:v>48457067</c:v>
                </c:pt>
              </c:numCache>
            </c:numRef>
          </c:val>
          <c:extLst>
            <c:ext xmlns:c16="http://schemas.microsoft.com/office/drawing/2014/chart" uri="{C3380CC4-5D6E-409C-BE32-E72D297353CC}">
              <c16:uniqueId val="{00000002-F2F0-4C82-A5B1-95C9008B344D}"/>
            </c:ext>
          </c:extLst>
        </c:ser>
        <c:ser>
          <c:idx val="1"/>
          <c:order val="1"/>
          <c:tx>
            <c:strRef>
              <c:f>List1!$C$1</c:f>
              <c:strCache>
                <c:ptCount val="1"/>
                <c:pt idx="0">
                  <c:v>2023</c:v>
                </c:pt>
              </c:strCache>
            </c:strRef>
          </c:tx>
          <c:spPr>
            <a:solidFill>
              <a:schemeClr val="accent2"/>
            </a:solidFill>
            <a:ln>
              <a:noFill/>
            </a:ln>
            <a:effectLst/>
          </c:spPr>
          <c:invertIfNegative val="0"/>
          <c:dLbls>
            <c:dLbl>
              <c:idx val="0"/>
              <c:layout>
                <c:manualLayout>
                  <c:x val="0"/>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F2F0-4C82-A5B1-95C9008B344D}"/>
                </c:ext>
              </c:extLst>
            </c:dLbl>
            <c:dLbl>
              <c:idx val="1"/>
              <c:layout>
                <c:manualLayout>
                  <c:x val="-2.205071664829107E-3"/>
                  <c:y val="2.016129032258064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F2F0-4C82-A5B1-95C9008B344D}"/>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List1!$A$2:$A$3</c:f>
              <c:strCache>
                <c:ptCount val="2"/>
                <c:pt idx="0">
                  <c:v>Neinvestiční přijaté transfery</c:v>
                </c:pt>
                <c:pt idx="1">
                  <c:v>Investiční přijaté transfery</c:v>
                </c:pt>
              </c:strCache>
            </c:strRef>
          </c:cat>
          <c:val>
            <c:numRef>
              <c:f>List1!$C$2:$C$3</c:f>
              <c:numCache>
                <c:formatCode>#,##0</c:formatCode>
                <c:ptCount val="2"/>
                <c:pt idx="0">
                  <c:v>640034</c:v>
                </c:pt>
                <c:pt idx="1">
                  <c:v>28146730</c:v>
                </c:pt>
              </c:numCache>
            </c:numRef>
          </c:val>
          <c:extLst>
            <c:ext xmlns:c16="http://schemas.microsoft.com/office/drawing/2014/chart" uri="{C3380CC4-5D6E-409C-BE32-E72D297353CC}">
              <c16:uniqueId val="{00000005-F2F0-4C82-A5B1-95C9008B344D}"/>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List1!$B$1</c:f>
              <c:strCache>
                <c:ptCount val="1"/>
                <c:pt idx="0">
                  <c:v>2022</c:v>
                </c:pt>
              </c:strCache>
            </c:strRef>
          </c:tx>
          <c:spPr>
            <a:solidFill>
              <a:schemeClr val="accent1"/>
            </a:solidFill>
            <a:ln>
              <a:noFill/>
            </a:ln>
            <a:effectLst/>
          </c:spPr>
          <c:invertIfNegative val="0"/>
          <c:dLbls>
            <c:dLbl>
              <c:idx val="0"/>
              <c:layout>
                <c:manualLayout>
                  <c:x val="-1.9845644983461964E-2"/>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420-4887-B453-A3D2786E97C3}"/>
                </c:ext>
              </c:extLst>
            </c:dLbl>
            <c:dLbl>
              <c:idx val="1"/>
              <c:layout>
                <c:manualLayout>
                  <c:x val="-2.205071664829107E-3"/>
                  <c:y val="-1.0080645161290322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420-4887-B453-A3D2786E97C3}"/>
                </c:ext>
              </c:extLst>
            </c:dLbl>
            <c:dLbl>
              <c:idx val="2"/>
              <c:layout>
                <c:manualLayout>
                  <c:x val="-1.3230429988974642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3420-4887-B453-A3D2786E97C3}"/>
                </c:ext>
              </c:extLst>
            </c:dLbl>
            <c:dLbl>
              <c:idx val="3"/>
              <c:layout>
                <c:manualLayout>
                  <c:x val="-1.7640573318632856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3420-4887-B453-A3D2786E9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List1!$A$2:$A$5</c:f>
              <c:strCache>
                <c:ptCount val="4"/>
                <c:pt idx="0">
                  <c:v>Daňové příjmy - správní poplatky</c:v>
                </c:pt>
                <c:pt idx="1">
                  <c:v>Příjmy z pronájmu majetku</c:v>
                </c:pt>
                <c:pt idx="2">
                  <c:v>Příjmy z vlastní činnosti</c:v>
                </c:pt>
                <c:pt idx="3">
                  <c:v>Přijaté sankční platby a vratky transférů</c:v>
                </c:pt>
              </c:strCache>
            </c:strRef>
          </c:cat>
          <c:val>
            <c:numRef>
              <c:f>List1!$B$2:$B$5</c:f>
              <c:numCache>
                <c:formatCode>#,##0</c:formatCode>
                <c:ptCount val="4"/>
                <c:pt idx="0">
                  <c:v>185000</c:v>
                </c:pt>
                <c:pt idx="1">
                  <c:v>34617</c:v>
                </c:pt>
                <c:pt idx="2">
                  <c:v>3200</c:v>
                </c:pt>
                <c:pt idx="3">
                  <c:v>1068</c:v>
                </c:pt>
              </c:numCache>
            </c:numRef>
          </c:val>
          <c:extLst>
            <c:ext xmlns:c16="http://schemas.microsoft.com/office/drawing/2014/chart" uri="{C3380CC4-5D6E-409C-BE32-E72D297353CC}">
              <c16:uniqueId val="{00000005-3420-4887-B453-A3D2786E97C3}"/>
            </c:ext>
          </c:extLst>
        </c:ser>
        <c:ser>
          <c:idx val="1"/>
          <c:order val="1"/>
          <c:tx>
            <c:strRef>
              <c:f>List1!$C$1</c:f>
              <c:strCache>
                <c:ptCount val="1"/>
                <c:pt idx="0">
                  <c:v>2023</c:v>
                </c:pt>
              </c:strCache>
            </c:strRef>
          </c:tx>
          <c:spPr>
            <a:solidFill>
              <a:schemeClr val="accent2"/>
            </a:solidFill>
            <a:ln>
              <a:noFill/>
            </a:ln>
            <a:effectLst/>
          </c:spPr>
          <c:invertIfNegative val="0"/>
          <c:dLbls>
            <c:dLbl>
              <c:idx val="0"/>
              <c:layout>
                <c:manualLayout>
                  <c:x val="8.8202866593164071E-3"/>
                  <c:y val="1.5120967741935484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3420-4887-B453-A3D2786E97C3}"/>
                </c:ext>
              </c:extLst>
            </c:dLbl>
            <c:dLbl>
              <c:idx val="1"/>
              <c:layout>
                <c:manualLayout>
                  <c:x val="1.102535832414549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3420-4887-B453-A3D2786E97C3}"/>
                </c:ext>
              </c:extLst>
            </c:dLbl>
            <c:dLbl>
              <c:idx val="2"/>
              <c:layout>
                <c:manualLayout>
                  <c:x val="8.8202866593164279E-3"/>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3420-4887-B453-A3D2786E97C3}"/>
                </c:ext>
              </c:extLst>
            </c:dLbl>
            <c:dLbl>
              <c:idx val="3"/>
              <c:layout>
                <c:manualLayout>
                  <c:x val="1.1025358324145534E-2"/>
                  <c:y val="0"/>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3420-4887-B453-A3D2786E97C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List1!$A$2:$A$5</c:f>
              <c:strCache>
                <c:ptCount val="4"/>
                <c:pt idx="0">
                  <c:v>Daňové příjmy - správní poplatky</c:v>
                </c:pt>
                <c:pt idx="1">
                  <c:v>Příjmy z pronájmu majetku</c:v>
                </c:pt>
                <c:pt idx="2">
                  <c:v>Příjmy z vlastní činnosti</c:v>
                </c:pt>
                <c:pt idx="3">
                  <c:v>Přijaté sankční platby a vratky transférů</c:v>
                </c:pt>
              </c:strCache>
            </c:strRef>
          </c:cat>
          <c:val>
            <c:numRef>
              <c:f>List1!$C$2:$C$5</c:f>
              <c:numCache>
                <c:formatCode>#,##0</c:formatCode>
                <c:ptCount val="4"/>
                <c:pt idx="0">
                  <c:v>185000</c:v>
                </c:pt>
                <c:pt idx="1">
                  <c:v>32617</c:v>
                </c:pt>
                <c:pt idx="2">
                  <c:v>48300</c:v>
                </c:pt>
                <c:pt idx="3">
                  <c:v>1068</c:v>
                </c:pt>
              </c:numCache>
            </c:numRef>
          </c:val>
          <c:extLst>
            <c:ext xmlns:c16="http://schemas.microsoft.com/office/drawing/2014/chart" uri="{C3380CC4-5D6E-409C-BE32-E72D297353CC}">
              <c16:uniqueId val="{0000000B-3420-4887-B453-A3D2786E97C3}"/>
            </c:ext>
          </c:extLst>
        </c:ser>
        <c:dLbls>
          <c:dLblPos val="outEnd"/>
          <c:showLegendKey val="0"/>
          <c:showVal val="1"/>
          <c:showCatName val="0"/>
          <c:showSerName val="0"/>
          <c:showPercent val="0"/>
          <c:showBubbleSize val="0"/>
        </c:dLbls>
        <c:gapWidth val="267"/>
        <c:overlap val="-43"/>
        <c:axId val="344020800"/>
        <c:axId val="344021784"/>
      </c:barChart>
      <c:catAx>
        <c:axId val="344020800"/>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344021784"/>
        <c:crosses val="autoZero"/>
        <c:auto val="1"/>
        <c:lblAlgn val="ctr"/>
        <c:lblOffset val="100"/>
        <c:noMultiLvlLbl val="0"/>
      </c:catAx>
      <c:valAx>
        <c:axId val="344021784"/>
        <c:scaling>
          <c:orientation val="minMax"/>
        </c:scaling>
        <c:delete val="1"/>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extTo"/>
        <c:crossAx val="344020800"/>
        <c:crosses val="autoZero"/>
        <c:crossBetween val="between"/>
      </c:valAx>
      <c:spPr>
        <a:pattFill prst="ltDnDiag">
          <a:fgClr>
            <a:schemeClr val="dk1">
              <a:lumMod val="15000"/>
              <a:lumOff val="85000"/>
            </a:schemeClr>
          </a:fgClr>
          <a:bgClr>
            <a:schemeClr val="lt1"/>
          </a:bgClr>
        </a:pattFill>
        <a:ln>
          <a:noFill/>
        </a:ln>
        <a:effectLst/>
      </c:spPr>
    </c:plotArea>
    <c:legend>
      <c:legendPos val="r"/>
      <c:layout>
        <c:manualLayout>
          <c:xMode val="edge"/>
          <c:yMode val="edge"/>
          <c:x val="0.88726232539565408"/>
          <c:y val="0.41494396113792226"/>
          <c:w val="0.1127376746043459"/>
          <c:h val="0.1701120777241554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350083752093802E-2"/>
          <c:y val="9.8859315589353611E-2"/>
          <c:w val="0.86429652952298264"/>
          <c:h val="0.69904219349230101"/>
        </c:manualLayout>
      </c:layout>
      <c:barChart>
        <c:barDir val="col"/>
        <c:grouping val="clustered"/>
        <c:varyColors val="0"/>
        <c:ser>
          <c:idx val="0"/>
          <c:order val="0"/>
          <c:tx>
            <c:strRef>
              <c:f>Sheet1!$A$2</c:f>
              <c:strCache>
                <c:ptCount val="1"/>
                <c:pt idx="0">
                  <c:v>2022</c:v>
                </c:pt>
              </c:strCache>
            </c:strRef>
          </c:tx>
          <c:spPr>
            <a:solidFill>
              <a:schemeClr val="accent1"/>
            </a:solidFill>
            <a:ln>
              <a:noFill/>
            </a:ln>
            <a:effectLst/>
          </c:spPr>
          <c:invertIfNegative val="0"/>
          <c:dLbls>
            <c:dLbl>
              <c:idx val="0"/>
              <c:layout>
                <c:manualLayout>
                  <c:x val="-1.1827357002086859E-2"/>
                  <c:y val="-1.090745435032638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50F4-45CA-B02B-017A521D59F5}"/>
                </c:ext>
              </c:extLst>
            </c:dLbl>
            <c:dLbl>
              <c:idx val="1"/>
              <c:layout>
                <c:manualLayout>
                  <c:x val="-2.3165210066336775E-2"/>
                  <c:y val="1.95407914020517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0F4-45CA-B02B-017A521D59F5}"/>
                </c:ext>
              </c:extLst>
            </c:dLbl>
            <c:dLbl>
              <c:idx val="3"/>
              <c:layout>
                <c:manualLayout>
                  <c:x val="-1.1454922772960291E-2"/>
                  <c:y val="1.019967765387411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50F4-45CA-B02B-017A521D59F5}"/>
                </c:ext>
              </c:extLst>
            </c:dLbl>
            <c:dLbl>
              <c:idx val="4"/>
              <c:layout>
                <c:manualLayout>
                  <c:x val="-6.3177845635463831E-3"/>
                  <c:y val="-1.46555935515388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50F4-45CA-B02B-017A521D59F5}"/>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Sheet1!$B$2:$F$2</c:f>
              <c:numCache>
                <c:formatCode>#,##0</c:formatCode>
                <c:ptCount val="5"/>
                <c:pt idx="0">
                  <c:v>12889408</c:v>
                </c:pt>
                <c:pt idx="1">
                  <c:v>89835096</c:v>
                </c:pt>
                <c:pt idx="2">
                  <c:v>0</c:v>
                </c:pt>
                <c:pt idx="3">
                  <c:v>4478967</c:v>
                </c:pt>
                <c:pt idx="4">
                  <c:v>23189</c:v>
                </c:pt>
              </c:numCache>
            </c:numRef>
          </c:val>
          <c:extLst>
            <c:ext xmlns:c16="http://schemas.microsoft.com/office/drawing/2014/chart" uri="{C3380CC4-5D6E-409C-BE32-E72D297353CC}">
              <c16:uniqueId val="{00000004-50F4-45CA-B02B-017A521D59F5}"/>
            </c:ext>
          </c:extLst>
        </c:ser>
        <c:ser>
          <c:idx val="1"/>
          <c:order val="1"/>
          <c:tx>
            <c:strRef>
              <c:f>Sheet1!$A$3</c:f>
              <c:strCache>
                <c:ptCount val="1"/>
                <c:pt idx="0">
                  <c:v>2023</c:v>
                </c:pt>
              </c:strCache>
            </c:strRef>
          </c:tx>
          <c:spPr>
            <a:solidFill>
              <a:schemeClr val="accent2"/>
            </a:solidFill>
            <a:ln>
              <a:noFill/>
            </a:ln>
            <a:effectLst/>
          </c:spPr>
          <c:invertIfNegative val="0"/>
          <c:dLbls>
            <c:dLbl>
              <c:idx val="0"/>
              <c:layout>
                <c:manualLayout>
                  <c:x val="1.7867225373284064E-2"/>
                  <c:y val="1.307001988698643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50F4-45CA-B02B-017A521D59F5}"/>
                </c:ext>
              </c:extLst>
            </c:dLbl>
            <c:dLbl>
              <c:idx val="1"/>
              <c:layout>
                <c:manualLayout>
                  <c:x val="2.1059281878487945E-2"/>
                  <c:y val="2.442598925256471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50F4-45CA-B02B-017A521D59F5}"/>
                </c:ext>
              </c:extLst>
            </c:dLbl>
            <c:dLbl>
              <c:idx val="3"/>
              <c:layout>
                <c:manualLayout>
                  <c:x val="8.3791068708808994E-3"/>
                  <c:y val="-1.6570821905688756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0F4-45CA-B02B-017A521D59F5}"/>
                </c:ext>
              </c:extLst>
            </c:dLbl>
            <c:dLbl>
              <c:idx val="4"/>
              <c:layout>
                <c:manualLayout>
                  <c:x val="-2.1059281878487942E-3"/>
                  <c:y val="1.465559355153883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50F4-45CA-B02B-017A521D59F5}"/>
                </c:ext>
              </c:extLst>
            </c:dLbl>
            <c:numFmt formatCode="#,##0" sourceLinked="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Sheet1!$B$1:$F$1</c:f>
              <c:strCache>
                <c:ptCount val="5"/>
                <c:pt idx="0">
                  <c:v>Drážní a kombinovaná doprava</c:v>
                </c:pt>
                <c:pt idx="1">
                  <c:v>Dotace pro SFDI</c:v>
                </c:pt>
                <c:pt idx="2">
                  <c:v>Pozemní komunikace</c:v>
                </c:pt>
                <c:pt idx="3">
                  <c:v>Ostatní výdaje spojené s dopr.pol.státu</c:v>
                </c:pt>
                <c:pt idx="4">
                  <c:v>Výdaje spojené s výkonem předsednictví ČR v Radě EU</c:v>
                </c:pt>
              </c:strCache>
            </c:strRef>
          </c:cat>
          <c:val>
            <c:numRef>
              <c:f>Sheet1!$B$3:$F$3</c:f>
              <c:numCache>
                <c:formatCode>#,##0</c:formatCode>
                <c:ptCount val="5"/>
                <c:pt idx="0">
                  <c:v>10843888</c:v>
                </c:pt>
                <c:pt idx="1">
                  <c:v>92369489</c:v>
                </c:pt>
                <c:pt idx="2">
                  <c:v>0</c:v>
                </c:pt>
                <c:pt idx="3">
                  <c:v>9484338</c:v>
                </c:pt>
                <c:pt idx="4">
                  <c:v>3152</c:v>
                </c:pt>
              </c:numCache>
            </c:numRef>
          </c:val>
          <c:extLst>
            <c:ext xmlns:c16="http://schemas.microsoft.com/office/drawing/2014/chart" uri="{C3380CC4-5D6E-409C-BE32-E72D297353CC}">
              <c16:uniqueId val="{00000009-50F4-45CA-B02B-017A521D59F5}"/>
            </c:ext>
          </c:extLst>
        </c:ser>
        <c:dLbls>
          <c:showLegendKey val="0"/>
          <c:showVal val="0"/>
          <c:showCatName val="0"/>
          <c:showSerName val="0"/>
          <c:showPercent val="0"/>
          <c:showBubbleSize val="0"/>
        </c:dLbls>
        <c:gapWidth val="267"/>
        <c:overlap val="-43"/>
        <c:axId val="422713248"/>
        <c:axId val="422713640"/>
      </c:barChart>
      <c:catAx>
        <c:axId val="42271324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solidFill>
                <a:latin typeface="+mn-lt"/>
                <a:ea typeface="+mn-ea"/>
                <a:cs typeface="+mn-cs"/>
              </a:defRPr>
            </a:pPr>
            <a:endParaRPr lang="cs-CZ"/>
          </a:p>
        </c:txPr>
        <c:crossAx val="422713640"/>
        <c:crosses val="autoZero"/>
        <c:auto val="1"/>
        <c:lblAlgn val="ctr"/>
        <c:lblOffset val="100"/>
        <c:tickLblSkip val="1"/>
        <c:tickMarkSkip val="1"/>
        <c:noMultiLvlLbl val="0"/>
      </c:catAx>
      <c:valAx>
        <c:axId val="422713640"/>
        <c:scaling>
          <c:orientation val="minMax"/>
        </c:scaling>
        <c:delete val="0"/>
        <c:axPos val="l"/>
        <c:majorGridlines>
          <c:spPr>
            <a:ln w="9525" cap="flat" cmpd="sng" algn="ctr">
              <a:solidFill>
                <a:schemeClr val="dk1">
                  <a:lumMod val="15000"/>
                  <a:lumOff val="85000"/>
                </a:schemeClr>
              </a:solidFill>
              <a:round/>
            </a:ln>
            <a:effectLst/>
          </c:spPr>
        </c:majorGridlines>
        <c:numFmt formatCode="#,##0"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crossAx val="422713248"/>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42396388451443567"/>
          <c:y val="0.87848012647661833"/>
          <c:w val="0.14827813739098097"/>
          <c:h val="8.243829071927807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cs-CZ"/>
        </a:p>
      </c:txPr>
    </c:legend>
    <c:plotVisOnly val="1"/>
    <c:dispBlanksAs val="gap"/>
    <c:showDLblsOverMax val="0"/>
  </c:chart>
  <c:spPr>
    <a:solidFill>
      <a:schemeClr val="lt1"/>
    </a:solidFill>
    <a:ln w="12700" cap="flat" cmpd="sng" algn="ctr">
      <a:solidFill>
        <a:schemeClr val="bg1">
          <a:lumMod val="85000"/>
        </a:schemeClr>
      </a:solidFill>
      <a:prstDash val="solid"/>
      <a:miter lim="800000"/>
    </a:ln>
    <a:effectLst/>
  </c:spPr>
  <c:txPr>
    <a:bodyPr/>
    <a:lstStyle/>
    <a:p>
      <a:pPr>
        <a:defRPr>
          <a:solidFill>
            <a:schemeClr val="dk1"/>
          </a:solidFill>
          <a:latin typeface="+mn-lt"/>
          <a:ea typeface="+mn-ea"/>
          <a:cs typeface="+mn-cs"/>
        </a:defRPr>
      </a:pPr>
      <a:endParaRPr lang="cs-CZ"/>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běžných výdajů 2023</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107E-4FB2-86AF-2D769DD8629E}"/>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107E-4FB2-86AF-2D769DD8629E}"/>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107E-4FB2-86AF-2D769DD8629E}"/>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107E-4FB2-86AF-2D769DD8629E}"/>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107E-4FB2-86AF-2D769DD8629E}"/>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107E-4FB2-86AF-2D769DD8629E}"/>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107E-4FB2-86AF-2D769DD8629E}"/>
              </c:ext>
            </c:extLst>
          </c:dPt>
          <c:dLbls>
            <c:dLbl>
              <c:idx val="0"/>
              <c:layout>
                <c:manualLayout>
                  <c:x val="-5.3350970017636681E-2"/>
                  <c:y val="-4.234297812279463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107E-4FB2-86AF-2D769DD8629E}"/>
                </c:ext>
              </c:extLst>
            </c:dLbl>
            <c:dLbl>
              <c:idx val="1"/>
              <c:layout>
                <c:manualLayout>
                  <c:x val="1.8738977072310405E-3"/>
                  <c:y val="-0.15952744791869258"/>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107E-4FB2-86AF-2D769DD8629E}"/>
                </c:ext>
              </c:extLst>
            </c:dLbl>
            <c:dLbl>
              <c:idx val="2"/>
              <c:layout>
                <c:manualLayout>
                  <c:x val="0.15168260217472815"/>
                  <c:y val="4.279382155565061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107E-4FB2-86AF-2D769DD8629E}"/>
                </c:ext>
              </c:extLst>
            </c:dLbl>
            <c:dLbl>
              <c:idx val="3"/>
              <c:layout>
                <c:manualLayout>
                  <c:x val="1.9300191642711326E-2"/>
                  <c:y val="0.25916866249164155"/>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26827601410934743"/>
                      <c:h val="0.24380145848035756"/>
                    </c:manualLayout>
                  </c15:layout>
                </c:ext>
                <c:ext xmlns:c16="http://schemas.microsoft.com/office/drawing/2014/chart" uri="{C3380CC4-5D6E-409C-BE32-E72D297353CC}">
                  <c16:uniqueId val="{00000007-107E-4FB2-86AF-2D769DD8629E}"/>
                </c:ext>
              </c:extLst>
            </c:dLbl>
            <c:dLbl>
              <c:idx val="4"/>
              <c:layout>
                <c:manualLayout>
                  <c:x val="1.9841269841269034E-3"/>
                  <c:y val="7.5276405551634909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107E-4FB2-86AF-2D769DD8629E}"/>
                </c:ext>
              </c:extLst>
            </c:dLbl>
            <c:dLbl>
              <c:idx val="5"/>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B-107E-4FB2-86AF-2D769DD8629E}"/>
                </c:ext>
              </c:extLst>
            </c:dLbl>
            <c:dLbl>
              <c:idx val="6"/>
              <c:layout>
                <c:manualLayout>
                  <c:x val="-2.7998236331569625E-2"/>
                  <c:y val="-3.29334274288402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107E-4FB2-86AF-2D769DD8629E}"/>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List1!$A$2:$A$8</c:f>
              <c:strCache>
                <c:ptCount val="7"/>
                <c:pt idx="0">
                  <c:v>Běžné výdaje organizačních složek státu</c:v>
                </c:pt>
                <c:pt idx="1">
                  <c:v>Transfery příspěvkovým a podobným organizacím</c:v>
                </c:pt>
                <c:pt idx="2">
                  <c:v>dotace neziskovým a podobným organizacím</c:v>
                </c:pt>
                <c:pt idx="3">
                  <c:v>Transfery veřejným rozpočtům územní úrovně</c:v>
                </c:pt>
                <c:pt idx="4">
                  <c:v>Dotace podnikatelským subjektům</c:v>
                </c:pt>
                <c:pt idx="5">
                  <c:v>Dotace státním fondům</c:v>
                </c:pt>
                <c:pt idx="6">
                  <c:v>Transfery do zahraničí</c:v>
                </c:pt>
              </c:strCache>
            </c:strRef>
          </c:cat>
          <c:val>
            <c:numRef>
              <c:f>List1!$B$2:$B$8</c:f>
              <c:numCache>
                <c:formatCode>#,##0</c:formatCode>
                <c:ptCount val="7"/>
                <c:pt idx="0">
                  <c:v>6648107</c:v>
                </c:pt>
                <c:pt idx="1">
                  <c:v>260766</c:v>
                </c:pt>
                <c:pt idx="2">
                  <c:v>10933</c:v>
                </c:pt>
                <c:pt idx="3">
                  <c:v>3608251</c:v>
                </c:pt>
                <c:pt idx="4">
                  <c:v>7848565</c:v>
                </c:pt>
                <c:pt idx="5">
                  <c:v>16423000</c:v>
                </c:pt>
                <c:pt idx="6">
                  <c:v>1224981</c:v>
                </c:pt>
              </c:numCache>
            </c:numRef>
          </c:val>
          <c:extLst>
            <c:ext xmlns:c16="http://schemas.microsoft.com/office/drawing/2014/chart" uri="{C3380CC4-5D6E-409C-BE32-E72D297353CC}">
              <c16:uniqueId val="{0000000E-107E-4FB2-86AF-2D769DD8629E}"/>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126"/>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9089070208892753"/>
          <c:y val="0.22053149606299213"/>
          <c:w val="0.44648829431438125"/>
          <c:h val="0.46086956521739131"/>
        </c:manualLayout>
      </c:layout>
      <c:pie3DChart>
        <c:varyColors val="1"/>
        <c:ser>
          <c:idx val="0"/>
          <c:order val="0"/>
          <c:explosion val="16"/>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94E2-4B33-9600-4D208F8E8153}"/>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94E2-4B33-9600-4D208F8E8153}"/>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94E2-4B33-9600-4D208F8E8153}"/>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94E2-4B33-9600-4D208F8E8153}"/>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20-1EC1-4948-A4C8-67C34E26D7E7}"/>
              </c:ext>
            </c:extLst>
          </c:dPt>
          <c:dLbls>
            <c:dLbl>
              <c:idx val="0"/>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1-94E2-4B33-9600-4D208F8E8153}"/>
                </c:ext>
              </c:extLst>
            </c:dLbl>
            <c:dLbl>
              <c:idx val="1"/>
              <c:layout>
                <c:manualLayout>
                  <c:x val="-5.0710536389654053E-2"/>
                  <c:y val="-0.26996347732329024"/>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94E2-4B33-9600-4D208F8E8153}"/>
                </c:ext>
              </c:extLst>
            </c:dLbl>
            <c:dLbl>
              <c:idx val="2"/>
              <c:layout>
                <c:manualLayout>
                  <c:x val="9.4801031581999137E-2"/>
                  <c:y val="-9.2571697583125154E-2"/>
                </c:manualLayout>
              </c:layout>
              <c:tx>
                <c:rich>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fld id="{56AD8F29-F212-4498-AA3F-7171B80FCC2B}" type="CATEGORYNAME">
                      <a:rPr lang="en-US"/>
                      <a:pPr>
                        <a:defRPr>
                          <a:solidFill>
                            <a:schemeClr val="accent1"/>
                          </a:solidFill>
                        </a:defRPr>
                      </a:pPr>
                      <a:t>[NÁZEV KATEGORIE]</a:t>
                    </a:fld>
                    <a:r>
                      <a:rPr lang="en-US" baseline="0"/>
                      <a:t>
</a:t>
                    </a:r>
                    <a:fld id="{8AC99204-A6D5-449C-981F-844690BEAF2C}" type="PERCENTAGE">
                      <a:rPr lang="en-US" baseline="0"/>
                      <a:pPr>
                        <a:defRPr>
                          <a:solidFill>
                            <a:schemeClr val="accent1"/>
                          </a:solidFill>
                        </a:defRPr>
                      </a:pPr>
                      <a:t>[PROCENTO]</a:t>
                    </a:fld>
                    <a:endParaRPr lang="en-US" baseline="0"/>
                  </a:p>
                </c:rich>
              </c:tx>
              <c:numFmt formatCode="0.00%" sourceLinked="0"/>
              <c:spPr>
                <a:solidFill>
                  <a:sysClr val="window" lastClr="FFFFFF"/>
                </a:solidFill>
                <a:ln>
                  <a:noFill/>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prstGeom>
                    <a:noFill/>
                    <a:ln>
                      <a:noFill/>
                    </a:ln>
                  </c15:spPr>
                  <c15:layout/>
                  <c15:dlblFieldTable/>
                  <c15:showDataLabelsRange val="0"/>
                </c:ext>
                <c:ext xmlns:c16="http://schemas.microsoft.com/office/drawing/2014/chart" uri="{C3380CC4-5D6E-409C-BE32-E72D297353CC}">
                  <c16:uniqueId val="{00000005-94E2-4B33-9600-4D208F8E8153}"/>
                </c:ext>
              </c:extLst>
            </c:dLbl>
            <c:dLbl>
              <c:idx val="3"/>
              <c:layout>
                <c:manualLayout>
                  <c:x val="7.49777130024991E-2"/>
                  <c:y val="0.1311177761410488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94E2-4B33-9600-4D208F8E8153}"/>
                </c:ext>
              </c:extLst>
            </c:dLbl>
            <c:dLbl>
              <c:idx val="4"/>
              <c:layout>
                <c:manualLayout>
                  <c:x val="-0.1014221144306031"/>
                  <c:y val="0.1890067502410801"/>
                </c:manualLayout>
              </c:layout>
              <c:numFmt formatCode="0.00%" sourceLinked="0"/>
              <c:spPr>
                <a:solidFill>
                  <a:sysClr val="window" lastClr="FFFFFF"/>
                </a:solidFill>
                <a:ln w="9525" cap="flat" cmpd="sng" algn="ctr">
                  <a:solidFill>
                    <a:schemeClr val="bg1"/>
                  </a:solidFill>
                  <a:prstDash val="solid"/>
                  <a:round/>
                  <a:headEnd type="none" w="med" len="med"/>
                  <a:tailEnd type="none" w="med" len="med"/>
                </a:ln>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spPr xmlns:c15="http://schemas.microsoft.com/office/drawing/2012/chart">
                    <a:prstGeom prst="wedgeRectCallout">
                      <a:avLst>
                        <a:gd name="adj1" fmla="val 14596"/>
                        <a:gd name="adj2" fmla="val -51491"/>
                      </a:avLst>
                    </a:prstGeom>
                    <a:noFill/>
                    <a:ln>
                      <a:noFill/>
                    </a:ln>
                  </c15:spPr>
                  <c15:layout/>
                </c:ext>
                <c:ext xmlns:c16="http://schemas.microsoft.com/office/drawing/2014/chart" uri="{C3380CC4-5D6E-409C-BE32-E72D297353CC}">
                  <c16:uniqueId val="{00000020-1EC1-4948-A4C8-67C34E26D7E7}"/>
                </c:ext>
              </c:extLst>
            </c:dLbl>
            <c:spPr>
              <a:solidFill>
                <a:sysClr val="window" lastClr="FFFFFF"/>
              </a:solidFill>
              <a:ln>
                <a:solidFill>
                  <a:srgbClr val="5B9BD5"/>
                </a:solid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Sheet1!$B$1:$F$1</c:f>
              <c:strCache>
                <c:ptCount val="5"/>
                <c:pt idx="0">
                  <c:v>úhrada ztráty dopravce z provozu veř. osobní drážní dopravy</c:v>
                </c:pt>
                <c:pt idx="1">
                  <c:v>úhrada poplatků vybíraných za LPS poskyt. ve vzdušném prostoru </c:v>
                </c:pt>
                <c:pt idx="2">
                  <c:v>U Space - ŘLP (drony)</c:v>
                </c:pt>
                <c:pt idx="3">
                  <c:v>podpora obnovy histor. žel. kolejových vozidel (program 127 67)</c:v>
                </c:pt>
                <c:pt idx="4">
                  <c:v>BAR - brexitová rezerva</c:v>
                </c:pt>
              </c:strCache>
            </c:strRef>
          </c:cat>
          <c:val>
            <c:numRef>
              <c:f>Sheet1!$B$2:$F$2</c:f>
              <c:numCache>
                <c:formatCode>#,##0</c:formatCode>
                <c:ptCount val="5"/>
                <c:pt idx="0">
                  <c:v>5719105</c:v>
                </c:pt>
                <c:pt idx="1">
                  <c:v>82450</c:v>
                </c:pt>
                <c:pt idx="2">
                  <c:v>24500</c:v>
                </c:pt>
                <c:pt idx="3" formatCode="General">
                  <c:v>5000</c:v>
                </c:pt>
                <c:pt idx="4">
                  <c:v>517510</c:v>
                </c:pt>
              </c:numCache>
            </c:numRef>
          </c:val>
          <c:extLst>
            <c:ext xmlns:c16="http://schemas.microsoft.com/office/drawing/2014/chart" uri="{C3380CC4-5D6E-409C-BE32-E72D297353CC}">
              <c16:uniqueId val="{00000008-94E2-4B33-9600-4D208F8E8153}"/>
            </c:ext>
          </c:extLst>
        </c:ser>
        <c:dLbls>
          <c:dLblPos val="bestFit"/>
          <c:showLegendKey val="0"/>
          <c:showVal val="0"/>
          <c:showCatName val="0"/>
          <c:showSerName val="0"/>
          <c:showPercent val="1"/>
          <c:showBubbleSize val="0"/>
          <c:showLeaderLines val="0"/>
        </c:dLbls>
        <c:extLst/>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1.8707482993197279E-2"/>
          <c:y val="4.5643153526970952E-2"/>
          <c:w val="0.8311076467790518"/>
          <c:h val="0.8149420167100625"/>
        </c:manualLayout>
      </c:layout>
      <c:barChart>
        <c:barDir val="col"/>
        <c:grouping val="clustered"/>
        <c:varyColors val="0"/>
        <c:ser>
          <c:idx val="0"/>
          <c:order val="0"/>
          <c:tx>
            <c:strRef>
              <c:f>Sheet1!$A$2</c:f>
              <c:strCache>
                <c:ptCount val="1"/>
                <c:pt idx="0">
                  <c:v>2022</c:v>
                </c:pt>
              </c:strCache>
            </c:strRef>
          </c:tx>
          <c:spPr>
            <a:solidFill>
              <a:schemeClr val="accent1"/>
            </a:solidFill>
            <a:ln>
              <a:noFill/>
            </a:ln>
            <a:effectLst/>
          </c:spPr>
          <c:invertIfNegative val="0"/>
          <c:dLbls>
            <c:dLbl>
              <c:idx val="0"/>
              <c:layout>
                <c:manualLayout>
                  <c:x val="0"/>
                  <c:y val="-1.4134275618374645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6E76-43D6-A374-87AA609F4D94}"/>
                </c:ext>
              </c:extLst>
            </c:dLbl>
            <c:dLbl>
              <c:idx val="1"/>
              <c:numFmt formatCode="#,##0" sourceLinked="0"/>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extLst>
                <c:ext xmlns:c15="http://schemas.microsoft.com/office/drawing/2012/chart" uri="{CE6537A1-D6FC-4f65-9D91-7224C49458BB}">
                  <c15:spPr xmlns:c15="http://schemas.microsoft.com/office/drawing/2012/chart">
                    <a:prstGeom prst="rect">
                      <a:avLst/>
                    </a:prstGeom>
                  </c15:spPr>
                </c:ext>
                <c:ext xmlns:c16="http://schemas.microsoft.com/office/drawing/2014/chart" uri="{C3380CC4-5D6E-409C-BE32-E72D297353CC}">
                  <c16:uniqueId val="{00000000-6E76-43D6-A374-87AA609F4D9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Sheet1!$B$1:$C$1</c:f>
              <c:strCache>
                <c:ptCount val="2"/>
                <c:pt idx="0">
                  <c:v>Obce</c:v>
                </c:pt>
                <c:pt idx="1">
                  <c:v>Kraje</c:v>
                </c:pt>
              </c:strCache>
            </c:strRef>
          </c:cat>
          <c:val>
            <c:numRef>
              <c:f>Sheet1!$B$2:$C$2</c:f>
              <c:numCache>
                <c:formatCode>General</c:formatCode>
                <c:ptCount val="2"/>
                <c:pt idx="0">
                  <c:v>299335</c:v>
                </c:pt>
                <c:pt idx="1">
                  <c:v>3184876</c:v>
                </c:pt>
              </c:numCache>
            </c:numRef>
          </c:val>
          <c:extLst>
            <c:ext xmlns:c16="http://schemas.microsoft.com/office/drawing/2014/chart" uri="{C3380CC4-5D6E-409C-BE32-E72D297353CC}">
              <c16:uniqueId val="{00000001-6E76-43D6-A374-87AA609F4D94}"/>
            </c:ext>
          </c:extLst>
        </c:ser>
        <c:ser>
          <c:idx val="1"/>
          <c:order val="1"/>
          <c:tx>
            <c:strRef>
              <c:f>Sheet1!$A$3</c:f>
              <c:strCache>
                <c:ptCount val="1"/>
                <c:pt idx="0">
                  <c:v>2023</c:v>
                </c:pt>
              </c:strCache>
            </c:strRef>
          </c:tx>
          <c:spPr>
            <a:solidFill>
              <a:schemeClr val="accent2"/>
            </a:solidFill>
            <a:ln>
              <a:noFill/>
            </a:ln>
            <a:effectLst/>
          </c:spPr>
          <c:invertIfNegative val="0"/>
          <c:dLbls>
            <c:dLbl>
              <c:idx val="0"/>
              <c:layout>
                <c:manualLayout>
                  <c:x val="0"/>
                  <c:y val="-1.884570082449941E-2"/>
                </c:manualLayout>
              </c:layout>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6E76-43D6-A374-87AA609F4D94}"/>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cs-CZ"/>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Sheet1!$B$1:$C$1</c:f>
              <c:strCache>
                <c:ptCount val="2"/>
                <c:pt idx="0">
                  <c:v>Obce</c:v>
                </c:pt>
                <c:pt idx="1">
                  <c:v>Kraje</c:v>
                </c:pt>
              </c:strCache>
            </c:strRef>
          </c:cat>
          <c:val>
            <c:numRef>
              <c:f>Sheet1!$B$3:$C$3</c:f>
              <c:numCache>
                <c:formatCode>General</c:formatCode>
                <c:ptCount val="2"/>
                <c:pt idx="0">
                  <c:v>309950</c:v>
                </c:pt>
                <c:pt idx="1">
                  <c:v>3298301</c:v>
                </c:pt>
              </c:numCache>
            </c:numRef>
          </c:val>
          <c:extLst>
            <c:ext xmlns:c16="http://schemas.microsoft.com/office/drawing/2014/chart" uri="{C3380CC4-5D6E-409C-BE32-E72D297353CC}">
              <c16:uniqueId val="{00000002-6E76-43D6-A374-87AA609F4D94}"/>
            </c:ext>
          </c:extLst>
        </c:ser>
        <c:dLbls>
          <c:dLblPos val="outEnd"/>
          <c:showLegendKey val="0"/>
          <c:showVal val="1"/>
          <c:showCatName val="0"/>
          <c:showSerName val="0"/>
          <c:showPercent val="0"/>
          <c:showBubbleSize val="0"/>
        </c:dLbls>
        <c:gapWidth val="267"/>
        <c:overlap val="-43"/>
        <c:axId val="410611672"/>
        <c:axId val="477084872"/>
      </c:barChart>
      <c:catAx>
        <c:axId val="41061167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0" spcFirstLastPara="1" vertOverflow="ellipsis"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cs-CZ"/>
          </a:p>
        </c:txPr>
        <c:crossAx val="477084872"/>
        <c:crosses val="autoZero"/>
        <c:auto val="1"/>
        <c:lblAlgn val="ctr"/>
        <c:lblOffset val="100"/>
        <c:tickLblSkip val="1"/>
        <c:tickMarkSkip val="1"/>
        <c:noMultiLvlLbl val="0"/>
      </c:catAx>
      <c:valAx>
        <c:axId val="47708487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one"/>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crossAx val="410611672"/>
        <c:crosses val="autoZero"/>
        <c:crossBetween val="between"/>
      </c:valAx>
      <c:spPr>
        <a:pattFill prst="ltDnDiag">
          <a:fgClr>
            <a:schemeClr val="dk1">
              <a:lumMod val="15000"/>
              <a:lumOff val="85000"/>
            </a:schemeClr>
          </a:fgClr>
          <a:bgClr>
            <a:schemeClr val="lt1"/>
          </a:bgClr>
        </a:pattFill>
        <a:ln>
          <a:noFill/>
        </a:ln>
        <a:effectLst/>
      </c:spPr>
    </c:plotArea>
    <c:legend>
      <c:legendPos val="b"/>
      <c:layout>
        <c:manualLayout>
          <c:xMode val="edge"/>
          <c:yMode val="edge"/>
          <c:x val="0.84283711180397747"/>
          <c:y val="0.45883071388984742"/>
          <c:w val="0.15101481442336487"/>
          <c:h val="8.9642061674561596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cs-CZ"/>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2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29501173464428"/>
          <c:y val="0.31516985376827894"/>
          <c:w val="0.64094557624741344"/>
          <c:h val="0.5524657093131129"/>
        </c:manualLayout>
      </c:layout>
      <c:pie3DChart>
        <c:varyColors val="1"/>
        <c:ser>
          <c:idx val="0"/>
          <c:order val="0"/>
          <c:tx>
            <c:strRef>
              <c:f>Sheet1!$A$2</c:f>
              <c:strCache>
                <c:ptCount val="1"/>
              </c:strCache>
            </c:strRef>
          </c:tx>
          <c:dPt>
            <c:idx val="0"/>
            <c:bubble3D val="0"/>
            <c:spPr>
              <a:solidFill>
                <a:schemeClr val="accent2">
                  <a:lumMod val="40000"/>
                  <a:lumOff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926-4DCF-9691-29FB7D4BFD9A}"/>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926-4DCF-9691-29FB7D4BFD9A}"/>
              </c:ext>
            </c:extLst>
          </c:dPt>
          <c:dPt>
            <c:idx val="2"/>
            <c:bubble3D val="0"/>
            <c:explosion val="18"/>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926-4DCF-9691-29FB7D4BFD9A}"/>
              </c:ext>
            </c:extLst>
          </c:dPt>
          <c:dPt>
            <c:idx val="3"/>
            <c:bubble3D val="0"/>
            <c:spPr>
              <a:solidFill>
                <a:schemeClr val="accent1">
                  <a:lumMod val="60000"/>
                  <a:lumOff val="4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926-4DCF-9691-29FB7D4BFD9A}"/>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5926-4DCF-9691-29FB7D4BFD9A}"/>
              </c:ext>
            </c:extLst>
          </c:dPt>
          <c:dLbls>
            <c:dLbl>
              <c:idx val="0"/>
              <c:layout>
                <c:manualLayout>
                  <c:x val="0.13083331235563364"/>
                  <c:y val="0.27598539866982641"/>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5926-4DCF-9691-29FB7D4BFD9A}"/>
                </c:ext>
              </c:extLst>
            </c:dLbl>
            <c:dLbl>
              <c:idx val="1"/>
              <c:layout>
                <c:manualLayout>
                  <c:x val="-0.17797254728011827"/>
                  <c:y val="-9.708737864077676E-3"/>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manualLayout>
                      <c:w val="0.17739188851393572"/>
                      <c:h val="0.31170905243465796"/>
                    </c:manualLayout>
                  </c15:layout>
                </c:ext>
                <c:ext xmlns:c16="http://schemas.microsoft.com/office/drawing/2014/chart" uri="{C3380CC4-5D6E-409C-BE32-E72D297353CC}">
                  <c16:uniqueId val="{00000003-5926-4DCF-9691-29FB7D4BFD9A}"/>
                </c:ext>
              </c:extLst>
            </c:dLbl>
            <c:dLbl>
              <c:idx val="2"/>
              <c:layout>
                <c:manualLayout>
                  <c:x val="2.1715526601520088E-3"/>
                  <c:y val="-1.4859672986868319E-16"/>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5926-4DCF-9691-29FB7D4BFD9A}"/>
                </c:ext>
              </c:extLst>
            </c:dLbl>
            <c:dLbl>
              <c:idx val="3"/>
              <c:delete val="1"/>
              <c:extLst>
                <c:ext xmlns:c15="http://schemas.microsoft.com/office/drawing/2012/chart" uri="{CE6537A1-D6FC-4f65-9D91-7224C49458BB}">
                  <c15:layout/>
                </c:ext>
                <c:ext xmlns:c16="http://schemas.microsoft.com/office/drawing/2014/chart" uri="{C3380CC4-5D6E-409C-BE32-E72D297353CC}">
                  <c16:uniqueId val="{00000007-5926-4DCF-9691-29FB7D4BFD9A}"/>
                </c:ext>
              </c:extLst>
            </c:dLbl>
            <c:dLbl>
              <c:idx val="4"/>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outEnd"/>
              <c:showLegendKey val="0"/>
              <c:showVal val="0"/>
              <c:showCatName val="1"/>
              <c:showSerName val="0"/>
              <c:showPercent val="1"/>
              <c:showBubbleSize val="0"/>
              <c:extLst>
                <c:ext xmlns:c16="http://schemas.microsoft.com/office/drawing/2014/chart" uri="{C3380CC4-5D6E-409C-BE32-E72D297353CC}">
                  <c16:uniqueId val="{00000009-5926-4DCF-9691-29FB7D4BFD9A}"/>
                </c:ext>
              </c:extLst>
            </c:dLbl>
            <c:numFmt formatCode="0.00%" sourceLinked="0"/>
            <c:spPr>
              <a:noFill/>
              <a:ln>
                <a:noFill/>
              </a:ln>
              <a:effectLst/>
            </c:sp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Sheet1!$B$1:$F$1</c:f>
              <c:strCache>
                <c:ptCount val="5"/>
                <c:pt idx="0">
                  <c:v>nákupy a související výdaje organizačních složek státu</c:v>
                </c:pt>
                <c:pt idx="1">
                  <c:v>transfery příspěvkovým a podobným organizacím</c:v>
                </c:pt>
                <c:pt idx="2">
                  <c:v>transfery podnikatelům</c:v>
                </c:pt>
                <c:pt idx="4">
                  <c:v>transfery státním fondům</c:v>
                </c:pt>
              </c:strCache>
            </c:strRef>
          </c:cat>
          <c:val>
            <c:numRef>
              <c:f>Sheet1!$B$2:$F$2</c:f>
              <c:numCache>
                <c:formatCode>#,##0</c:formatCode>
                <c:ptCount val="5"/>
                <c:pt idx="0">
                  <c:v>97534</c:v>
                </c:pt>
                <c:pt idx="1">
                  <c:v>322241</c:v>
                </c:pt>
                <c:pt idx="2" formatCode="General">
                  <c:v>310000</c:v>
                </c:pt>
                <c:pt idx="4">
                  <c:v>75946489</c:v>
                </c:pt>
              </c:numCache>
            </c:numRef>
          </c:val>
          <c:extLst>
            <c:ext xmlns:c16="http://schemas.microsoft.com/office/drawing/2014/chart" uri="{C3380CC4-5D6E-409C-BE32-E72D297353CC}">
              <c16:uniqueId val="{0000000A-5926-4DCF-9691-29FB7D4BFD9A}"/>
            </c:ext>
          </c:extLst>
        </c:ser>
        <c:dLbls>
          <c:dLblPos val="outEnd"/>
          <c:showLegendKey val="0"/>
          <c:showVal val="0"/>
          <c:showCatName val="1"/>
          <c:showSerName val="0"/>
          <c:showPercent val="0"/>
          <c:showBubbleSize val="0"/>
          <c:showLeaderLines val="0"/>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7.8373015873015858E-2"/>
          <c:y val="0.22112740494594138"/>
          <c:w val="0.77116402116402116"/>
          <c:h val="0.64158836179351963"/>
        </c:manualLayout>
      </c:layout>
      <c:pie3DChart>
        <c:varyColors val="1"/>
        <c:ser>
          <c:idx val="0"/>
          <c:order val="0"/>
          <c:tx>
            <c:strRef>
              <c:f>List1!$B$1</c:f>
              <c:strCache>
                <c:ptCount val="1"/>
                <c:pt idx="0">
                  <c:v>členění výdajů 2022</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A51C-4C64-8154-D614AD00F8D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A51C-4C64-8154-D614AD00F8D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A51C-4C64-8154-D614AD00F8D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A51C-4C64-8154-D614AD00F8D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A51C-4C64-8154-D614AD00F8D5}"/>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A51C-4C64-8154-D614AD00F8D5}"/>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A51C-4C64-8154-D614AD00F8D5}"/>
              </c:ext>
            </c:extLst>
          </c:dPt>
          <c:dLbls>
            <c:dLbl>
              <c:idx val="0"/>
              <c:layout>
                <c:manualLayout>
                  <c:x val="-4.4091710758377423E-3"/>
                  <c:y val="-3.846691005543855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A51C-4C64-8154-D614AD00F8D5}"/>
                </c:ext>
              </c:extLst>
            </c:dLbl>
            <c:dLbl>
              <c:idx val="1"/>
              <c:layout>
                <c:manualLayout>
                  <c:x val="0.1477072310405643"/>
                  <c:y val="-1.8819101387908727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A51C-4C64-8154-D614AD00F8D5}"/>
                </c:ext>
              </c:extLst>
            </c:dLbl>
            <c:dLbl>
              <c:idx val="2"/>
              <c:layout>
                <c:manualLayout>
                  <c:x val="0.1168430335097001"/>
                  <c:y val="7.057163020465773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A51C-4C64-8154-D614AD00F8D5}"/>
                </c:ext>
              </c:extLst>
            </c:dLbl>
            <c:dLbl>
              <c:idx val="3"/>
              <c:layout>
                <c:manualLayout>
                  <c:x val="-5.9523809523809521E-2"/>
                  <c:y val="1.41143260409314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A51C-4C64-8154-D614AD00F8D5}"/>
                </c:ext>
              </c:extLst>
            </c:dLbl>
            <c:dLbl>
              <c:idx val="4"/>
              <c:layout>
                <c:manualLayout>
                  <c:x val="-4.6296296296296294E-2"/>
                  <c:y val="-4.312660914502185E-17"/>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A51C-4C64-8154-D614AD00F8D5}"/>
                </c:ext>
              </c:extLst>
            </c:dLbl>
            <c:dLbl>
              <c:idx val="5"/>
              <c:layout>
                <c:manualLayout>
                  <c:x val="-7.4955908289241618E-2"/>
                  <c:y val="1.6451525069599186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A51C-4C64-8154-D614AD00F8D5}"/>
                </c:ext>
              </c:extLst>
            </c:dLbl>
            <c:dLbl>
              <c:idx val="6"/>
              <c:layout>
                <c:manualLayout>
                  <c:x val="-1.1022927689594316E-2"/>
                  <c:y val="-3.665353404571782E-2"/>
                </c:manualLayout>
              </c:layout>
              <c:numFmt formatCode="0.00%" sourceLinked="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cs-CZ"/>
                </a:p>
              </c:txPr>
              <c:dLblPos val="bestFi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A51C-4C64-8154-D614AD00F8D5}"/>
                </c:ext>
              </c:extLst>
            </c:dLbl>
            <c:numFmt formatCode="0.00%" sourceLinked="0"/>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List1!$A$2:$A$8</c:f>
              <c:strCache>
                <c:ptCount val="7"/>
                <c:pt idx="0">
                  <c:v>OP Doprava 2014 - 2020</c:v>
                </c:pt>
                <c:pt idx="1">
                  <c:v>OP Podnikání a inovace</c:v>
                </c:pt>
                <c:pt idx="2">
                  <c:v>Komunitární programy 2014+</c:v>
                </c:pt>
                <c:pt idx="3">
                  <c:v>OP Doprava 2021 - 2027</c:v>
                </c:pt>
                <c:pt idx="4">
                  <c:v>Komunitární programy 2021+</c:v>
                </c:pt>
                <c:pt idx="5">
                  <c:v>Národní plán obnovy</c:v>
                </c:pt>
                <c:pt idx="6">
                  <c:v>BAR - Brexitová rezerva</c:v>
                </c:pt>
              </c:strCache>
            </c:strRef>
          </c:cat>
          <c:val>
            <c:numRef>
              <c:f>List1!$B$2:$B$8</c:f>
              <c:numCache>
                <c:formatCode>#,##0</c:formatCode>
                <c:ptCount val="7"/>
                <c:pt idx="0">
                  <c:v>1783515</c:v>
                </c:pt>
                <c:pt idx="1">
                  <c:v>292721</c:v>
                </c:pt>
                <c:pt idx="2">
                  <c:v>2497921</c:v>
                </c:pt>
                <c:pt idx="3">
                  <c:v>15556068</c:v>
                </c:pt>
                <c:pt idx="4">
                  <c:v>5120963</c:v>
                </c:pt>
                <c:pt idx="5">
                  <c:v>3003459</c:v>
                </c:pt>
                <c:pt idx="6">
                  <c:v>532116</c:v>
                </c:pt>
              </c:numCache>
            </c:numRef>
          </c:val>
          <c:extLst>
            <c:ext xmlns:c16="http://schemas.microsoft.com/office/drawing/2014/chart" uri="{C3380CC4-5D6E-409C-BE32-E72D297353CC}">
              <c16:uniqueId val="{0000000E-A51C-4C64-8154-D614AD00F8D5}"/>
            </c:ext>
          </c:extLst>
        </c:ser>
        <c:dLbls>
          <c:dLblPos val="outEnd"/>
          <c:showLegendKey val="0"/>
          <c:showVal val="0"/>
          <c:showCatName val="1"/>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4.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5.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92642-A8BA-4EBE-BC8E-6978F293B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73</Pages>
  <Words>29406</Words>
  <Characters>173501</Characters>
  <Application>Microsoft Office Word</Application>
  <DocSecurity>0</DocSecurity>
  <Lines>1445</Lines>
  <Paragraphs>405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MD</Company>
  <LinksUpToDate>false</LinksUpToDate>
  <CharactersWithSpaces>202502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Topenčíková Marcela Ing.</dc:creator>
  <cp:keywords/>
  <dc:description/>
  <cp:lastModifiedBy>Novák Daniel Ing.</cp:lastModifiedBy>
  <cp:revision>60</cp:revision>
  <cp:lastPrinted>2022-10-17T09:13:00Z</cp:lastPrinted>
  <dcterms:created xsi:type="dcterms:W3CDTF">2022-10-17T07:11:00Z</dcterms:created>
  <dcterms:modified xsi:type="dcterms:W3CDTF">2022-10-17T12:03:00Z</dcterms:modified>
</cp:coreProperties>
</file>